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29" w:rsidRPr="00C3098E" w:rsidRDefault="00B02D45" w:rsidP="00C362C4">
      <w:pPr>
        <w:pStyle w:val="Caption"/>
        <w:rPr>
          <w:b/>
          <w:sz w:val="22"/>
          <w:szCs w:val="22"/>
        </w:rPr>
      </w:pPr>
      <w:bookmarkStart w:id="0" w:name="_GoBack"/>
      <w:bookmarkEnd w:id="0"/>
      <w:r w:rsidRPr="00C3098E">
        <w:rPr>
          <w:b/>
          <w:sz w:val="22"/>
          <w:szCs w:val="22"/>
        </w:rPr>
        <w:t>IAEA-CN-</w:t>
      </w:r>
      <w:r w:rsidR="00F8359A">
        <w:rPr>
          <w:b/>
          <w:sz w:val="22"/>
          <w:szCs w:val="22"/>
        </w:rPr>
        <w:t>26</w:t>
      </w:r>
      <w:r w:rsidR="00C5638A">
        <w:rPr>
          <w:b/>
          <w:sz w:val="22"/>
          <w:szCs w:val="22"/>
        </w:rPr>
        <w:t>1</w:t>
      </w:r>
    </w:p>
    <w:p w:rsidR="003F5A29" w:rsidRDefault="00A844E3">
      <w:pPr>
        <w:pStyle w:val="BodyText"/>
      </w:pPr>
      <w:r>
        <w:rPr>
          <w:noProof/>
          <w:lang w:eastAsia="en-GB"/>
        </w:rPr>
        <w:drawing>
          <wp:inline distT="0" distB="0" distL="0" distR="0" wp14:anchorId="1A75ADAF" wp14:editId="2F94C2D4">
            <wp:extent cx="3898900" cy="763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763905"/>
                    </a:xfrm>
                    <a:prstGeom prst="rect">
                      <a:avLst/>
                    </a:prstGeom>
                    <a:noFill/>
                    <a:ln>
                      <a:noFill/>
                    </a:ln>
                  </pic:spPr>
                </pic:pic>
              </a:graphicData>
            </a:graphic>
          </wp:inline>
        </w:drawing>
      </w:r>
    </w:p>
    <w:p w:rsidR="00EB44F1" w:rsidRDefault="00EB44F1" w:rsidP="00B86DFE">
      <w:pPr>
        <w:pStyle w:val="Title"/>
        <w:rPr>
          <w:rFonts w:ascii="Times New Roman" w:hAnsi="Times New Roman" w:cs="Times New Roman"/>
          <w:color w:val="000000"/>
        </w:rPr>
      </w:pPr>
    </w:p>
    <w:p w:rsidR="00B86DFE" w:rsidRPr="00527A4B" w:rsidRDefault="00C5638A" w:rsidP="006E1C54">
      <w:pPr>
        <w:pStyle w:val="Title"/>
        <w:rPr>
          <w:rFonts w:ascii="Times New Roman" w:hAnsi="Times New Roman" w:cs="Times New Roman"/>
          <w:b/>
          <w:bCs w:val="0"/>
          <w:color w:val="000000"/>
        </w:rPr>
      </w:pPr>
      <w:r>
        <w:rPr>
          <w:rFonts w:ascii="Times New Roman" w:hAnsi="Times New Roman" w:cs="Times New Roman"/>
          <w:b/>
          <w:bCs w:val="0"/>
          <w:color w:val="000000"/>
        </w:rPr>
        <w:t>I</w:t>
      </w:r>
      <w:r w:rsidR="00F8359A" w:rsidRPr="00527A4B">
        <w:rPr>
          <w:rFonts w:ascii="Times New Roman" w:hAnsi="Times New Roman" w:cs="Times New Roman"/>
          <w:b/>
          <w:bCs w:val="0"/>
          <w:color w:val="000000"/>
        </w:rPr>
        <w:t xml:space="preserve">nternational </w:t>
      </w:r>
      <w:r>
        <w:rPr>
          <w:rFonts w:ascii="Times New Roman" w:hAnsi="Times New Roman" w:cs="Times New Roman"/>
          <w:b/>
          <w:bCs w:val="0"/>
          <w:color w:val="000000"/>
        </w:rPr>
        <w:t xml:space="preserve">Symposium on </w:t>
      </w:r>
      <w:r w:rsidR="0048529C">
        <w:rPr>
          <w:rFonts w:ascii="Times New Roman" w:hAnsi="Times New Roman" w:cs="Times New Roman"/>
          <w:b/>
          <w:bCs w:val="0"/>
          <w:color w:val="000000"/>
        </w:rPr>
        <w:br/>
      </w:r>
      <w:r>
        <w:rPr>
          <w:rFonts w:ascii="Times New Roman" w:hAnsi="Times New Roman" w:cs="Times New Roman"/>
          <w:b/>
          <w:bCs w:val="0"/>
          <w:color w:val="000000"/>
        </w:rPr>
        <w:t xml:space="preserve">Uranium Raw Material for the </w:t>
      </w:r>
      <w:r w:rsidR="0048529C">
        <w:rPr>
          <w:rFonts w:ascii="Times New Roman" w:hAnsi="Times New Roman" w:cs="Times New Roman"/>
          <w:b/>
          <w:bCs w:val="0"/>
          <w:color w:val="000000"/>
        </w:rPr>
        <w:br/>
      </w:r>
      <w:r>
        <w:rPr>
          <w:rFonts w:ascii="Times New Roman" w:hAnsi="Times New Roman" w:cs="Times New Roman"/>
          <w:b/>
          <w:bCs w:val="0"/>
          <w:color w:val="000000"/>
        </w:rPr>
        <w:t xml:space="preserve">Nuclear Fuel Cycle: </w:t>
      </w:r>
      <w:r w:rsidR="0048529C">
        <w:rPr>
          <w:rFonts w:ascii="Times New Roman" w:hAnsi="Times New Roman" w:cs="Times New Roman"/>
          <w:b/>
          <w:bCs w:val="0"/>
          <w:color w:val="000000"/>
        </w:rPr>
        <w:br/>
      </w:r>
      <w:r>
        <w:rPr>
          <w:rFonts w:ascii="Times New Roman" w:hAnsi="Times New Roman" w:cs="Times New Roman"/>
          <w:b/>
          <w:bCs w:val="0"/>
          <w:color w:val="000000"/>
        </w:rPr>
        <w:t xml:space="preserve">Exploration, Mining, Production, </w:t>
      </w:r>
      <w:r w:rsidR="0048529C">
        <w:rPr>
          <w:rFonts w:ascii="Times New Roman" w:hAnsi="Times New Roman" w:cs="Times New Roman"/>
          <w:b/>
          <w:bCs w:val="0"/>
          <w:color w:val="000000"/>
        </w:rPr>
        <w:br/>
      </w:r>
      <w:r>
        <w:rPr>
          <w:rFonts w:ascii="Times New Roman" w:hAnsi="Times New Roman" w:cs="Times New Roman"/>
          <w:b/>
          <w:bCs w:val="0"/>
          <w:color w:val="000000"/>
        </w:rPr>
        <w:t xml:space="preserve">Supply and Demand, </w:t>
      </w:r>
      <w:r w:rsidR="0048529C">
        <w:rPr>
          <w:rFonts w:ascii="Times New Roman" w:hAnsi="Times New Roman" w:cs="Times New Roman"/>
          <w:b/>
          <w:bCs w:val="0"/>
          <w:color w:val="000000"/>
        </w:rPr>
        <w:br/>
      </w:r>
      <w:r>
        <w:rPr>
          <w:rFonts w:ascii="Times New Roman" w:hAnsi="Times New Roman" w:cs="Times New Roman"/>
          <w:b/>
          <w:bCs w:val="0"/>
          <w:color w:val="000000"/>
        </w:rPr>
        <w:t xml:space="preserve">Economics and Environmental Issues </w:t>
      </w:r>
      <w:r w:rsidR="0048529C">
        <w:rPr>
          <w:rFonts w:ascii="Times New Roman" w:hAnsi="Times New Roman" w:cs="Times New Roman"/>
          <w:b/>
          <w:bCs w:val="0"/>
          <w:color w:val="000000"/>
        </w:rPr>
        <w:br/>
      </w:r>
      <w:r>
        <w:rPr>
          <w:rFonts w:ascii="Times New Roman" w:hAnsi="Times New Roman" w:cs="Times New Roman"/>
          <w:b/>
          <w:bCs w:val="0"/>
          <w:color w:val="000000"/>
        </w:rPr>
        <w:t>(URAM-2018)</w:t>
      </w:r>
    </w:p>
    <w:p w:rsidR="004C6387" w:rsidRDefault="004C6387" w:rsidP="009D15CB">
      <w:pPr>
        <w:pStyle w:val="Subtitle"/>
        <w:rPr>
          <w:bCs/>
          <w:lang w:val="en-GB"/>
        </w:rPr>
      </w:pPr>
    </w:p>
    <w:p w:rsidR="00F8359A" w:rsidRDefault="00C5638A" w:rsidP="0048529C">
      <w:pPr>
        <w:pStyle w:val="Subtitle"/>
        <w:rPr>
          <w:bCs/>
          <w:lang w:val="en-GB"/>
        </w:rPr>
      </w:pPr>
      <w:r>
        <w:rPr>
          <w:bCs/>
          <w:lang w:val="en-GB"/>
        </w:rPr>
        <w:t>IAEA Headquarters</w:t>
      </w:r>
      <w:r w:rsidR="0048529C">
        <w:rPr>
          <w:bCs/>
          <w:lang w:val="en-GB"/>
        </w:rPr>
        <w:br/>
      </w:r>
      <w:r>
        <w:rPr>
          <w:bCs/>
          <w:lang w:val="en-GB"/>
        </w:rPr>
        <w:t>Vienna, Austria</w:t>
      </w:r>
    </w:p>
    <w:p w:rsidR="0048529C" w:rsidRDefault="0048529C" w:rsidP="0048529C">
      <w:pPr>
        <w:pStyle w:val="Subtitle"/>
        <w:rPr>
          <w:bCs/>
          <w:lang w:val="en-GB"/>
        </w:rPr>
      </w:pPr>
    </w:p>
    <w:p w:rsidR="007F2D7B" w:rsidRPr="006F57CC" w:rsidRDefault="00F8359A" w:rsidP="00120D0E">
      <w:pPr>
        <w:pStyle w:val="Subtitle"/>
        <w:rPr>
          <w:bCs/>
          <w:lang w:val="en-GB"/>
        </w:rPr>
      </w:pPr>
      <w:r>
        <w:rPr>
          <w:bCs/>
          <w:lang w:val="en-GB"/>
        </w:rPr>
        <w:t>2</w:t>
      </w:r>
      <w:r w:rsidR="00C5638A">
        <w:rPr>
          <w:bCs/>
          <w:lang w:val="en-GB"/>
        </w:rPr>
        <w:t>5</w:t>
      </w:r>
      <w:r w:rsidR="00120D0E" w:rsidRPr="00BE1C00">
        <w:rPr>
          <w:bCs/>
          <w:lang w:val="en-GB"/>
        </w:rPr>
        <w:t>–</w:t>
      </w:r>
      <w:r w:rsidR="00C5638A">
        <w:rPr>
          <w:bCs/>
          <w:lang w:val="en-GB"/>
        </w:rPr>
        <w:t>29 June</w:t>
      </w:r>
      <w:r>
        <w:rPr>
          <w:bCs/>
          <w:lang w:val="en-GB"/>
        </w:rPr>
        <w:t xml:space="preserve"> 2018</w:t>
      </w:r>
    </w:p>
    <w:p w:rsidR="00617DEF" w:rsidRPr="009D15CB" w:rsidRDefault="00617DEF" w:rsidP="009D15CB">
      <w:pPr>
        <w:pStyle w:val="Subtitle"/>
        <w:rPr>
          <w:bCs/>
          <w:lang w:val="en-GB"/>
        </w:rPr>
      </w:pPr>
    </w:p>
    <w:p w:rsidR="000F4075" w:rsidRDefault="000F4075" w:rsidP="009D15CB">
      <w:pPr>
        <w:pStyle w:val="Subtitle"/>
        <w:rPr>
          <w:b w:val="0"/>
          <w:bCs/>
          <w:sz w:val="24"/>
          <w:lang w:val="en-GB"/>
        </w:rPr>
      </w:pPr>
    </w:p>
    <w:p w:rsidR="003F5A29" w:rsidRPr="00527A4B" w:rsidRDefault="0007788F" w:rsidP="00EC1FD7">
      <w:pPr>
        <w:pStyle w:val="Subtitle"/>
        <w:rPr>
          <w:sz w:val="24"/>
          <w:lang w:val="en-GB"/>
        </w:rPr>
      </w:pPr>
      <w:r w:rsidRPr="00527A4B">
        <w:rPr>
          <w:sz w:val="24"/>
          <w:lang w:val="en-GB"/>
        </w:rPr>
        <w:t>Organi</w:t>
      </w:r>
      <w:r w:rsidR="00EC1FD7" w:rsidRPr="00527A4B">
        <w:rPr>
          <w:sz w:val="24"/>
          <w:lang w:val="en-GB"/>
        </w:rPr>
        <w:t>z</w:t>
      </w:r>
      <w:r w:rsidRPr="00527A4B">
        <w:rPr>
          <w:sz w:val="24"/>
          <w:lang w:val="en-GB"/>
        </w:rPr>
        <w:t>ed</w:t>
      </w:r>
      <w:r w:rsidR="003F5A29" w:rsidRPr="00527A4B">
        <w:rPr>
          <w:sz w:val="24"/>
          <w:lang w:val="en-GB"/>
        </w:rPr>
        <w:t xml:space="preserve"> by the</w:t>
      </w:r>
    </w:p>
    <w:p w:rsidR="00BB6CB3" w:rsidRPr="00527A4B" w:rsidRDefault="003F5A29" w:rsidP="009D15CB">
      <w:pPr>
        <w:pStyle w:val="Subtitle"/>
        <w:rPr>
          <w:b w:val="0"/>
          <w:lang w:val="en-GB"/>
        </w:rPr>
      </w:pPr>
      <w:r w:rsidRPr="00527A4B">
        <w:rPr>
          <w:b w:val="0"/>
          <w:lang w:val="en-GB"/>
        </w:rPr>
        <w:t>International Atomic Energy Agency (IAEA)</w:t>
      </w:r>
    </w:p>
    <w:p w:rsidR="00EC1FD7" w:rsidRDefault="00EC1FD7" w:rsidP="00DC025A">
      <w:pPr>
        <w:pStyle w:val="Subtitle"/>
        <w:rPr>
          <w:sz w:val="24"/>
          <w:lang w:val="en-GB"/>
        </w:rPr>
      </w:pPr>
    </w:p>
    <w:p w:rsidR="00347B8C" w:rsidRPr="00527A4B" w:rsidRDefault="00347B8C" w:rsidP="00EC1FD7">
      <w:pPr>
        <w:pStyle w:val="Subtitle"/>
        <w:rPr>
          <w:b w:val="0"/>
          <w:lang w:val="en-GB"/>
        </w:rPr>
      </w:pPr>
    </w:p>
    <w:p w:rsidR="002B2A26" w:rsidRDefault="002B2A26" w:rsidP="00352FB8">
      <w:pPr>
        <w:pStyle w:val="BodyText"/>
        <w:jc w:val="center"/>
      </w:pPr>
    </w:p>
    <w:p w:rsidR="00DC025A" w:rsidRDefault="00DC025A" w:rsidP="00617DEF">
      <w:pPr>
        <w:pStyle w:val="Subtitle"/>
        <w:rPr>
          <w:sz w:val="36"/>
          <w:szCs w:val="36"/>
        </w:rPr>
      </w:pPr>
    </w:p>
    <w:p w:rsidR="00617DEF" w:rsidRDefault="003F5A29" w:rsidP="00EC1FD7">
      <w:pPr>
        <w:pStyle w:val="Subtitle"/>
        <w:rPr>
          <w:sz w:val="36"/>
          <w:szCs w:val="36"/>
        </w:rPr>
      </w:pPr>
      <w:r w:rsidRPr="00C362C4">
        <w:rPr>
          <w:sz w:val="36"/>
          <w:szCs w:val="36"/>
        </w:rPr>
        <w:t>Announcement and Call for Papers</w:t>
      </w:r>
    </w:p>
    <w:p w:rsidR="00EC1FD7" w:rsidRPr="00C362C4" w:rsidRDefault="00EC1FD7" w:rsidP="00EC1FD7">
      <w:pPr>
        <w:pStyle w:val="Subtitle"/>
        <w:rPr>
          <w:sz w:val="36"/>
          <w:szCs w:val="36"/>
        </w:rPr>
      </w:pPr>
    </w:p>
    <w:p w:rsidR="005A56CB" w:rsidRPr="002E6BD6" w:rsidRDefault="00617DEF" w:rsidP="005A56CB">
      <w:pPr>
        <w:rPr>
          <w:sz w:val="24"/>
          <w:szCs w:val="24"/>
        </w:rPr>
      </w:pPr>
      <w:r w:rsidRPr="005A56CB">
        <w:rPr>
          <w:color w:val="4F81BD" w:themeColor="accent1"/>
        </w:rPr>
        <w:br w:type="page"/>
      </w:r>
    </w:p>
    <w:p w:rsidR="003F5A29" w:rsidRPr="0057669D" w:rsidRDefault="003F5A29" w:rsidP="00184020">
      <w:pPr>
        <w:pStyle w:val="Heading1"/>
        <w:ind w:left="426" w:hanging="426"/>
      </w:pPr>
      <w:r w:rsidRPr="0057669D">
        <w:lastRenderedPageBreak/>
        <w:t>Background</w:t>
      </w:r>
    </w:p>
    <w:p w:rsidR="00C5638A" w:rsidRDefault="00C5638A" w:rsidP="0048529C">
      <w:pPr>
        <w:spacing w:after="170" w:line="280" w:lineRule="atLeast"/>
        <w:jc w:val="both"/>
        <w:rPr>
          <w:rFonts w:eastAsiaTheme="minorHAnsi"/>
          <w:szCs w:val="22"/>
        </w:rPr>
      </w:pPr>
      <w:r w:rsidRPr="00C5638A">
        <w:rPr>
          <w:rFonts w:eastAsiaTheme="minorHAnsi"/>
          <w:szCs w:val="22"/>
        </w:rPr>
        <w:t>Adequate services, expertise and modern technologies are needed to ensure a sustainable supply of uranium raw materials to fuel both operating and future nuclear power reactors. Effective regulation, sound environmental management, training and education are required to minimize the impact of uranium mining and production and to contribute to public acceptance of the glob</w:t>
      </w:r>
      <w:r>
        <w:rPr>
          <w:rFonts w:eastAsiaTheme="minorHAnsi"/>
          <w:szCs w:val="22"/>
        </w:rPr>
        <w:t>al nuclear industry in general.</w:t>
      </w:r>
    </w:p>
    <w:p w:rsidR="00C5638A" w:rsidRPr="00C5638A" w:rsidRDefault="00C5638A" w:rsidP="00C91020">
      <w:pPr>
        <w:overflowPunct/>
        <w:autoSpaceDE/>
        <w:autoSpaceDN/>
        <w:adjustRightInd/>
        <w:spacing w:after="170" w:line="280" w:lineRule="atLeast"/>
        <w:jc w:val="both"/>
        <w:textAlignment w:val="auto"/>
        <w:rPr>
          <w:rFonts w:eastAsiaTheme="minorHAnsi"/>
          <w:szCs w:val="22"/>
        </w:rPr>
      </w:pPr>
      <w:r w:rsidRPr="00C5638A">
        <w:rPr>
          <w:rFonts w:eastAsiaTheme="minorHAnsi"/>
          <w:szCs w:val="22"/>
        </w:rPr>
        <w:t xml:space="preserve">In 2005, 2009 and 2014, the </w:t>
      </w:r>
      <w:r w:rsidR="0048529C">
        <w:rPr>
          <w:rFonts w:eastAsiaTheme="minorHAnsi"/>
          <w:szCs w:val="22"/>
        </w:rPr>
        <w:t>International Atomic Energy Agency (</w:t>
      </w:r>
      <w:r w:rsidRPr="00C5638A">
        <w:rPr>
          <w:rFonts w:eastAsiaTheme="minorHAnsi"/>
          <w:szCs w:val="22"/>
        </w:rPr>
        <w:t>IAEA</w:t>
      </w:r>
      <w:r w:rsidR="0048529C">
        <w:rPr>
          <w:rFonts w:eastAsiaTheme="minorHAnsi"/>
          <w:szCs w:val="22"/>
        </w:rPr>
        <w:t>)</w:t>
      </w:r>
      <w:r w:rsidRPr="00C5638A">
        <w:rPr>
          <w:rFonts w:eastAsiaTheme="minorHAnsi"/>
          <w:szCs w:val="22"/>
        </w:rPr>
        <w:t xml:space="preserve"> hosted International Symposia on Uranium Production and Raw Materials for the Nuclear Fuel Cycle</w:t>
      </w:r>
      <w:r w:rsidR="0048529C">
        <w:rPr>
          <w:rStyle w:val="FootnoteReference"/>
          <w:rFonts w:eastAsiaTheme="minorHAnsi"/>
          <w:szCs w:val="22"/>
        </w:rPr>
        <w:footnoteReference w:id="2"/>
      </w:r>
      <w:r w:rsidR="0048529C">
        <w:rPr>
          <w:rFonts w:eastAsiaTheme="minorHAnsi"/>
          <w:szCs w:val="22"/>
        </w:rPr>
        <w:t xml:space="preserve"> at its Headquarters</w:t>
      </w:r>
      <w:r w:rsidRPr="00C5638A">
        <w:rPr>
          <w:rFonts w:eastAsiaTheme="minorHAnsi"/>
          <w:szCs w:val="22"/>
        </w:rPr>
        <w:t xml:space="preserve"> in Vienna,</w:t>
      </w:r>
      <w:r w:rsidR="0048529C">
        <w:rPr>
          <w:rFonts w:eastAsiaTheme="minorHAnsi"/>
          <w:szCs w:val="22"/>
        </w:rPr>
        <w:t xml:space="preserve"> Austria,</w:t>
      </w:r>
      <w:r w:rsidRPr="00C5638A">
        <w:rPr>
          <w:rFonts w:eastAsiaTheme="minorHAnsi"/>
          <w:szCs w:val="22"/>
        </w:rPr>
        <w:t xml:space="preserve"> to discuss all aspects of uranium raw materials for the uranium fuel cycle to ensure the long term sustainability of a nuclear power programme. </w:t>
      </w:r>
    </w:p>
    <w:p w:rsidR="00C5638A" w:rsidRDefault="00C5638A" w:rsidP="0048529C">
      <w:pPr>
        <w:pStyle w:val="BodyText"/>
        <w:rPr>
          <w:rFonts w:asciiTheme="minorHAnsi" w:eastAsiaTheme="minorHAnsi" w:hAnsiTheme="minorHAnsi" w:cstheme="minorBidi"/>
          <w:szCs w:val="22"/>
        </w:rPr>
      </w:pPr>
      <w:r w:rsidRPr="00C5638A">
        <w:rPr>
          <w:rFonts w:eastAsiaTheme="minorHAnsi"/>
          <w:szCs w:val="22"/>
        </w:rPr>
        <w:t>In response to a challenging economic environment, the industry is currently seeking new and innovative ways to improve efficiencies in producing uranium. Since 2016 the long</w:t>
      </w:r>
      <w:r w:rsidR="0048529C">
        <w:rPr>
          <w:rFonts w:eastAsiaTheme="minorHAnsi"/>
          <w:szCs w:val="22"/>
        </w:rPr>
        <w:t xml:space="preserve"> </w:t>
      </w:r>
      <w:r w:rsidRPr="00C5638A">
        <w:rPr>
          <w:rFonts w:eastAsiaTheme="minorHAnsi"/>
          <w:szCs w:val="22"/>
        </w:rPr>
        <w:t xml:space="preserve">term median forecast </w:t>
      </w:r>
      <w:r w:rsidR="0048529C">
        <w:rPr>
          <w:rFonts w:eastAsiaTheme="minorHAnsi"/>
          <w:szCs w:val="22"/>
        </w:rPr>
        <w:t>envisages the</w:t>
      </w:r>
      <w:r w:rsidRPr="00C5638A">
        <w:rPr>
          <w:rFonts w:eastAsiaTheme="minorHAnsi"/>
          <w:szCs w:val="22"/>
        </w:rPr>
        <w:t xml:space="preserve"> growth of nuclear power worldwide</w:t>
      </w:r>
      <w:r w:rsidR="0048529C">
        <w:rPr>
          <w:rFonts w:eastAsiaTheme="minorHAnsi"/>
          <w:szCs w:val="22"/>
        </w:rPr>
        <w:t>,</w:t>
      </w:r>
      <w:r w:rsidRPr="00C5638A">
        <w:rPr>
          <w:rFonts w:eastAsiaTheme="minorHAnsi"/>
          <w:szCs w:val="22"/>
        </w:rPr>
        <w:t xml:space="preserve"> thereby leading to an eventual increase in uranium demand and in turn the price of uranium. In the last few years uranium supply has exceeded consumption, leading to historically low spot prices for uranium oxide. This has resulted in decreased exploration activity as well as </w:t>
      </w:r>
      <w:r w:rsidR="0048529C">
        <w:rPr>
          <w:rFonts w:eastAsiaTheme="minorHAnsi"/>
          <w:szCs w:val="22"/>
        </w:rPr>
        <w:t>in</w:t>
      </w:r>
      <w:r w:rsidR="0048529C" w:rsidRPr="00C5638A">
        <w:rPr>
          <w:rFonts w:eastAsiaTheme="minorHAnsi"/>
          <w:szCs w:val="22"/>
        </w:rPr>
        <w:t xml:space="preserve"> </w:t>
      </w:r>
      <w:r w:rsidRPr="00C5638A">
        <w:rPr>
          <w:rFonts w:eastAsiaTheme="minorHAnsi"/>
          <w:szCs w:val="22"/>
        </w:rPr>
        <w:t xml:space="preserve">some mines </w:t>
      </w:r>
      <w:r w:rsidR="0048529C">
        <w:rPr>
          <w:rFonts w:eastAsiaTheme="minorHAnsi"/>
          <w:szCs w:val="22"/>
        </w:rPr>
        <w:t xml:space="preserve">being placed </w:t>
      </w:r>
      <w:r w:rsidRPr="00C5638A">
        <w:rPr>
          <w:rFonts w:eastAsiaTheme="minorHAnsi"/>
          <w:szCs w:val="22"/>
        </w:rPr>
        <w:t>in care and maintenance. Looking forward</w:t>
      </w:r>
      <w:r w:rsidR="00157289">
        <w:rPr>
          <w:rFonts w:eastAsiaTheme="minorHAnsi"/>
          <w:szCs w:val="22"/>
        </w:rPr>
        <w:t>,</w:t>
      </w:r>
      <w:r w:rsidRPr="00C5638A">
        <w:rPr>
          <w:rFonts w:eastAsiaTheme="minorHAnsi"/>
          <w:szCs w:val="22"/>
        </w:rPr>
        <w:t xml:space="preserve"> </w:t>
      </w:r>
      <w:r w:rsidR="0048529C" w:rsidRPr="00C5638A">
        <w:rPr>
          <w:rFonts w:eastAsiaTheme="minorHAnsi"/>
          <w:szCs w:val="22"/>
        </w:rPr>
        <w:t xml:space="preserve">secondary uranium supplies </w:t>
      </w:r>
      <w:r w:rsidR="0048529C">
        <w:rPr>
          <w:rFonts w:eastAsiaTheme="minorHAnsi"/>
          <w:szCs w:val="22"/>
        </w:rPr>
        <w:t>are expected</w:t>
      </w:r>
      <w:r w:rsidRPr="00C5638A">
        <w:rPr>
          <w:rFonts w:eastAsiaTheme="minorHAnsi"/>
          <w:szCs w:val="22"/>
        </w:rPr>
        <w:t xml:space="preserve"> </w:t>
      </w:r>
      <w:r w:rsidR="0048529C">
        <w:rPr>
          <w:rFonts w:eastAsiaTheme="minorHAnsi"/>
          <w:szCs w:val="22"/>
        </w:rPr>
        <w:t>to dwindle</w:t>
      </w:r>
      <w:r w:rsidRPr="00C5638A">
        <w:rPr>
          <w:rFonts w:eastAsiaTheme="minorHAnsi"/>
          <w:szCs w:val="22"/>
        </w:rPr>
        <w:t>. This</w:t>
      </w:r>
      <w:r w:rsidR="000B3D4D">
        <w:rPr>
          <w:rFonts w:eastAsiaTheme="minorHAnsi"/>
          <w:szCs w:val="22"/>
        </w:rPr>
        <w:t>,</w:t>
      </w:r>
      <w:r w:rsidRPr="00C5638A">
        <w:rPr>
          <w:rFonts w:eastAsiaTheme="minorHAnsi"/>
          <w:szCs w:val="22"/>
        </w:rPr>
        <w:t xml:space="preserve"> combined with the exhaustion of some active uranium mines</w:t>
      </w:r>
      <w:r w:rsidR="000B3D4D">
        <w:rPr>
          <w:rFonts w:eastAsiaTheme="minorHAnsi"/>
          <w:szCs w:val="22"/>
        </w:rPr>
        <w:t>,</w:t>
      </w:r>
      <w:r w:rsidRPr="00C5638A">
        <w:rPr>
          <w:rFonts w:eastAsiaTheme="minorHAnsi"/>
          <w:szCs w:val="22"/>
        </w:rPr>
        <w:t xml:space="preserve"> requires that the uranium resource base and global production capacity be further advanced in order to meet current and future demands. The current oversupply could potentially lead to undersupply in the medium to long term. Due to long lead times from discovery to production, </w:t>
      </w:r>
      <w:r w:rsidR="0048529C">
        <w:rPr>
          <w:rFonts w:eastAsiaTheme="minorHAnsi"/>
          <w:szCs w:val="22"/>
        </w:rPr>
        <w:t xml:space="preserve">the </w:t>
      </w:r>
      <w:r w:rsidRPr="00C5638A">
        <w:rPr>
          <w:rFonts w:eastAsiaTheme="minorHAnsi"/>
          <w:szCs w:val="22"/>
        </w:rPr>
        <w:t>re-evaluation of uranium resources is required now</w:t>
      </w:r>
      <w:r w:rsidR="0048529C">
        <w:rPr>
          <w:rFonts w:eastAsiaTheme="minorHAnsi"/>
          <w:szCs w:val="22"/>
        </w:rPr>
        <w:t>.</w:t>
      </w:r>
    </w:p>
    <w:p w:rsidR="003F5A29" w:rsidRPr="0057669D" w:rsidRDefault="00C5638A" w:rsidP="003B374C">
      <w:pPr>
        <w:pStyle w:val="Heading1"/>
        <w:keepNext/>
        <w:keepLines/>
        <w:ind w:left="426" w:hanging="426"/>
      </w:pPr>
      <w:r>
        <w:t xml:space="preserve">Purpose and </w:t>
      </w:r>
      <w:r w:rsidR="003F5A29" w:rsidRPr="0057669D">
        <w:t>Objective</w:t>
      </w:r>
      <w:r w:rsidR="00D541A4" w:rsidRPr="0057669D">
        <w:t>s</w:t>
      </w:r>
    </w:p>
    <w:p w:rsidR="00C5638A" w:rsidRPr="00C5638A" w:rsidRDefault="00C5638A" w:rsidP="0048529C">
      <w:pPr>
        <w:spacing w:after="170" w:line="280" w:lineRule="atLeast"/>
        <w:jc w:val="both"/>
        <w:rPr>
          <w:rFonts w:eastAsiaTheme="minorHAnsi"/>
          <w:szCs w:val="22"/>
        </w:rPr>
      </w:pPr>
      <w:r w:rsidRPr="00C5638A">
        <w:rPr>
          <w:rFonts w:eastAsiaTheme="minorHAnsi"/>
          <w:szCs w:val="22"/>
        </w:rPr>
        <w:t>The long term sustainability of nuclear power will depend on, among several factors, an adequate supply of uranium resources that can be delivered to the marketplace at competitive prices. New exploration technolog</w:t>
      </w:r>
      <w:r w:rsidR="0048529C">
        <w:rPr>
          <w:rFonts w:eastAsiaTheme="minorHAnsi"/>
          <w:szCs w:val="22"/>
        </w:rPr>
        <w:t>ies</w:t>
      </w:r>
      <w:r w:rsidRPr="00C5638A">
        <w:rPr>
          <w:rFonts w:eastAsiaTheme="minorHAnsi"/>
          <w:szCs w:val="22"/>
        </w:rPr>
        <w:t xml:space="preserve"> and a better understanding of the recognition criteria and genesis of the uranium ores will be required to discover </w:t>
      </w:r>
      <w:r w:rsidR="0048529C" w:rsidRPr="00C5638A">
        <w:rPr>
          <w:rFonts w:eastAsiaTheme="minorHAnsi"/>
          <w:szCs w:val="22"/>
        </w:rPr>
        <w:t xml:space="preserve">and delineate </w:t>
      </w:r>
      <w:r w:rsidRPr="00C5638A">
        <w:rPr>
          <w:rFonts w:eastAsiaTheme="minorHAnsi"/>
          <w:szCs w:val="22"/>
        </w:rPr>
        <w:t>increasingly difficult</w:t>
      </w:r>
      <w:r w:rsidR="0048529C">
        <w:rPr>
          <w:rFonts w:eastAsiaTheme="minorHAnsi"/>
          <w:szCs w:val="22"/>
        </w:rPr>
        <w:t>-</w:t>
      </w:r>
      <w:r w:rsidRPr="00C5638A">
        <w:rPr>
          <w:rFonts w:eastAsiaTheme="minorHAnsi"/>
          <w:szCs w:val="22"/>
        </w:rPr>
        <w:t>to</w:t>
      </w:r>
      <w:r w:rsidR="0048529C">
        <w:rPr>
          <w:rFonts w:eastAsiaTheme="minorHAnsi"/>
          <w:szCs w:val="22"/>
        </w:rPr>
        <w:t>-</w:t>
      </w:r>
      <w:r w:rsidRPr="00C5638A">
        <w:rPr>
          <w:rFonts w:eastAsiaTheme="minorHAnsi"/>
          <w:szCs w:val="22"/>
        </w:rPr>
        <w:t>locate</w:t>
      </w:r>
      <w:r w:rsidR="0048529C">
        <w:rPr>
          <w:rFonts w:eastAsiaTheme="minorHAnsi"/>
          <w:szCs w:val="22"/>
        </w:rPr>
        <w:t xml:space="preserve"> </w:t>
      </w:r>
      <w:r w:rsidRPr="00C5638A">
        <w:rPr>
          <w:rFonts w:eastAsiaTheme="minorHAnsi"/>
          <w:szCs w:val="22"/>
        </w:rPr>
        <w:t>uranium deposits</w:t>
      </w:r>
      <w:r w:rsidR="0090794B">
        <w:rPr>
          <w:rFonts w:eastAsiaTheme="minorHAnsi"/>
          <w:szCs w:val="22"/>
        </w:rPr>
        <w:t>, particularly those of</w:t>
      </w:r>
      <w:r w:rsidR="0090794B" w:rsidRPr="00C5638A">
        <w:rPr>
          <w:rFonts w:eastAsiaTheme="minorHAnsi"/>
          <w:szCs w:val="22"/>
        </w:rPr>
        <w:t xml:space="preserve"> low cost</w:t>
      </w:r>
      <w:r w:rsidR="0090794B">
        <w:rPr>
          <w:rFonts w:eastAsiaTheme="minorHAnsi"/>
          <w:szCs w:val="22"/>
        </w:rPr>
        <w:t>.</w:t>
      </w:r>
      <w:r w:rsidR="0090794B" w:rsidRPr="00C5638A">
        <w:rPr>
          <w:rFonts w:eastAsiaTheme="minorHAnsi"/>
          <w:szCs w:val="22"/>
        </w:rPr>
        <w:t xml:space="preserve"> </w:t>
      </w:r>
      <w:r w:rsidRPr="00C5638A">
        <w:rPr>
          <w:rFonts w:eastAsiaTheme="minorHAnsi"/>
          <w:szCs w:val="22"/>
        </w:rPr>
        <w:t>In addition, exploration, mining and milling technologies should be environmentally benign</w:t>
      </w:r>
      <w:r w:rsidR="0048529C">
        <w:rPr>
          <w:rFonts w:eastAsiaTheme="minorHAnsi"/>
          <w:szCs w:val="22"/>
        </w:rPr>
        <w:t>,</w:t>
      </w:r>
      <w:r w:rsidRPr="00C5638A">
        <w:rPr>
          <w:rFonts w:eastAsiaTheme="minorHAnsi"/>
          <w:szCs w:val="22"/>
        </w:rPr>
        <w:t xml:space="preserve"> and site decommissioning plans </w:t>
      </w:r>
      <w:r w:rsidR="0048529C">
        <w:rPr>
          <w:rFonts w:eastAsiaTheme="minorHAnsi"/>
          <w:szCs w:val="22"/>
        </w:rPr>
        <w:t>need to</w:t>
      </w:r>
      <w:r w:rsidR="0048529C" w:rsidRPr="00C5638A">
        <w:rPr>
          <w:rFonts w:eastAsiaTheme="minorHAnsi"/>
          <w:szCs w:val="22"/>
        </w:rPr>
        <w:t xml:space="preserve"> </w:t>
      </w:r>
      <w:r w:rsidRPr="00C5638A">
        <w:rPr>
          <w:rFonts w:eastAsiaTheme="minorHAnsi"/>
          <w:szCs w:val="22"/>
        </w:rPr>
        <w:t>meet the requirements of increasingly stringent environmental regulations and societal expectations.</w:t>
      </w:r>
    </w:p>
    <w:p w:rsidR="003F5A29" w:rsidRPr="00C5638A" w:rsidRDefault="00C5638A" w:rsidP="00C91020">
      <w:pPr>
        <w:pStyle w:val="BodyText"/>
      </w:pPr>
      <w:r w:rsidRPr="00C5638A">
        <w:rPr>
          <w:rFonts w:eastAsiaTheme="minorHAnsi"/>
          <w:szCs w:val="22"/>
        </w:rPr>
        <w:t>The purpose of the symposium is to analyse uranium supply</w:t>
      </w:r>
      <w:r w:rsidR="0048529C">
        <w:rPr>
          <w:rFonts w:eastAsiaTheme="minorHAnsi"/>
          <w:szCs w:val="22"/>
        </w:rPr>
        <w:t xml:space="preserve"> and </w:t>
      </w:r>
      <w:r w:rsidRPr="00C5638A">
        <w:rPr>
          <w:rFonts w:eastAsiaTheme="minorHAnsi"/>
          <w:szCs w:val="22"/>
        </w:rPr>
        <w:t xml:space="preserve">demand scenarios and to present and discuss new developments in uranium geology, exploration, mining, milling and processing, as well as </w:t>
      </w:r>
      <w:r w:rsidR="0048529C">
        <w:rPr>
          <w:rFonts w:eastAsiaTheme="minorHAnsi"/>
          <w:szCs w:val="22"/>
        </w:rPr>
        <w:t xml:space="preserve">the </w:t>
      </w:r>
      <w:r w:rsidRPr="00C5638A">
        <w:rPr>
          <w:rFonts w:eastAsiaTheme="minorHAnsi"/>
          <w:szCs w:val="22"/>
        </w:rPr>
        <w:t>environmental requirements for uranium operations and site decommissioning. The presentations and discussions at URAM</w:t>
      </w:r>
      <w:r w:rsidR="0048529C">
        <w:rPr>
          <w:rFonts w:eastAsiaTheme="minorHAnsi"/>
          <w:szCs w:val="22"/>
        </w:rPr>
        <w:t>-</w:t>
      </w:r>
      <w:r w:rsidRPr="00C5638A">
        <w:rPr>
          <w:rFonts w:eastAsiaTheme="minorHAnsi"/>
          <w:szCs w:val="22"/>
        </w:rPr>
        <w:t>2018 will:</w:t>
      </w:r>
    </w:p>
    <w:p w:rsidR="00651728" w:rsidRPr="00C91020" w:rsidRDefault="00651728" w:rsidP="00C91020">
      <w:pPr>
        <w:pStyle w:val="ListParagraph"/>
        <w:numPr>
          <w:ilvl w:val="0"/>
          <w:numId w:val="8"/>
        </w:numPr>
        <w:tabs>
          <w:tab w:val="clear" w:pos="360"/>
        </w:tabs>
        <w:overflowPunct/>
        <w:autoSpaceDE/>
        <w:autoSpaceDN/>
        <w:adjustRightInd/>
        <w:spacing w:after="170" w:line="280" w:lineRule="atLeast"/>
        <w:ind w:left="714" w:hanging="357"/>
        <w:contextualSpacing w:val="0"/>
        <w:jc w:val="both"/>
        <w:textAlignment w:val="auto"/>
        <w:rPr>
          <w:rFonts w:eastAsiaTheme="minorHAnsi"/>
          <w:szCs w:val="22"/>
        </w:rPr>
      </w:pPr>
      <w:r w:rsidRPr="00C91020">
        <w:rPr>
          <w:rFonts w:eastAsiaTheme="minorHAnsi"/>
          <w:szCs w:val="22"/>
        </w:rPr>
        <w:t>Lead to a better understanding of the adequacy of uranium supply to meet future demand;</w:t>
      </w:r>
    </w:p>
    <w:p w:rsidR="00651728" w:rsidRPr="00C91020" w:rsidRDefault="00651728" w:rsidP="00C91020">
      <w:pPr>
        <w:pStyle w:val="ListParagraph"/>
        <w:numPr>
          <w:ilvl w:val="0"/>
          <w:numId w:val="8"/>
        </w:numPr>
        <w:tabs>
          <w:tab w:val="clear" w:pos="360"/>
        </w:tabs>
        <w:overflowPunct/>
        <w:autoSpaceDE/>
        <w:autoSpaceDN/>
        <w:adjustRightInd/>
        <w:spacing w:after="170" w:line="280" w:lineRule="atLeast"/>
        <w:ind w:left="714" w:hanging="357"/>
        <w:contextualSpacing w:val="0"/>
        <w:jc w:val="both"/>
        <w:textAlignment w:val="auto"/>
        <w:rPr>
          <w:rFonts w:eastAsiaTheme="minorHAnsi"/>
          <w:szCs w:val="22"/>
        </w:rPr>
      </w:pPr>
      <w:r w:rsidRPr="00C91020">
        <w:rPr>
          <w:rFonts w:eastAsiaTheme="minorHAnsi"/>
          <w:szCs w:val="22"/>
        </w:rPr>
        <w:lastRenderedPageBreak/>
        <w:t xml:space="preserve">Provide information on geological models, new exploration concepts, knowledge and technologies that </w:t>
      </w:r>
      <w:r w:rsidR="00092710">
        <w:rPr>
          <w:rFonts w:eastAsiaTheme="minorHAnsi"/>
          <w:szCs w:val="22"/>
        </w:rPr>
        <w:t>may</w:t>
      </w:r>
      <w:r w:rsidR="00092710" w:rsidRPr="00C91020">
        <w:rPr>
          <w:rFonts w:eastAsiaTheme="minorHAnsi"/>
          <w:szCs w:val="22"/>
        </w:rPr>
        <w:t xml:space="preserve"> </w:t>
      </w:r>
      <w:r w:rsidRPr="00C91020">
        <w:rPr>
          <w:rFonts w:eastAsiaTheme="minorHAnsi"/>
          <w:szCs w:val="22"/>
        </w:rPr>
        <w:t xml:space="preserve">potentially </w:t>
      </w:r>
      <w:r w:rsidR="00092710">
        <w:rPr>
          <w:rFonts w:eastAsiaTheme="minorHAnsi"/>
          <w:szCs w:val="22"/>
        </w:rPr>
        <w:t>result in</w:t>
      </w:r>
      <w:r w:rsidRPr="00C91020">
        <w:rPr>
          <w:rFonts w:eastAsiaTheme="minorHAnsi"/>
          <w:szCs w:val="22"/>
        </w:rPr>
        <w:t xml:space="preserve"> the discovery and development of new uranium resources;</w:t>
      </w:r>
    </w:p>
    <w:p w:rsidR="00651728" w:rsidRPr="00C91020" w:rsidRDefault="00651728" w:rsidP="00C91020">
      <w:pPr>
        <w:pStyle w:val="ListParagraph"/>
        <w:numPr>
          <w:ilvl w:val="0"/>
          <w:numId w:val="8"/>
        </w:numPr>
        <w:tabs>
          <w:tab w:val="clear" w:pos="360"/>
        </w:tabs>
        <w:overflowPunct/>
        <w:autoSpaceDE/>
        <w:autoSpaceDN/>
        <w:adjustRightInd/>
        <w:spacing w:after="170" w:line="280" w:lineRule="atLeast"/>
        <w:ind w:left="714" w:hanging="357"/>
        <w:contextualSpacing w:val="0"/>
        <w:jc w:val="both"/>
        <w:textAlignment w:val="auto"/>
        <w:rPr>
          <w:rFonts w:eastAsiaTheme="minorHAnsi"/>
          <w:szCs w:val="22"/>
        </w:rPr>
      </w:pPr>
      <w:r w:rsidRPr="00C91020">
        <w:rPr>
          <w:rFonts w:eastAsiaTheme="minorHAnsi"/>
          <w:szCs w:val="22"/>
        </w:rPr>
        <w:t xml:space="preserve">Describe new mining and processing technologies that have the potential to </w:t>
      </w:r>
      <w:r w:rsidR="00092710">
        <w:rPr>
          <w:rFonts w:eastAsiaTheme="minorHAnsi"/>
          <w:szCs w:val="22"/>
        </w:rPr>
        <w:t xml:space="preserve">support a </w:t>
      </w:r>
      <w:r w:rsidRPr="00C91020">
        <w:rPr>
          <w:rFonts w:eastAsiaTheme="minorHAnsi"/>
          <w:szCs w:val="22"/>
        </w:rPr>
        <w:t>more efficient and sustainabl</w:t>
      </w:r>
      <w:r w:rsidR="00092710">
        <w:rPr>
          <w:rFonts w:eastAsiaTheme="minorHAnsi"/>
          <w:szCs w:val="22"/>
        </w:rPr>
        <w:t>e development of</w:t>
      </w:r>
      <w:r w:rsidRPr="00C91020">
        <w:rPr>
          <w:rFonts w:eastAsiaTheme="minorHAnsi"/>
          <w:szCs w:val="22"/>
        </w:rPr>
        <w:t xml:space="preserve"> uranium and related resources;</w:t>
      </w:r>
      <w:r w:rsidR="00092710">
        <w:rPr>
          <w:rFonts w:eastAsiaTheme="minorHAnsi"/>
          <w:szCs w:val="22"/>
        </w:rPr>
        <w:t xml:space="preserve"> and</w:t>
      </w:r>
    </w:p>
    <w:p w:rsidR="00651728" w:rsidRPr="00C91020" w:rsidRDefault="00E61AFB" w:rsidP="00C91020">
      <w:pPr>
        <w:pStyle w:val="ListParagraph"/>
        <w:numPr>
          <w:ilvl w:val="0"/>
          <w:numId w:val="8"/>
        </w:numPr>
        <w:tabs>
          <w:tab w:val="clear" w:pos="360"/>
        </w:tabs>
        <w:overflowPunct/>
        <w:autoSpaceDE/>
        <w:autoSpaceDN/>
        <w:adjustRightInd/>
        <w:spacing w:after="170" w:line="280" w:lineRule="atLeast"/>
        <w:ind w:left="714" w:hanging="357"/>
        <w:contextualSpacing w:val="0"/>
        <w:jc w:val="both"/>
        <w:textAlignment w:val="auto"/>
        <w:rPr>
          <w:rFonts w:eastAsiaTheme="minorHAnsi"/>
          <w:szCs w:val="22"/>
        </w:rPr>
      </w:pPr>
      <w:r>
        <w:rPr>
          <w:rFonts w:eastAsiaTheme="minorHAnsi"/>
          <w:szCs w:val="22"/>
        </w:rPr>
        <w:t>Consider</w:t>
      </w:r>
      <w:r w:rsidRPr="00C91020">
        <w:rPr>
          <w:rFonts w:eastAsiaTheme="minorHAnsi"/>
          <w:szCs w:val="22"/>
        </w:rPr>
        <w:t xml:space="preserve"> </w:t>
      </w:r>
      <w:r w:rsidR="00651728" w:rsidRPr="00C91020">
        <w:rPr>
          <w:rFonts w:eastAsiaTheme="minorHAnsi"/>
          <w:szCs w:val="22"/>
        </w:rPr>
        <w:t>the environmental compatibility of uranium production and the overall effectiveness of progressive waste management, decommissioning and remediation of production facilities.</w:t>
      </w:r>
    </w:p>
    <w:p w:rsidR="00651728" w:rsidRDefault="00651728" w:rsidP="00C91020">
      <w:pPr>
        <w:overflowPunct/>
        <w:autoSpaceDE/>
        <w:autoSpaceDN/>
        <w:adjustRightInd/>
        <w:spacing w:after="170" w:line="280" w:lineRule="atLeast"/>
        <w:jc w:val="both"/>
        <w:textAlignment w:val="auto"/>
      </w:pPr>
      <w:r>
        <w:t>URAM</w:t>
      </w:r>
      <w:r w:rsidR="00E61AFB">
        <w:t>-</w:t>
      </w:r>
      <w:r>
        <w:t xml:space="preserve">2018 is intended to bring together scientists, managers, exploration and mining geologists, mineral economists, engineers, operators, regulators, community representatives, social scientists, </w:t>
      </w:r>
      <w:r w:rsidR="00E61AFB">
        <w:t xml:space="preserve">nuclear </w:t>
      </w:r>
      <w:r>
        <w:t xml:space="preserve">fuel cycle and environmental specialists and young professionals to exchange information and discuss updated research and current issues </w:t>
      </w:r>
      <w:r w:rsidR="00E61AFB">
        <w:t xml:space="preserve">related to </w:t>
      </w:r>
      <w:r>
        <w:t>uranium geology and deposits, exploration, mining and processing, production economics and environmental and legal issues.</w:t>
      </w:r>
    </w:p>
    <w:p w:rsidR="003F5A29" w:rsidRPr="006B5F57" w:rsidRDefault="003F5A29" w:rsidP="004E6CFA">
      <w:pPr>
        <w:pStyle w:val="Heading1"/>
        <w:ind w:left="426" w:hanging="426"/>
      </w:pPr>
      <w:bookmarkStart w:id="1" w:name="_Ref485285711"/>
      <w:bookmarkStart w:id="2" w:name="_Ref493145105"/>
      <w:r w:rsidRPr="006B5F57">
        <w:t>Topics</w:t>
      </w:r>
      <w:bookmarkEnd w:id="1"/>
      <w:r w:rsidR="00651728">
        <w:t xml:space="preserve"> and Format</w:t>
      </w:r>
      <w:bookmarkEnd w:id="2"/>
    </w:p>
    <w:p w:rsidR="00651728" w:rsidRPr="00656F5C" w:rsidRDefault="00651728" w:rsidP="00C91020">
      <w:pPr>
        <w:spacing w:after="170" w:line="280" w:lineRule="atLeast"/>
        <w:rPr>
          <w:szCs w:val="22"/>
        </w:rPr>
      </w:pPr>
      <w:r w:rsidRPr="00656F5C">
        <w:rPr>
          <w:szCs w:val="22"/>
        </w:rPr>
        <w:t>Contributed papers will be accepted on the following topics:</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Nuclear power and associated modern energy markets</w:t>
      </w:r>
    </w:p>
    <w:p w:rsidR="00651728" w:rsidRPr="00656F5C"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Policies, carbon goals and climate change (</w:t>
      </w:r>
      <w:r w:rsidR="00E61AFB">
        <w:rPr>
          <w:szCs w:val="22"/>
        </w:rPr>
        <w:t xml:space="preserve">with reference to </w:t>
      </w:r>
      <w:r w:rsidRPr="00656F5C">
        <w:rPr>
          <w:szCs w:val="22"/>
        </w:rPr>
        <w:t>COP</w:t>
      </w:r>
      <w:r w:rsidR="00E61AFB">
        <w:rPr>
          <w:szCs w:val="22"/>
        </w:rPr>
        <w:t>-</w:t>
      </w:r>
      <w:r w:rsidRPr="00656F5C">
        <w:rPr>
          <w:szCs w:val="22"/>
        </w:rPr>
        <w:t>21)</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Nuclear and renewables as a future energy mix</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Energy trends </w:t>
      </w:r>
    </w:p>
    <w:p w:rsidR="00651728" w:rsidRPr="00656F5C"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 xml:space="preserve"> Uranium </w:t>
      </w:r>
      <w:r w:rsidR="00E61AFB">
        <w:rPr>
          <w:szCs w:val="22"/>
        </w:rPr>
        <w:t>m</w:t>
      </w:r>
      <w:r w:rsidRPr="00656F5C">
        <w:rPr>
          <w:szCs w:val="22"/>
        </w:rPr>
        <w:t>arkets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Supply and demand</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Market trends</w:t>
      </w:r>
      <w:r w:rsidRPr="0090794B" w:rsidDel="00656C34">
        <w:rPr>
          <w:szCs w:val="22"/>
        </w:rPr>
        <w:t xml:space="preserve"> </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Secondary supplies and inventories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Economics of production: constraints and improvements</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Applied geology and geometallurgy of uranium and associated metals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Uranium deposit types and recognition criteria</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Geochemistry and mineralogy of deposits and tailings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Uranium provinces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Genetic models</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Advances in exploration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Geological, geophysical, geochemical methods </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Exploration stories: lessons from success or failure</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Resource estimation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lastRenderedPageBreak/>
        <w:t>Regional spatial and quantitative uranium modelling</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Economic evaluations of uranium projects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Classification and reporting standards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Conceptual, scoping, pre-feasibility and feasibility studies </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Project priority, maturity ranking and timelines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Case studies</w:t>
      </w:r>
    </w:p>
    <w:p w:rsidR="00651728" w:rsidRPr="00656F5C"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Socio</w:t>
      </w:r>
      <w:r w:rsidR="00E61AFB">
        <w:rPr>
          <w:szCs w:val="22"/>
        </w:rPr>
        <w:t>-</w:t>
      </w:r>
      <w:r w:rsidRPr="00656F5C">
        <w:rPr>
          <w:szCs w:val="22"/>
        </w:rPr>
        <w:t>economics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Financing of uranium projects</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Underground and open pit uranium mining and milling</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 Advances in mining technologies and applications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Ore beneficiation and processing</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New and emerging technologies in uranium milling</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Advances in heap leaching</w:t>
      </w:r>
    </w:p>
    <w:p w:rsidR="00651728" w:rsidRPr="00656F5C"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 xml:space="preserve">Uranium production by </w:t>
      </w:r>
      <w:r w:rsidR="00E61AFB">
        <w:rPr>
          <w:szCs w:val="22"/>
        </w:rPr>
        <w:t xml:space="preserve">the </w:t>
      </w:r>
      <w:r w:rsidRPr="00656F5C">
        <w:rPr>
          <w:szCs w:val="22"/>
        </w:rPr>
        <w:t>in</w:t>
      </w:r>
      <w:r w:rsidR="00E61AFB">
        <w:rPr>
          <w:szCs w:val="22"/>
        </w:rPr>
        <w:t xml:space="preserve"> </w:t>
      </w:r>
      <w:r w:rsidRPr="00656F5C">
        <w:rPr>
          <w:szCs w:val="22"/>
        </w:rPr>
        <w:t>situ leach</w:t>
      </w:r>
      <w:r w:rsidR="00E61AFB">
        <w:rPr>
          <w:szCs w:val="22"/>
        </w:rPr>
        <w:t>ing (ISL)</w:t>
      </w:r>
      <w:r w:rsidRPr="00656F5C">
        <w:rPr>
          <w:szCs w:val="22"/>
        </w:rPr>
        <w:t xml:space="preserve"> process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ISL exploration and resource estimation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ISL mining and processing </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ISL closure and remediation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ISL case studies</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Uranium from unconventional resources</w:t>
      </w:r>
    </w:p>
    <w:p w:rsidR="00651728" w:rsidRPr="00656F5C"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Unconventional uranium resources </w:t>
      </w:r>
      <w:r w:rsidR="00E61AFB">
        <w:rPr>
          <w:szCs w:val="22"/>
        </w:rPr>
        <w:t>(</w:t>
      </w:r>
      <w:r w:rsidRPr="00656F5C">
        <w:rPr>
          <w:szCs w:val="22"/>
        </w:rPr>
        <w:t xml:space="preserve">e.g. </w:t>
      </w:r>
      <w:r w:rsidR="00E61AFB">
        <w:rPr>
          <w:szCs w:val="22"/>
        </w:rPr>
        <w:t>extraction of uranium</w:t>
      </w:r>
      <w:r w:rsidR="00E61AFB" w:rsidRPr="00656F5C">
        <w:rPr>
          <w:szCs w:val="22"/>
        </w:rPr>
        <w:t xml:space="preserve"> </w:t>
      </w:r>
      <w:r w:rsidRPr="00656F5C">
        <w:rPr>
          <w:szCs w:val="22"/>
        </w:rPr>
        <w:t xml:space="preserve">from </w:t>
      </w:r>
      <w:r w:rsidR="00E61AFB">
        <w:rPr>
          <w:szCs w:val="22"/>
        </w:rPr>
        <w:t>phosphates)</w:t>
      </w:r>
    </w:p>
    <w:p w:rsidR="00651728" w:rsidRPr="00656F5C" w:rsidRDefault="00E61AFB" w:rsidP="00C91020">
      <w:pPr>
        <w:pStyle w:val="ListParagraph"/>
        <w:numPr>
          <w:ilvl w:val="1"/>
          <w:numId w:val="22"/>
        </w:numPr>
        <w:overflowPunct/>
        <w:autoSpaceDE/>
        <w:autoSpaceDN/>
        <w:adjustRightInd/>
        <w:spacing w:after="170" w:line="280" w:lineRule="atLeast"/>
        <w:contextualSpacing w:val="0"/>
        <w:textAlignment w:val="auto"/>
        <w:rPr>
          <w:szCs w:val="22"/>
        </w:rPr>
      </w:pPr>
      <w:r>
        <w:rPr>
          <w:szCs w:val="22"/>
        </w:rPr>
        <w:t>P</w:t>
      </w:r>
      <w:r w:rsidRPr="00751008">
        <w:rPr>
          <w:szCs w:val="22"/>
        </w:rPr>
        <w:t>roduction</w:t>
      </w:r>
      <w:r w:rsidRPr="00E61AFB">
        <w:rPr>
          <w:szCs w:val="22"/>
        </w:rPr>
        <w:t xml:space="preserve"> </w:t>
      </w:r>
      <w:r>
        <w:rPr>
          <w:szCs w:val="22"/>
        </w:rPr>
        <w:t xml:space="preserve">of </w:t>
      </w:r>
      <w:r w:rsidRPr="000B7414">
        <w:rPr>
          <w:szCs w:val="22"/>
        </w:rPr>
        <w:t>uranium</w:t>
      </w:r>
      <w:r w:rsidRPr="00E61AFB">
        <w:rPr>
          <w:szCs w:val="22"/>
        </w:rPr>
        <w:t xml:space="preserve"> </w:t>
      </w:r>
      <w:r>
        <w:rPr>
          <w:szCs w:val="22"/>
        </w:rPr>
        <w:t>as a b</w:t>
      </w:r>
      <w:r w:rsidR="00651728" w:rsidRPr="00656F5C">
        <w:rPr>
          <w:szCs w:val="22"/>
        </w:rPr>
        <w:t>y- and co-product</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Uranium from salt water</w:t>
      </w:r>
    </w:p>
    <w:p w:rsidR="00651728" w:rsidRPr="00656F5C"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 xml:space="preserve">Thorium and associated resources </w:t>
      </w:r>
      <w:r w:rsidR="006B441E">
        <w:rPr>
          <w:szCs w:val="22"/>
        </w:rPr>
        <w:t>—</w:t>
      </w:r>
      <w:r w:rsidR="006B441E" w:rsidRPr="00656F5C">
        <w:rPr>
          <w:szCs w:val="22"/>
        </w:rPr>
        <w:t xml:space="preserve"> </w:t>
      </w:r>
      <w:r w:rsidRPr="00656F5C">
        <w:rPr>
          <w:szCs w:val="22"/>
        </w:rPr>
        <w:t>international and national initiatives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Thorium resources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Thorium utilization scenarios and policies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By-product thorium and associated metals</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Health, safety, environment and social responsibility</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 xml:space="preserve">Advances in </w:t>
      </w:r>
      <w:r w:rsidR="004204FA" w:rsidRPr="0090794B">
        <w:rPr>
          <w:szCs w:val="22"/>
        </w:rPr>
        <w:t>r</w:t>
      </w:r>
      <w:r w:rsidRPr="0090794B">
        <w:rPr>
          <w:szCs w:val="22"/>
        </w:rPr>
        <w:t>adon management and radiation exposure reduction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Risk-based assessments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Regulatory issues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Managing legacy issues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lastRenderedPageBreak/>
        <w:t>Stakeholder communications, engagement and public hearings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Indigenous aspects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Social and community return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Environmental assessment and management</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Tailings and waste management</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Progressive end-of-life remediation</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Evaluation of tailings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Mine site regeneration</w:t>
      </w:r>
    </w:p>
    <w:p w:rsidR="00651728" w:rsidRPr="0090794B" w:rsidRDefault="00651728" w:rsidP="00C91020">
      <w:pPr>
        <w:pStyle w:val="ListParagraph"/>
        <w:numPr>
          <w:ilvl w:val="0"/>
          <w:numId w:val="22"/>
        </w:numPr>
        <w:overflowPunct/>
        <w:autoSpaceDE/>
        <w:autoSpaceDN/>
        <w:adjustRightInd/>
        <w:spacing w:after="170" w:line="280" w:lineRule="atLeast"/>
        <w:contextualSpacing w:val="0"/>
        <w:textAlignment w:val="auto"/>
        <w:rPr>
          <w:szCs w:val="22"/>
        </w:rPr>
      </w:pPr>
      <w:r w:rsidRPr="0090794B">
        <w:rPr>
          <w:szCs w:val="22"/>
        </w:rPr>
        <w:t>Uranium newcomers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Update of uranium exploration and mining activities, newcomers</w:t>
      </w:r>
    </w:p>
    <w:p w:rsidR="00651728" w:rsidRPr="0090794B" w:rsidRDefault="00651728" w:rsidP="00C91020">
      <w:pPr>
        <w:pStyle w:val="ListParagraph"/>
        <w:numPr>
          <w:ilvl w:val="1"/>
          <w:numId w:val="22"/>
        </w:numPr>
        <w:overflowPunct/>
        <w:autoSpaceDE/>
        <w:autoSpaceDN/>
        <w:adjustRightInd/>
        <w:spacing w:after="170" w:line="280" w:lineRule="atLeast"/>
        <w:contextualSpacing w:val="0"/>
        <w:textAlignment w:val="auto"/>
        <w:rPr>
          <w:szCs w:val="22"/>
        </w:rPr>
      </w:pPr>
      <w:r w:rsidRPr="0090794B">
        <w:rPr>
          <w:szCs w:val="22"/>
        </w:rPr>
        <w:t>Opportunities and challenges</w:t>
      </w:r>
    </w:p>
    <w:p w:rsidR="00817ACC" w:rsidRPr="0090794B" w:rsidRDefault="00651728" w:rsidP="00E61AFB">
      <w:pPr>
        <w:pStyle w:val="BodyText"/>
        <w:widowControl w:val="0"/>
        <w:tabs>
          <w:tab w:val="left" w:pos="828"/>
        </w:tabs>
        <w:overflowPunct w:val="0"/>
        <w:autoSpaceDE w:val="0"/>
        <w:autoSpaceDN w:val="0"/>
        <w:adjustRightInd w:val="0"/>
        <w:textAlignment w:val="baseline"/>
        <w:rPr>
          <w:rFonts w:cstheme="minorHAnsi"/>
          <w:szCs w:val="22"/>
        </w:rPr>
      </w:pPr>
      <w:r w:rsidRPr="0090794B">
        <w:rPr>
          <w:rFonts w:cstheme="minorHAnsi"/>
          <w:szCs w:val="22"/>
        </w:rPr>
        <w:t xml:space="preserve">The </w:t>
      </w:r>
      <w:r w:rsidR="00E61AFB">
        <w:rPr>
          <w:rFonts w:cstheme="minorHAnsi"/>
          <w:szCs w:val="22"/>
        </w:rPr>
        <w:t>s</w:t>
      </w:r>
      <w:r w:rsidRPr="00656F5C">
        <w:rPr>
          <w:rFonts w:cstheme="minorHAnsi"/>
          <w:szCs w:val="22"/>
        </w:rPr>
        <w:t>ymposium programme will consist of plenary sessions, parallel technical sessions</w:t>
      </w:r>
      <w:r w:rsidR="00157289" w:rsidRPr="00656F5C">
        <w:rPr>
          <w:rFonts w:cstheme="minorHAnsi"/>
          <w:szCs w:val="22"/>
        </w:rPr>
        <w:t xml:space="preserve"> (as required)</w:t>
      </w:r>
      <w:r w:rsidRPr="00656F5C">
        <w:rPr>
          <w:rFonts w:cstheme="minorHAnsi"/>
          <w:szCs w:val="22"/>
        </w:rPr>
        <w:t>, a poster session and closing uranium industry panel discussions.</w:t>
      </w:r>
    </w:p>
    <w:p w:rsidR="003F5A29" w:rsidRDefault="003F5A29" w:rsidP="00184020">
      <w:pPr>
        <w:pStyle w:val="Heading1"/>
        <w:ind w:left="426" w:hanging="426"/>
      </w:pPr>
      <w:r>
        <w:t xml:space="preserve">Contributed Papers and </w:t>
      </w:r>
      <w:r w:rsidR="00651728">
        <w:t>Posters</w:t>
      </w:r>
    </w:p>
    <w:p w:rsidR="00651728" w:rsidRPr="00651728" w:rsidRDefault="00651728" w:rsidP="00C91020">
      <w:pPr>
        <w:spacing w:after="170" w:line="280" w:lineRule="atLeast"/>
        <w:jc w:val="both"/>
        <w:rPr>
          <w:rFonts w:asciiTheme="minorHAnsi" w:eastAsiaTheme="minorHAnsi" w:hAnsiTheme="minorHAnsi" w:cstheme="minorBidi"/>
          <w:szCs w:val="22"/>
        </w:rPr>
      </w:pPr>
      <w:r w:rsidRPr="00651728">
        <w:rPr>
          <w:rFonts w:eastAsiaTheme="minorHAnsi"/>
          <w:szCs w:val="22"/>
        </w:rPr>
        <w:t xml:space="preserve">Concise papers on topics falling within the scope of the symposium (see Section </w:t>
      </w:r>
      <w:r w:rsidR="006B441E">
        <w:rPr>
          <w:rFonts w:eastAsiaTheme="minorHAnsi"/>
          <w:szCs w:val="22"/>
        </w:rPr>
        <w:fldChar w:fldCharType="begin"/>
      </w:r>
      <w:r w:rsidR="006B441E">
        <w:rPr>
          <w:rFonts w:eastAsiaTheme="minorHAnsi"/>
          <w:szCs w:val="22"/>
        </w:rPr>
        <w:instrText xml:space="preserve"> REF _Ref493145105 \r \h  \* MERGEFORMAT </w:instrText>
      </w:r>
      <w:r w:rsidR="006B441E">
        <w:rPr>
          <w:rFonts w:eastAsiaTheme="minorHAnsi"/>
          <w:szCs w:val="22"/>
        </w:rPr>
      </w:r>
      <w:r w:rsidR="006B441E">
        <w:rPr>
          <w:rFonts w:eastAsiaTheme="minorHAnsi"/>
          <w:szCs w:val="22"/>
        </w:rPr>
        <w:fldChar w:fldCharType="separate"/>
      </w:r>
      <w:r w:rsidR="006B441E">
        <w:rPr>
          <w:rFonts w:eastAsiaTheme="minorHAnsi"/>
          <w:szCs w:val="22"/>
          <w:cs/>
        </w:rPr>
        <w:t>‎</w:t>
      </w:r>
      <w:r w:rsidR="006B441E">
        <w:rPr>
          <w:rFonts w:eastAsiaTheme="minorHAnsi"/>
          <w:szCs w:val="22"/>
        </w:rPr>
        <w:t>C</w:t>
      </w:r>
      <w:r w:rsidR="006B441E">
        <w:rPr>
          <w:rFonts w:eastAsiaTheme="minorHAnsi"/>
          <w:szCs w:val="22"/>
        </w:rPr>
        <w:fldChar w:fldCharType="end"/>
      </w:r>
      <w:r w:rsidRPr="00651728">
        <w:rPr>
          <w:rFonts w:eastAsiaTheme="minorHAnsi"/>
          <w:szCs w:val="22"/>
        </w:rPr>
        <w:t>) may be submitted as contributions to the symposium. All papers, apart from invited papers, must present original work and must not have been published elsewhere.</w:t>
      </w:r>
    </w:p>
    <w:p w:rsidR="003F5A29" w:rsidRDefault="003F5A29" w:rsidP="006B441E">
      <w:pPr>
        <w:pStyle w:val="BodyText"/>
        <w:rPr>
          <w:b/>
          <w:bCs/>
          <w:color w:val="333333"/>
          <w:szCs w:val="19"/>
        </w:rPr>
      </w:pPr>
      <w:r>
        <w:rPr>
          <w:b/>
          <w:bCs/>
          <w:color w:val="333333"/>
          <w:szCs w:val="19"/>
        </w:rPr>
        <w:t>(a)</w:t>
      </w:r>
      <w:r>
        <w:rPr>
          <w:b/>
          <w:bCs/>
          <w:color w:val="333333"/>
          <w:szCs w:val="19"/>
        </w:rPr>
        <w:tab/>
        <w:t xml:space="preserve">Submission </w:t>
      </w:r>
      <w:r w:rsidR="00123858">
        <w:rPr>
          <w:b/>
          <w:bCs/>
          <w:color w:val="333333"/>
          <w:szCs w:val="19"/>
        </w:rPr>
        <w:t xml:space="preserve">of </w:t>
      </w:r>
      <w:r w:rsidR="00C71881">
        <w:rPr>
          <w:b/>
          <w:bCs/>
          <w:color w:val="333333"/>
          <w:szCs w:val="19"/>
        </w:rPr>
        <w:t>a</w:t>
      </w:r>
      <w:r w:rsidR="00123858">
        <w:rPr>
          <w:b/>
          <w:bCs/>
          <w:color w:val="333333"/>
          <w:szCs w:val="19"/>
        </w:rPr>
        <w:t>bstracts</w:t>
      </w:r>
    </w:p>
    <w:p w:rsidR="00431CAF" w:rsidRDefault="00960CA3" w:rsidP="006B441E">
      <w:pPr>
        <w:pStyle w:val="BodyText"/>
      </w:pPr>
      <w:r>
        <w:rPr>
          <w:szCs w:val="22"/>
        </w:rPr>
        <w:t xml:space="preserve">Anyone wishing to present a paper at the </w:t>
      </w:r>
      <w:r w:rsidR="001C4795">
        <w:rPr>
          <w:szCs w:val="22"/>
        </w:rPr>
        <w:t>symposium</w:t>
      </w:r>
      <w:r w:rsidR="00431CAF">
        <w:rPr>
          <w:szCs w:val="22"/>
        </w:rPr>
        <w:t xml:space="preserve"> either orally or in the form of a poster must first submit a</w:t>
      </w:r>
      <w:r w:rsidR="004204FA">
        <w:rPr>
          <w:szCs w:val="22"/>
        </w:rPr>
        <w:t xml:space="preserve"> brief</w:t>
      </w:r>
      <w:r w:rsidR="00431CAF">
        <w:rPr>
          <w:szCs w:val="22"/>
        </w:rPr>
        <w:t xml:space="preserve"> abstract</w:t>
      </w:r>
      <w:r w:rsidR="004204FA">
        <w:rPr>
          <w:szCs w:val="22"/>
        </w:rPr>
        <w:t xml:space="preserve"> in English</w:t>
      </w:r>
      <w:r w:rsidR="00431CAF">
        <w:rPr>
          <w:szCs w:val="22"/>
        </w:rPr>
        <w:t xml:space="preserve"> </w:t>
      </w:r>
      <w:r w:rsidR="004204FA">
        <w:t xml:space="preserve">of not more than 200 words </w:t>
      </w:r>
      <w:r w:rsidR="00431CAF">
        <w:rPr>
          <w:szCs w:val="22"/>
        </w:rPr>
        <w:t xml:space="preserve">in electronic format through the symposium’s web </w:t>
      </w:r>
      <w:r w:rsidR="00CB7E57">
        <w:rPr>
          <w:szCs w:val="22"/>
        </w:rPr>
        <w:t>browser</w:t>
      </w:r>
      <w:r w:rsidR="00431CAF">
        <w:rPr>
          <w:szCs w:val="22"/>
        </w:rPr>
        <w:t xml:space="preserve">-based file submission system (IAEA-INDICO). </w:t>
      </w:r>
      <w:r w:rsidR="00431CAF" w:rsidRPr="00AD4A12">
        <w:t xml:space="preserve">Instructions on how to upload the </w:t>
      </w:r>
      <w:r w:rsidR="004204FA">
        <w:t xml:space="preserve">brief </w:t>
      </w:r>
      <w:r w:rsidR="00431CAF">
        <w:t xml:space="preserve">abstract </w:t>
      </w:r>
      <w:r w:rsidR="00431CAF" w:rsidRPr="00AD4A12">
        <w:t>wil</w:t>
      </w:r>
      <w:r w:rsidR="00431CAF">
        <w:t xml:space="preserve">l be available on </w:t>
      </w:r>
      <w:r w:rsidR="00431CAF" w:rsidRPr="00210561">
        <w:t>the symposium web page (</w:t>
      </w:r>
      <w:r w:rsidR="00431CAF" w:rsidRPr="00033E3F">
        <w:t>see Section </w:t>
      </w:r>
      <w:r w:rsidR="006B441E">
        <w:fldChar w:fldCharType="begin"/>
      </w:r>
      <w:r w:rsidR="006B441E">
        <w:instrText xml:space="preserve"> REF _Ref345918223 \r \h  \* MERGEFORMAT </w:instrText>
      </w:r>
      <w:r w:rsidR="006B441E">
        <w:fldChar w:fldCharType="separate"/>
      </w:r>
      <w:r w:rsidR="006B441E">
        <w:rPr>
          <w:cs/>
        </w:rPr>
        <w:t>‎</w:t>
      </w:r>
      <w:r w:rsidR="006B441E">
        <w:t>L</w:t>
      </w:r>
      <w:r w:rsidR="006B441E">
        <w:fldChar w:fldCharType="end"/>
      </w:r>
      <w:r w:rsidR="00431CAF" w:rsidRPr="00210561">
        <w:t>) as of</w:t>
      </w:r>
      <w:r w:rsidR="00431CAF">
        <w:t xml:space="preserve"> </w:t>
      </w:r>
      <w:r w:rsidR="00431CAF">
        <w:rPr>
          <w:b/>
        </w:rPr>
        <w:t>October </w:t>
      </w:r>
      <w:r w:rsidR="00431CAF" w:rsidRPr="00636B13">
        <w:rPr>
          <w:b/>
        </w:rPr>
        <w:t>2017</w:t>
      </w:r>
      <w:r w:rsidR="00431CAF" w:rsidRPr="0091703E">
        <w:t>.</w:t>
      </w:r>
    </w:p>
    <w:p w:rsidR="00431CAF" w:rsidRDefault="00431CAF" w:rsidP="006B441E">
      <w:pPr>
        <w:pStyle w:val="BodyText"/>
      </w:pPr>
      <w:r w:rsidRPr="00AD4A12">
        <w:t xml:space="preserve">The </w:t>
      </w:r>
      <w:r w:rsidR="004204FA">
        <w:t xml:space="preserve">brief </w:t>
      </w:r>
      <w:r>
        <w:t>abstract</w:t>
      </w:r>
      <w:r w:rsidRPr="00AD4A12">
        <w:t xml:space="preserve"> </w:t>
      </w:r>
      <w:r w:rsidRPr="00AD4A12">
        <w:rPr>
          <w:b/>
          <w:bCs/>
        </w:rPr>
        <w:t>must</w:t>
      </w:r>
      <w:r w:rsidRPr="00AD4A12">
        <w:t xml:space="preserve"> be submitted through this system by </w:t>
      </w:r>
      <w:r w:rsidR="001D5A56">
        <w:rPr>
          <w:b/>
          <w:bCs/>
        </w:rPr>
        <w:t>17 December</w:t>
      </w:r>
      <w:r w:rsidRPr="00461CFF">
        <w:rPr>
          <w:b/>
          <w:bCs/>
        </w:rPr>
        <w:t xml:space="preserve"> 2017</w:t>
      </w:r>
      <w:r w:rsidRPr="00636B13">
        <w:t>. No other form of submission will be accepted</w:t>
      </w:r>
      <w:r>
        <w:t>.</w:t>
      </w:r>
    </w:p>
    <w:p w:rsidR="00FC6E0F" w:rsidRPr="00C3098E" w:rsidRDefault="00431CAF" w:rsidP="00C91020">
      <w:pPr>
        <w:pStyle w:val="BodyText"/>
        <w:rPr>
          <w:szCs w:val="22"/>
        </w:rPr>
      </w:pPr>
      <w:r>
        <w:rPr>
          <w:szCs w:val="22"/>
        </w:rPr>
        <w:t xml:space="preserve">Paper copies cannot be accepted. </w:t>
      </w:r>
      <w:r w:rsidR="00960CA3">
        <w:rPr>
          <w:szCs w:val="22"/>
        </w:rPr>
        <w:t xml:space="preserve">The </w:t>
      </w:r>
      <w:r w:rsidR="004204FA">
        <w:rPr>
          <w:szCs w:val="22"/>
        </w:rPr>
        <w:t xml:space="preserve">brief </w:t>
      </w:r>
      <w:r w:rsidR="008F0C74">
        <w:rPr>
          <w:szCs w:val="22"/>
        </w:rPr>
        <w:t>abstract</w:t>
      </w:r>
      <w:r w:rsidR="00960CA3">
        <w:rPr>
          <w:szCs w:val="22"/>
        </w:rPr>
        <w:t xml:space="preserve"> </w:t>
      </w:r>
      <w:r w:rsidR="004204FA">
        <w:rPr>
          <w:szCs w:val="22"/>
        </w:rPr>
        <w:t xml:space="preserve">of not more than 200 words </w:t>
      </w:r>
      <w:r w:rsidR="00960CA3">
        <w:rPr>
          <w:szCs w:val="22"/>
        </w:rPr>
        <w:t>should give enough information on the contents of the proposed paper</w:t>
      </w:r>
      <w:r w:rsidR="00B80A4A">
        <w:rPr>
          <w:szCs w:val="22"/>
        </w:rPr>
        <w:t xml:space="preserve"> </w:t>
      </w:r>
      <w:r w:rsidR="00960CA3">
        <w:rPr>
          <w:szCs w:val="22"/>
        </w:rPr>
        <w:t xml:space="preserve">to enable the Programme Committee to evaluate it. </w:t>
      </w:r>
      <w:r w:rsidR="00FC6E0F" w:rsidRPr="00BE6461">
        <w:rPr>
          <w:szCs w:val="22"/>
        </w:rPr>
        <w:t xml:space="preserve">Authors should state to which of the topics outlined in </w:t>
      </w:r>
      <w:r w:rsidR="005B2E7C" w:rsidRPr="00BE6461">
        <w:rPr>
          <w:szCs w:val="22"/>
        </w:rPr>
        <w:t>Section</w:t>
      </w:r>
      <w:r w:rsidR="005B2E7C">
        <w:rPr>
          <w:szCs w:val="22"/>
        </w:rPr>
        <w:t> </w:t>
      </w:r>
      <w:r w:rsidR="005B2E7C">
        <w:rPr>
          <w:szCs w:val="22"/>
        </w:rPr>
        <w:fldChar w:fldCharType="begin"/>
      </w:r>
      <w:r w:rsidR="005B2E7C">
        <w:rPr>
          <w:szCs w:val="22"/>
        </w:rPr>
        <w:instrText xml:space="preserve"> REF _Ref485285711 \r \h </w:instrText>
      </w:r>
      <w:r w:rsidR="006B441E">
        <w:rPr>
          <w:szCs w:val="22"/>
        </w:rPr>
        <w:instrText xml:space="preserve"> \* MERGEFORMAT </w:instrText>
      </w:r>
      <w:r w:rsidR="005B2E7C">
        <w:rPr>
          <w:szCs w:val="22"/>
        </w:rPr>
      </w:r>
      <w:r w:rsidR="005B2E7C">
        <w:rPr>
          <w:szCs w:val="22"/>
        </w:rPr>
        <w:fldChar w:fldCharType="separate"/>
      </w:r>
      <w:r w:rsidR="00C61187">
        <w:rPr>
          <w:szCs w:val="22"/>
        </w:rPr>
        <w:t>C</w:t>
      </w:r>
      <w:r w:rsidR="005B2E7C">
        <w:rPr>
          <w:szCs w:val="22"/>
        </w:rPr>
        <w:fldChar w:fldCharType="end"/>
      </w:r>
      <w:r w:rsidR="00DC7677" w:rsidRPr="00BE6461">
        <w:rPr>
          <w:szCs w:val="22"/>
        </w:rPr>
        <w:t xml:space="preserve"> </w:t>
      </w:r>
      <w:r w:rsidR="00DC7677">
        <w:rPr>
          <w:szCs w:val="22"/>
        </w:rPr>
        <w:t>their</w:t>
      </w:r>
      <w:r w:rsidR="00D90C7A">
        <w:rPr>
          <w:szCs w:val="22"/>
        </w:rPr>
        <w:t xml:space="preserve"> contribution relate</w:t>
      </w:r>
      <w:r w:rsidR="00C94A00">
        <w:rPr>
          <w:szCs w:val="22"/>
        </w:rPr>
        <w:t>s.</w:t>
      </w:r>
    </w:p>
    <w:p w:rsidR="001C4795" w:rsidRDefault="00FC6E0F" w:rsidP="006B441E">
      <w:pPr>
        <w:pStyle w:val="BodyText"/>
      </w:pPr>
      <w:r>
        <w:t xml:space="preserve">The </w:t>
      </w:r>
      <w:r w:rsidR="004204FA">
        <w:t xml:space="preserve">brief </w:t>
      </w:r>
      <w:r w:rsidR="00913B4F">
        <w:t>abstracts</w:t>
      </w:r>
      <w:r>
        <w:t xml:space="preserve"> should </w:t>
      </w:r>
      <w:r w:rsidR="004554BB">
        <w:t xml:space="preserve">also </w:t>
      </w:r>
      <w:r>
        <w:t>be submitted</w:t>
      </w:r>
      <w:r w:rsidR="00C044F1">
        <w:t xml:space="preserve"> </w:t>
      </w:r>
      <w:r w:rsidR="003F5A29" w:rsidRPr="000D7F21">
        <w:t xml:space="preserve">together with </w:t>
      </w:r>
      <w:r w:rsidR="004A2057">
        <w:t>a</w:t>
      </w:r>
      <w:r w:rsidR="004A2057" w:rsidRPr="000D7F21">
        <w:t xml:space="preserve"> </w:t>
      </w:r>
      <w:r w:rsidR="003F5A29" w:rsidRPr="000D7F21">
        <w:t xml:space="preserve">completed </w:t>
      </w:r>
      <w:r w:rsidR="00873F4C" w:rsidRPr="000D7F21">
        <w:t xml:space="preserve">Participation Form (Form A) </w:t>
      </w:r>
      <w:r w:rsidR="00873F4C">
        <w:t xml:space="preserve">and </w:t>
      </w:r>
      <w:r w:rsidR="00F545EC" w:rsidRPr="000D7F21">
        <w:t xml:space="preserve">Form </w:t>
      </w:r>
      <w:r w:rsidR="00F545EC">
        <w:t xml:space="preserve">for </w:t>
      </w:r>
      <w:r w:rsidR="00F545EC" w:rsidRPr="000D7F21">
        <w:t xml:space="preserve">Submission </w:t>
      </w:r>
      <w:r w:rsidR="00F545EC">
        <w:t xml:space="preserve">of a </w:t>
      </w:r>
      <w:r w:rsidR="00594096" w:rsidRPr="000D7F21">
        <w:t xml:space="preserve">Paper </w:t>
      </w:r>
      <w:r w:rsidR="003F5A29" w:rsidRPr="000D7F21">
        <w:t xml:space="preserve">(Form B) to the competent official </w:t>
      </w:r>
      <w:r w:rsidR="003F5A29" w:rsidRPr="00210561">
        <w:t xml:space="preserve">authority </w:t>
      </w:r>
      <w:r w:rsidR="003F5A29" w:rsidRPr="00232AF4">
        <w:t>(see Section</w:t>
      </w:r>
      <w:r w:rsidR="00F00940" w:rsidRPr="00232AF4">
        <w:t xml:space="preserve"> </w:t>
      </w:r>
      <w:r w:rsidR="00F00940" w:rsidRPr="00232AF4">
        <w:fldChar w:fldCharType="begin"/>
      </w:r>
      <w:r w:rsidR="00F00940" w:rsidRPr="00232AF4">
        <w:instrText xml:space="preserve"> REF _Ref347914585 \r \h </w:instrText>
      </w:r>
      <w:r w:rsidR="001C4795" w:rsidRPr="00232AF4">
        <w:instrText xml:space="preserve"> \* MERGEFORMAT </w:instrText>
      </w:r>
      <w:r w:rsidR="00F00940" w:rsidRPr="00232AF4">
        <w:fldChar w:fldCharType="separate"/>
      </w:r>
      <w:r w:rsidR="00C61187" w:rsidRPr="00232AF4">
        <w:t>E</w:t>
      </w:r>
      <w:r w:rsidR="00F00940" w:rsidRPr="00232AF4">
        <w:fldChar w:fldCharType="end"/>
      </w:r>
      <w:r w:rsidR="009F4192" w:rsidRPr="00210561">
        <w:t>)</w:t>
      </w:r>
      <w:r w:rsidR="003F5A29" w:rsidRPr="00210561">
        <w:t xml:space="preserve"> for</w:t>
      </w:r>
      <w:r w:rsidR="003F5A29" w:rsidRPr="000D7F21">
        <w:t xml:space="preserve"> </w:t>
      </w:r>
      <w:r w:rsidR="00025AED">
        <w:t xml:space="preserve">subsequent </w:t>
      </w:r>
      <w:r w:rsidR="00820806">
        <w:t xml:space="preserve">electronic </w:t>
      </w:r>
      <w:r w:rsidR="003F5A29" w:rsidRPr="000D7F21">
        <w:t>transmission to the IAEA</w:t>
      </w:r>
      <w:r w:rsidR="00820806">
        <w:t xml:space="preserve"> (</w:t>
      </w:r>
      <w:hyperlink r:id="rId9" w:history="1">
        <w:r w:rsidR="005B2E7C">
          <w:rPr>
            <w:rStyle w:val="Hyperlink"/>
          </w:rPr>
          <w:t>Official.Mail@iaea.org</w:t>
        </w:r>
      </w:hyperlink>
      <w:r w:rsidR="00820806">
        <w:t>)</w:t>
      </w:r>
      <w:r w:rsidR="00754964">
        <w:t xml:space="preserve">, </w:t>
      </w:r>
      <w:r w:rsidR="00081F59">
        <w:t xml:space="preserve">to be </w:t>
      </w:r>
      <w:r w:rsidR="003F5A29" w:rsidRPr="000D7F21">
        <w:t xml:space="preserve">received by the IAEA </w:t>
      </w:r>
      <w:r w:rsidR="003F5A29" w:rsidRPr="001D5A56">
        <w:t>by</w:t>
      </w:r>
      <w:r w:rsidR="00EE70C7" w:rsidRPr="001D5A56">
        <w:rPr>
          <w:b/>
        </w:rPr>
        <w:t xml:space="preserve"> </w:t>
      </w:r>
      <w:r w:rsidR="001D5A56" w:rsidRPr="001D5A56">
        <w:rPr>
          <w:b/>
        </w:rPr>
        <w:t>17</w:t>
      </w:r>
      <w:r w:rsidR="005B2E7C" w:rsidRPr="001D5A56">
        <w:rPr>
          <w:b/>
        </w:rPr>
        <w:t> </w:t>
      </w:r>
      <w:r w:rsidR="001D5A56" w:rsidRPr="001D5A56">
        <w:rPr>
          <w:b/>
        </w:rPr>
        <w:t>December</w:t>
      </w:r>
      <w:r w:rsidR="00F545EC" w:rsidRPr="001D5A56">
        <w:rPr>
          <w:b/>
        </w:rPr>
        <w:t> </w:t>
      </w:r>
      <w:r w:rsidR="0013262D" w:rsidRPr="001D5A56">
        <w:rPr>
          <w:b/>
        </w:rPr>
        <w:t>201</w:t>
      </w:r>
      <w:r w:rsidR="00E77E72" w:rsidRPr="001D5A56">
        <w:rPr>
          <w:b/>
        </w:rPr>
        <w:t>7</w:t>
      </w:r>
      <w:r w:rsidR="0013262D" w:rsidRPr="001D5A56">
        <w:t>.</w:t>
      </w:r>
      <w:r w:rsidR="003F5A29" w:rsidRPr="001D5A56">
        <w:t xml:space="preserve"> In addition, the </w:t>
      </w:r>
      <w:r w:rsidR="004204FA" w:rsidRPr="001D5A56">
        <w:t xml:space="preserve">brief </w:t>
      </w:r>
      <w:r w:rsidR="00C5377A" w:rsidRPr="001D5A56">
        <w:t>abstracts</w:t>
      </w:r>
      <w:r w:rsidR="007E612B" w:rsidRPr="001D5A56">
        <w:t xml:space="preserve"> </w:t>
      </w:r>
      <w:r w:rsidR="003F5A29" w:rsidRPr="001D5A56">
        <w:t>must be sent electronically</w:t>
      </w:r>
      <w:r w:rsidR="009F4192" w:rsidRPr="001D5A56">
        <w:t xml:space="preserve"> </w:t>
      </w:r>
      <w:r w:rsidR="00820806" w:rsidRPr="001D5A56">
        <w:t>to</w:t>
      </w:r>
      <w:r w:rsidR="00F545EC" w:rsidRPr="001D5A56">
        <w:t>:</w:t>
      </w:r>
      <w:r w:rsidR="003F5A29" w:rsidRPr="001D5A56">
        <w:t xml:space="preserve"> </w:t>
      </w:r>
      <w:hyperlink r:id="rId10" w:history="1">
        <w:r w:rsidR="00450806" w:rsidRPr="00BB6461">
          <w:rPr>
            <w:rStyle w:val="Hyperlink"/>
          </w:rPr>
          <w:t>URAM2018@iaea.org</w:t>
        </w:r>
      </w:hyperlink>
      <w:r w:rsidR="00450806" w:rsidRPr="001D5A56">
        <w:t>.</w:t>
      </w:r>
      <w:r w:rsidR="00BB6461">
        <w:t xml:space="preserve"> </w:t>
      </w:r>
      <w:r w:rsidR="003F5A29" w:rsidRPr="005918DB">
        <w:t>Introductory</w:t>
      </w:r>
      <w:r w:rsidR="003F5A29" w:rsidRPr="000D7F21">
        <w:t xml:space="preserve"> and general ma</w:t>
      </w:r>
      <w:r w:rsidR="003F5A29" w:rsidRPr="001D5A56">
        <w:t>t</w:t>
      </w:r>
      <w:r w:rsidR="003F5A29" w:rsidRPr="000D7F21">
        <w:t>ters should not be included.</w:t>
      </w:r>
      <w:r w:rsidR="001C4795" w:rsidRPr="001C4795">
        <w:t xml:space="preserve"> </w:t>
      </w:r>
    </w:p>
    <w:p w:rsidR="001C4795" w:rsidRPr="000D7F21" w:rsidRDefault="001C4795" w:rsidP="006B441E">
      <w:pPr>
        <w:pStyle w:val="BodyText"/>
      </w:pPr>
      <w:r w:rsidRPr="001C4795">
        <w:rPr>
          <w:b/>
        </w:rPr>
        <w:lastRenderedPageBreak/>
        <w:t>IMPORTANT:</w:t>
      </w:r>
      <w:r>
        <w:t xml:space="preserve"> </w:t>
      </w:r>
      <w:r w:rsidRPr="000D7F21">
        <w:t xml:space="preserve">The </w:t>
      </w:r>
      <w:r>
        <w:t xml:space="preserve">electronically received </w:t>
      </w:r>
      <w:r w:rsidR="004204FA">
        <w:t xml:space="preserve">brief </w:t>
      </w:r>
      <w:r>
        <w:t>abstract</w:t>
      </w:r>
      <w:r w:rsidRPr="000D7F21">
        <w:t xml:space="preserve"> will be considered </w:t>
      </w:r>
      <w:r>
        <w:t xml:space="preserve">by the Programme Committee </w:t>
      </w:r>
      <w:r w:rsidRPr="000D7F21">
        <w:t xml:space="preserve">only if the Participation Form </w:t>
      </w:r>
      <w:r>
        <w:t xml:space="preserve">(Form </w:t>
      </w:r>
      <w:r w:rsidRPr="000D7F21">
        <w:t>A</w:t>
      </w:r>
      <w:r>
        <w:t>)</w:t>
      </w:r>
      <w:r w:rsidRPr="000D7F21">
        <w:t xml:space="preserve"> and Form </w:t>
      </w:r>
      <w:r>
        <w:t xml:space="preserve">for </w:t>
      </w:r>
      <w:r w:rsidRPr="000D7F21">
        <w:t xml:space="preserve">Submission </w:t>
      </w:r>
      <w:r>
        <w:t xml:space="preserve">of a </w:t>
      </w:r>
      <w:r w:rsidRPr="000D7F21">
        <w:t xml:space="preserve">Paper </w:t>
      </w:r>
      <w:r>
        <w:t xml:space="preserve">(Form </w:t>
      </w:r>
      <w:r w:rsidRPr="000D7F21">
        <w:t>B</w:t>
      </w:r>
      <w:r>
        <w:t>)</w:t>
      </w:r>
      <w:r w:rsidRPr="000D7F21">
        <w:t xml:space="preserve"> have been received </w:t>
      </w:r>
      <w:r>
        <w:t xml:space="preserve">by the above-mentioned deadline and </w:t>
      </w:r>
      <w:r w:rsidRPr="000D7F21">
        <w:t xml:space="preserve">through the </w:t>
      </w:r>
      <w:r>
        <w:t xml:space="preserve">established </w:t>
      </w:r>
      <w:r w:rsidRPr="000D7F21">
        <w:t>official channels.</w:t>
      </w:r>
    </w:p>
    <w:p w:rsidR="004A2057" w:rsidRPr="00C71881" w:rsidRDefault="003F5A29" w:rsidP="006B441E">
      <w:pPr>
        <w:pStyle w:val="BodyText"/>
        <w:rPr>
          <w:b/>
          <w:bCs/>
          <w:color w:val="333333"/>
          <w:szCs w:val="19"/>
        </w:rPr>
      </w:pPr>
      <w:r>
        <w:rPr>
          <w:b/>
          <w:bCs/>
          <w:color w:val="333333"/>
          <w:szCs w:val="19"/>
        </w:rPr>
        <w:t>(b)</w:t>
      </w:r>
      <w:r>
        <w:rPr>
          <w:b/>
          <w:bCs/>
          <w:color w:val="333333"/>
          <w:szCs w:val="19"/>
        </w:rPr>
        <w:tab/>
        <w:t>Acceptance</w:t>
      </w:r>
      <w:r w:rsidR="001C52C1">
        <w:rPr>
          <w:b/>
          <w:bCs/>
          <w:color w:val="333333"/>
          <w:szCs w:val="19"/>
        </w:rPr>
        <w:t xml:space="preserve"> of papers for oral </w:t>
      </w:r>
      <w:r w:rsidR="001C4795">
        <w:rPr>
          <w:b/>
          <w:bCs/>
          <w:color w:val="333333"/>
          <w:szCs w:val="19"/>
        </w:rPr>
        <w:t xml:space="preserve">or poster </w:t>
      </w:r>
      <w:r w:rsidR="001C52C1">
        <w:rPr>
          <w:b/>
          <w:bCs/>
          <w:color w:val="333333"/>
          <w:szCs w:val="19"/>
        </w:rPr>
        <w:t>presentation</w:t>
      </w:r>
      <w:r w:rsidR="001C4795">
        <w:rPr>
          <w:b/>
          <w:bCs/>
          <w:color w:val="333333"/>
          <w:szCs w:val="19"/>
        </w:rPr>
        <w:t xml:space="preserve"> </w:t>
      </w:r>
    </w:p>
    <w:p w:rsidR="00C71881" w:rsidRDefault="00C71881" w:rsidP="006B441E">
      <w:pPr>
        <w:pStyle w:val="BodyText"/>
      </w:pPr>
      <w:r w:rsidRPr="00C71881">
        <w:rPr>
          <w:rFonts w:eastAsiaTheme="minorHAnsi"/>
          <w:szCs w:val="22"/>
        </w:rPr>
        <w:t>Based on the number of papers anticipated and the need to provide ample time for discussion, the number that can be accepted for oral presentation is limited. Authors who prefer to present their papers as posters are requested to indicate this preference on Form A and via INDICO during electronic abstract submission.</w:t>
      </w:r>
      <w:r>
        <w:rPr>
          <w:rFonts w:eastAsiaTheme="minorHAnsi"/>
          <w:szCs w:val="22"/>
        </w:rPr>
        <w:t xml:space="preserve"> </w:t>
      </w:r>
      <w:r w:rsidRPr="001E170C">
        <w:t xml:space="preserve">Authors will be </w:t>
      </w:r>
      <w:r>
        <w:t>notifie</w:t>
      </w:r>
      <w:r w:rsidRPr="002D423C">
        <w:t xml:space="preserve">d by </w:t>
      </w:r>
      <w:r>
        <w:rPr>
          <w:b/>
        </w:rPr>
        <w:t>December</w:t>
      </w:r>
      <w:r w:rsidRPr="002D423C">
        <w:rPr>
          <w:b/>
          <w:bCs/>
        </w:rPr>
        <w:t xml:space="preserve"> 201</w:t>
      </w:r>
      <w:r>
        <w:rPr>
          <w:b/>
          <w:bCs/>
        </w:rPr>
        <w:t>7</w:t>
      </w:r>
      <w:r w:rsidRPr="002D423C">
        <w:t xml:space="preserve"> as to</w:t>
      </w:r>
      <w:r>
        <w:t xml:space="preserve"> whether</w:t>
      </w:r>
      <w:r w:rsidRPr="001E170C">
        <w:t xml:space="preserve"> their </w:t>
      </w:r>
      <w:r>
        <w:t xml:space="preserve">abstracts </w:t>
      </w:r>
      <w:r w:rsidRPr="001E170C">
        <w:t>have been accepted</w:t>
      </w:r>
      <w:r>
        <w:t xml:space="preserve"> </w:t>
      </w:r>
      <w:r w:rsidRPr="001E170C">
        <w:t>and</w:t>
      </w:r>
      <w:r>
        <w:t>,</w:t>
      </w:r>
      <w:r w:rsidRPr="001E170C">
        <w:t xml:space="preserve"> if </w:t>
      </w:r>
      <w:r>
        <w:t>so, for oral or poster presentation.</w:t>
      </w:r>
    </w:p>
    <w:p w:rsidR="004204FA" w:rsidRDefault="004204FA" w:rsidP="006B441E">
      <w:pPr>
        <w:pStyle w:val="BodyText"/>
      </w:pPr>
      <w:r w:rsidRPr="00FE0300">
        <w:t xml:space="preserve">The </w:t>
      </w:r>
      <w:r>
        <w:t>brief abstracts</w:t>
      </w:r>
      <w:r w:rsidRPr="00FE0300">
        <w:t xml:space="preserve"> that have been accepted by the Programme Committee will be reproduced in unedited form in the </w:t>
      </w:r>
      <w:r w:rsidRPr="00FE0300">
        <w:rPr>
          <w:i/>
          <w:iCs/>
        </w:rPr>
        <w:t>Book of Contributed Papers</w:t>
      </w:r>
      <w:r w:rsidRPr="00FE0300">
        <w:t>, which will be available at registration.</w:t>
      </w:r>
    </w:p>
    <w:p w:rsidR="00C71881" w:rsidRPr="00232AF4" w:rsidRDefault="00C71881" w:rsidP="00C91020">
      <w:pPr>
        <w:overflowPunct/>
        <w:autoSpaceDE/>
        <w:autoSpaceDN/>
        <w:adjustRightInd/>
        <w:spacing w:after="170" w:line="280" w:lineRule="atLeast"/>
        <w:jc w:val="both"/>
        <w:textAlignment w:val="auto"/>
        <w:rPr>
          <w:rFonts w:eastAsiaTheme="minorHAnsi"/>
          <w:szCs w:val="22"/>
        </w:rPr>
      </w:pPr>
      <w:r w:rsidRPr="00232AF4">
        <w:rPr>
          <w:rFonts w:eastAsiaTheme="minorHAnsi"/>
          <w:szCs w:val="22"/>
        </w:rPr>
        <w:t>Further details concerning written and oral presentations at the meeting will be sent to all authors in due course.</w:t>
      </w:r>
    </w:p>
    <w:p w:rsidR="003F5A29" w:rsidRDefault="003F5A29" w:rsidP="006B441E">
      <w:pPr>
        <w:spacing w:after="170" w:line="280" w:lineRule="atLeast"/>
        <w:jc w:val="both"/>
        <w:rPr>
          <w:b/>
          <w:bCs/>
          <w:color w:val="333333"/>
          <w:szCs w:val="19"/>
        </w:rPr>
      </w:pPr>
      <w:r>
        <w:rPr>
          <w:b/>
          <w:bCs/>
          <w:color w:val="333333"/>
          <w:szCs w:val="19"/>
        </w:rPr>
        <w:t>(c)</w:t>
      </w:r>
      <w:r>
        <w:rPr>
          <w:b/>
          <w:bCs/>
          <w:color w:val="333333"/>
          <w:szCs w:val="19"/>
        </w:rPr>
        <w:tab/>
      </w:r>
      <w:r w:rsidR="00C71881">
        <w:rPr>
          <w:b/>
          <w:bCs/>
          <w:color w:val="333333"/>
          <w:szCs w:val="19"/>
        </w:rPr>
        <w:t>Submission of extended abstracts</w:t>
      </w:r>
    </w:p>
    <w:p w:rsidR="00E24F64" w:rsidRPr="00605E40" w:rsidRDefault="004204FA" w:rsidP="006B441E">
      <w:pPr>
        <w:pStyle w:val="BodyText"/>
      </w:pPr>
      <w:r>
        <w:t>A</w:t>
      </w:r>
      <w:r w:rsidR="00E24F64" w:rsidRPr="00605E40">
        <w:t>uthors of papers selected for oral presentation</w:t>
      </w:r>
      <w:r w:rsidR="00157289">
        <w:t>,</w:t>
      </w:r>
      <w:r w:rsidR="00E24F64" w:rsidRPr="00605E40">
        <w:t xml:space="preserve"> </w:t>
      </w:r>
      <w:r>
        <w:t>only</w:t>
      </w:r>
      <w:r w:rsidR="00157289">
        <w:t>,</w:t>
      </w:r>
      <w:r>
        <w:t xml:space="preserve"> </w:t>
      </w:r>
      <w:r w:rsidR="00E24F64" w:rsidRPr="00605E40">
        <w:t>are requested to submit a</w:t>
      </w:r>
      <w:r w:rsidR="006B441E">
        <w:t>n</w:t>
      </w:r>
      <w:r w:rsidR="00E24F64" w:rsidRPr="00605E40">
        <w:t xml:space="preserve"> </w:t>
      </w:r>
      <w:r w:rsidR="00605E40">
        <w:t>extended abstract</w:t>
      </w:r>
      <w:r w:rsidR="00E24F64" w:rsidRPr="00605E40">
        <w:t xml:space="preserve"> of three to five pages. </w:t>
      </w:r>
      <w:r w:rsidR="006B441E">
        <w:t>E</w:t>
      </w:r>
      <w:r w:rsidR="00605E40">
        <w:t>xtended abstracts</w:t>
      </w:r>
      <w:r w:rsidR="00E24F64" w:rsidRPr="00605E40">
        <w:t xml:space="preserve"> must be submitted through the IAEA-INDICO file submission system. Specifications for the layout and electronic format of the </w:t>
      </w:r>
      <w:r w:rsidR="0090794B">
        <w:t>extended abstracts</w:t>
      </w:r>
      <w:r w:rsidR="00E24F64" w:rsidRPr="00605E40">
        <w:t xml:space="preserve"> will be made available on the </w:t>
      </w:r>
      <w:r w:rsidR="006B441E">
        <w:t>symposium</w:t>
      </w:r>
      <w:r w:rsidR="00E24F64" w:rsidRPr="00605E40">
        <w:t xml:space="preserve"> web page. The deadline for electronic submission of the </w:t>
      </w:r>
      <w:r w:rsidR="0090794B">
        <w:t>extended abstracts</w:t>
      </w:r>
      <w:r w:rsidR="00E24F64" w:rsidRPr="00605E40">
        <w:t xml:space="preserve"> as both PDF and Word files is </w:t>
      </w:r>
      <w:r w:rsidR="00E24F64" w:rsidRPr="00C91020">
        <w:rPr>
          <w:b/>
          <w:bCs/>
        </w:rPr>
        <w:t xml:space="preserve">1 </w:t>
      </w:r>
      <w:r w:rsidR="006B441E" w:rsidRPr="00C91020">
        <w:rPr>
          <w:b/>
          <w:bCs/>
        </w:rPr>
        <w:t xml:space="preserve">February </w:t>
      </w:r>
      <w:r w:rsidR="00E24F64" w:rsidRPr="00C91020">
        <w:rPr>
          <w:b/>
          <w:bCs/>
        </w:rPr>
        <w:t>201</w:t>
      </w:r>
      <w:r w:rsidR="006B441E" w:rsidRPr="00C91020">
        <w:rPr>
          <w:b/>
          <w:bCs/>
        </w:rPr>
        <w:t>8</w:t>
      </w:r>
      <w:r w:rsidR="00E24F64" w:rsidRPr="00605E40">
        <w:t>.</w:t>
      </w:r>
    </w:p>
    <w:p w:rsidR="00E24F64" w:rsidRDefault="00E24F64" w:rsidP="006B441E">
      <w:pPr>
        <w:pStyle w:val="BodyText"/>
      </w:pPr>
      <w:r w:rsidRPr="00C91020">
        <w:rPr>
          <w:b/>
          <w:bCs/>
        </w:rPr>
        <w:t>IMPORTANT:</w:t>
      </w:r>
      <w:r w:rsidRPr="00605E40">
        <w:t xml:space="preserve"> The system for electronic submission of </w:t>
      </w:r>
      <w:r w:rsidR="004204FA">
        <w:t>extended abstracts</w:t>
      </w:r>
      <w:r w:rsidRPr="00605E40">
        <w:t xml:space="preserve">, IAEA-INDICO, is the sole mechanism for submission of </w:t>
      </w:r>
      <w:r w:rsidR="004204FA">
        <w:t>extended abstracts</w:t>
      </w:r>
      <w:r w:rsidRPr="00605E40">
        <w:t xml:space="preserve">. </w:t>
      </w:r>
      <w:r w:rsidR="004204FA">
        <w:t>Eligible a</w:t>
      </w:r>
      <w:r w:rsidRPr="00605E40">
        <w:t xml:space="preserve">uthors are encouraged to submit </w:t>
      </w:r>
      <w:r w:rsidR="004204FA">
        <w:t>extended abstracts</w:t>
      </w:r>
      <w:r w:rsidRPr="00605E40">
        <w:t xml:space="preserve"> as early as possible.</w:t>
      </w:r>
    </w:p>
    <w:p w:rsidR="000741BA" w:rsidRDefault="000741BA" w:rsidP="006B441E">
      <w:pPr>
        <w:pStyle w:val="BodyText"/>
      </w:pPr>
      <w:r>
        <w:t xml:space="preserve">The IAEA will inform authors of the review of the extended abstracts by </w:t>
      </w:r>
      <w:r w:rsidR="00605E40" w:rsidRPr="00C91020">
        <w:rPr>
          <w:b/>
          <w:bCs/>
        </w:rPr>
        <w:t>1</w:t>
      </w:r>
      <w:r w:rsidRPr="00232AF4">
        <w:rPr>
          <w:b/>
        </w:rPr>
        <w:t xml:space="preserve"> March 2018</w:t>
      </w:r>
      <w:r>
        <w:t xml:space="preserve">. The deadline for revised </w:t>
      </w:r>
      <w:r w:rsidR="004204FA">
        <w:t xml:space="preserve">extended abstracts </w:t>
      </w:r>
      <w:r>
        <w:t xml:space="preserve">submitted through IAEA-INDICO is </w:t>
      </w:r>
      <w:r w:rsidRPr="00232AF4">
        <w:rPr>
          <w:b/>
        </w:rPr>
        <w:t>2 April 2018</w:t>
      </w:r>
      <w:r>
        <w:t>.</w:t>
      </w:r>
    </w:p>
    <w:p w:rsidR="000741BA" w:rsidRDefault="000741BA" w:rsidP="006B441E">
      <w:pPr>
        <w:pStyle w:val="BodyText"/>
      </w:pPr>
      <w:r w:rsidRPr="00232AF4">
        <w:rPr>
          <w:b/>
        </w:rPr>
        <w:t>IMPORTANT</w:t>
      </w:r>
      <w:r>
        <w:t xml:space="preserve">: The system for electronic submission of </w:t>
      </w:r>
      <w:r w:rsidR="004204FA">
        <w:t>extended abstracts</w:t>
      </w:r>
      <w:r>
        <w:t xml:space="preserve">, IAEA-INDICO, is the sole mechanism for submission of contributed </w:t>
      </w:r>
      <w:r w:rsidR="004204FA">
        <w:t>extended abstracts</w:t>
      </w:r>
      <w:r>
        <w:t xml:space="preserve">. Authors are encouraged to submit </w:t>
      </w:r>
      <w:r w:rsidR="004204FA">
        <w:t>extended abstracts</w:t>
      </w:r>
      <w:r w:rsidR="004204FA" w:rsidRPr="00FE0300">
        <w:t xml:space="preserve"> </w:t>
      </w:r>
      <w:r>
        <w:t>as early as possible.</w:t>
      </w:r>
    </w:p>
    <w:p w:rsidR="004204FA" w:rsidRDefault="004204FA" w:rsidP="00C91020">
      <w:pPr>
        <w:overflowPunct/>
        <w:autoSpaceDE/>
        <w:autoSpaceDN/>
        <w:adjustRightInd/>
        <w:spacing w:after="170" w:line="280" w:lineRule="atLeast"/>
        <w:jc w:val="both"/>
        <w:textAlignment w:val="auto"/>
        <w:rPr>
          <w:rFonts w:eastAsiaTheme="minorHAnsi"/>
          <w:szCs w:val="22"/>
        </w:rPr>
      </w:pPr>
      <w:r w:rsidRPr="00FE0300">
        <w:t xml:space="preserve">The </w:t>
      </w:r>
      <w:r>
        <w:t>extended abstracts</w:t>
      </w:r>
      <w:r w:rsidRPr="00FE0300">
        <w:t xml:space="preserve"> that have been accepted by the Programme Committee will be reproduced in unedited form in the </w:t>
      </w:r>
      <w:r w:rsidRPr="00FE0300">
        <w:rPr>
          <w:i/>
          <w:iCs/>
        </w:rPr>
        <w:t>Book of Contributed Papers</w:t>
      </w:r>
      <w:r w:rsidRPr="00FE0300">
        <w:t>, which will be available at registration.</w:t>
      </w:r>
    </w:p>
    <w:p w:rsidR="004204FA" w:rsidRDefault="004204FA" w:rsidP="006B441E">
      <w:pPr>
        <w:pStyle w:val="BodyText"/>
      </w:pPr>
      <w:r w:rsidRPr="00232AF4">
        <w:rPr>
          <w:rFonts w:eastAsiaTheme="minorHAnsi"/>
          <w:szCs w:val="22"/>
        </w:rPr>
        <w:t>The IAEA, however, reserves the right to refuse the presentation or publication of any extended abstract, paper or poster that does not meet the expectations based on the information given in the brief abstract.</w:t>
      </w:r>
      <w:r>
        <w:rPr>
          <w:rFonts w:eastAsiaTheme="minorHAnsi"/>
          <w:szCs w:val="22"/>
        </w:rPr>
        <w:t xml:space="preserve"> </w:t>
      </w:r>
      <w:r w:rsidRPr="00451E30">
        <w:t xml:space="preserve">The Secretariat </w:t>
      </w:r>
      <w:r>
        <w:t xml:space="preserve">also </w:t>
      </w:r>
      <w:r w:rsidRPr="00451E30">
        <w:t xml:space="preserve">reserves the right to exclude </w:t>
      </w:r>
      <w:r w:rsidR="00157289">
        <w:t xml:space="preserve">extended </w:t>
      </w:r>
      <w:r>
        <w:t>abstracts</w:t>
      </w:r>
      <w:r w:rsidRPr="00451E30">
        <w:t xml:space="preserve"> that do not comply with its quality standards </w:t>
      </w:r>
      <w:r>
        <w:t>or that</w:t>
      </w:r>
      <w:r w:rsidRPr="00451E30">
        <w:t xml:space="preserve"> do not apply to one of the topics </w:t>
      </w:r>
      <w:r>
        <w:t xml:space="preserve">outlined </w:t>
      </w:r>
      <w:r w:rsidRPr="00451E30">
        <w:t>in Section</w:t>
      </w:r>
      <w:r>
        <w:t> </w:t>
      </w:r>
      <w:r>
        <w:fldChar w:fldCharType="begin"/>
      </w:r>
      <w:r>
        <w:instrText xml:space="preserve"> REF _Ref485285711 \r \h </w:instrText>
      </w:r>
      <w:r w:rsidR="006B441E">
        <w:instrText xml:space="preserve"> \* MERGEFORMAT </w:instrText>
      </w:r>
      <w:r>
        <w:fldChar w:fldCharType="separate"/>
      </w:r>
      <w:r>
        <w:t>C</w:t>
      </w:r>
      <w:r>
        <w:fldChar w:fldCharType="end"/>
      </w:r>
      <w:r w:rsidRPr="00451E30">
        <w:t xml:space="preserve"> above.</w:t>
      </w:r>
      <w:r>
        <w:t xml:space="preserve"> </w:t>
      </w:r>
    </w:p>
    <w:p w:rsidR="00664728" w:rsidRDefault="00664728" w:rsidP="00664728">
      <w:pPr>
        <w:pStyle w:val="Heading1"/>
        <w:ind w:left="426" w:hanging="426"/>
      </w:pPr>
      <w:bookmarkStart w:id="3" w:name="_Ref347914585"/>
      <w:r>
        <w:t>Participation</w:t>
      </w:r>
      <w:bookmarkEnd w:id="3"/>
      <w:r w:rsidR="004554BB">
        <w:t xml:space="preserve"> and Registration</w:t>
      </w:r>
    </w:p>
    <w:p w:rsidR="00664728" w:rsidRPr="00232AF4" w:rsidRDefault="00664728" w:rsidP="006B441E">
      <w:pPr>
        <w:pStyle w:val="BodyText"/>
        <w:rPr>
          <w:szCs w:val="22"/>
          <w:highlight w:val="yellow"/>
        </w:rPr>
      </w:pPr>
      <w:r w:rsidRPr="00A4621A">
        <w:rPr>
          <w:szCs w:val="22"/>
        </w:rPr>
        <w:t xml:space="preserve">The focus of this </w:t>
      </w:r>
      <w:r w:rsidR="006B441E">
        <w:rPr>
          <w:szCs w:val="22"/>
        </w:rPr>
        <w:t>symposium</w:t>
      </w:r>
      <w:r w:rsidR="006B441E" w:rsidRPr="00A4621A">
        <w:rPr>
          <w:szCs w:val="22"/>
        </w:rPr>
        <w:t xml:space="preserve"> </w:t>
      </w:r>
      <w:r w:rsidRPr="00A4621A">
        <w:rPr>
          <w:szCs w:val="22"/>
        </w:rPr>
        <w:t xml:space="preserve">is </w:t>
      </w:r>
      <w:r w:rsidR="004204FA" w:rsidRPr="00157289">
        <w:rPr>
          <w:szCs w:val="22"/>
        </w:rPr>
        <w:t>broad, covering exploration, mining, production, supply and demand, economics and environmental issues associated with the uranium production cycle.</w:t>
      </w:r>
      <w:r w:rsidRPr="00A4621A">
        <w:rPr>
          <w:szCs w:val="22"/>
        </w:rPr>
        <w:t xml:space="preserve"> Thus, potential attendees and relevant </w:t>
      </w:r>
      <w:r w:rsidR="001C1430" w:rsidRPr="00A4621A">
        <w:rPr>
          <w:szCs w:val="22"/>
        </w:rPr>
        <w:t>organi</w:t>
      </w:r>
      <w:r w:rsidR="005B2E7C" w:rsidRPr="00A4621A">
        <w:rPr>
          <w:szCs w:val="22"/>
        </w:rPr>
        <w:t>z</w:t>
      </w:r>
      <w:r w:rsidR="001C1430" w:rsidRPr="00A4621A">
        <w:rPr>
          <w:szCs w:val="22"/>
        </w:rPr>
        <w:t>ation</w:t>
      </w:r>
      <w:r w:rsidRPr="00A4621A">
        <w:rPr>
          <w:szCs w:val="22"/>
        </w:rPr>
        <w:t>s would include</w:t>
      </w:r>
      <w:r w:rsidR="004204FA" w:rsidRPr="00157289">
        <w:t xml:space="preserve"> </w:t>
      </w:r>
      <w:r w:rsidR="00157289" w:rsidRPr="00157289">
        <w:t xml:space="preserve">scientists, managers, exploration and mining </w:t>
      </w:r>
      <w:r w:rsidR="00157289" w:rsidRPr="00157289">
        <w:lastRenderedPageBreak/>
        <w:t xml:space="preserve">geologists, mineral economists, engineers, operators, regulators, community representatives, social scientists, </w:t>
      </w:r>
      <w:r w:rsidR="006B441E">
        <w:t xml:space="preserve">nuclear </w:t>
      </w:r>
      <w:r w:rsidR="00157289" w:rsidRPr="00157289">
        <w:t>fuel cycle and environmental specialists and young professionals</w:t>
      </w:r>
      <w:r w:rsidR="004204FA">
        <w:t>.</w:t>
      </w:r>
    </w:p>
    <w:p w:rsidR="001D5A56" w:rsidRDefault="001D5A56" w:rsidP="001D5A56">
      <w:pPr>
        <w:rPr>
          <w:color w:val="1F497D"/>
        </w:rPr>
      </w:pPr>
      <w:r>
        <w:t xml:space="preserve">All persons wishing to participate in the symposium have to be designated by an IAEA Member State or should be members of organizations that have been invited to attend. The list of invited organizations can be requested from the Symposium Secretariat (see Section </w:t>
      </w:r>
      <w:r>
        <w:rPr>
          <w:color w:val="1F497D"/>
        </w:rPr>
        <w:t>K</w:t>
      </w:r>
      <w:r>
        <w:t>).</w:t>
      </w:r>
    </w:p>
    <w:p w:rsidR="001D5A56" w:rsidRDefault="001D5A56" w:rsidP="001D5A56">
      <w:pPr>
        <w:rPr>
          <w:color w:val="1F497D"/>
        </w:rPr>
      </w:pPr>
    </w:p>
    <w:p w:rsidR="001D5A56" w:rsidRDefault="001D5A56" w:rsidP="001D5A56">
      <w:pPr>
        <w:rPr>
          <w:color w:val="1F497D"/>
        </w:rPr>
      </w:pPr>
      <w:r>
        <w:t>In order to be designated by an IAEA Member State, participants are requested to send the following form(s) (as applicable) to their competent national authority (e.g. Ministry of Foreign Affairs, Permanent Mission to the IAEA or National Atomic Energy Authority):</w:t>
      </w:r>
    </w:p>
    <w:p w:rsidR="001D5A56" w:rsidRDefault="001D5A56" w:rsidP="001D5A56">
      <w:pPr>
        <w:rPr>
          <w:color w:val="1F497D"/>
        </w:rPr>
      </w:pPr>
    </w:p>
    <w:p w:rsidR="001D5A56" w:rsidRDefault="001D5A56" w:rsidP="001D5A56">
      <w:pPr>
        <w:numPr>
          <w:ilvl w:val="0"/>
          <w:numId w:val="25"/>
        </w:numPr>
        <w:overflowPunct/>
        <w:autoSpaceDE/>
        <w:autoSpaceDN/>
        <w:adjustRightInd/>
        <w:textAlignment w:val="auto"/>
        <w:rPr>
          <w:color w:val="1F497D"/>
        </w:rPr>
      </w:pPr>
      <w:r>
        <w:t>Participation Form (Form A): participation only; no deadline if only Form A is submitted.</w:t>
      </w:r>
    </w:p>
    <w:p w:rsidR="001D5A56" w:rsidRDefault="001D5A56" w:rsidP="001D5A56">
      <w:pPr>
        <w:numPr>
          <w:ilvl w:val="0"/>
          <w:numId w:val="25"/>
        </w:numPr>
        <w:overflowPunct/>
        <w:autoSpaceDE/>
        <w:autoSpaceDN/>
        <w:adjustRightInd/>
        <w:textAlignment w:val="auto"/>
        <w:rPr>
          <w:color w:val="1F497D"/>
        </w:rPr>
      </w:pPr>
      <w:r>
        <w:t>Form for Submission of a Paper (Form B): participants submitting a paper through INDICO have to send the completed and signed Form B together with Form A (and Form C, if applicable) to their competent national authority for onward transmission to the IAEA (</w:t>
      </w:r>
      <w:hyperlink r:id="rId11" w:history="1">
        <w:r>
          <w:rPr>
            <w:rStyle w:val="Hyperlink"/>
          </w:rPr>
          <w:t>Official.Mail@iaea.org</w:t>
        </w:r>
      </w:hyperlink>
      <w:r>
        <w:t>).</w:t>
      </w:r>
    </w:p>
    <w:p w:rsidR="001D5A56" w:rsidRDefault="001D5A56" w:rsidP="001D5A56">
      <w:pPr>
        <w:numPr>
          <w:ilvl w:val="0"/>
          <w:numId w:val="25"/>
        </w:numPr>
        <w:adjustRightInd/>
        <w:ind w:right="379"/>
        <w:jc w:val="both"/>
        <w:textAlignment w:val="auto"/>
        <w:rPr>
          <w:color w:val="1F497D"/>
        </w:rPr>
      </w:pPr>
      <w:r>
        <w:t>Grant Application Form (Form C): participants requesting financial support from the IAEA, have to complete Form C and send it together with Form A (and Form B, if applicable) to the competent national authority for onward transmission to the IAEA (</w:t>
      </w:r>
      <w:hyperlink r:id="rId12" w:history="1">
        <w:r>
          <w:rPr>
            <w:rStyle w:val="Hyperlink"/>
          </w:rPr>
          <w:t>Official.Mail@iaea.org</w:t>
        </w:r>
      </w:hyperlink>
      <w:r>
        <w:t>). Form C has to be stamped and signed by the competent national authorit</w:t>
      </w:r>
      <w:r>
        <w:rPr>
          <w:color w:val="1F497D"/>
        </w:rPr>
        <w:t xml:space="preserve">ies. </w:t>
      </w:r>
      <w:r>
        <w:t>Participants who are members of an invited organization are requested to send the above form(s) through their organization to the IAEA (</w:t>
      </w:r>
      <w:hyperlink r:id="rId13" w:history="1">
        <w:r>
          <w:rPr>
            <w:rStyle w:val="Hyperlink"/>
          </w:rPr>
          <w:t>Official.Mail@iaea.org</w:t>
        </w:r>
      </w:hyperlink>
      <w:r>
        <w:t>).</w:t>
      </w:r>
    </w:p>
    <w:p w:rsidR="001D5A56" w:rsidRDefault="001D5A56" w:rsidP="001D5A56">
      <w:pPr>
        <w:spacing w:after="170" w:line="280" w:lineRule="atLeast"/>
        <w:jc w:val="both"/>
        <w:rPr>
          <w:rFonts w:eastAsiaTheme="minorHAnsi"/>
        </w:rPr>
      </w:pPr>
    </w:p>
    <w:p w:rsidR="001D5A56" w:rsidRDefault="001D5A56" w:rsidP="001D5A56">
      <w:pPr>
        <w:spacing w:after="170" w:line="280" w:lineRule="atLeast"/>
        <w:jc w:val="both"/>
      </w:pPr>
      <w:r>
        <w:t>Participants who registered in accordance with the above procedure will receive from the IAEA further information approximately three months before the opening of the symposium.</w:t>
      </w:r>
    </w:p>
    <w:p w:rsidR="001D5A56" w:rsidRDefault="001D5A56" w:rsidP="001D5A56">
      <w:pPr>
        <w:spacing w:after="170" w:line="280" w:lineRule="atLeast"/>
        <w:jc w:val="both"/>
      </w:pPr>
      <w:r>
        <w:t>Please note that in 2018 it will possible, and encouraged, to manage the entire designation process electronically, using the new InTouch+ (</w:t>
      </w:r>
      <w:hyperlink r:id="rId14" w:history="1">
        <w:r>
          <w:rPr>
            <w:rStyle w:val="Hyperlink"/>
          </w:rPr>
          <w:t>https://intouchplus.iaea.org</w:t>
        </w:r>
      </w:hyperlink>
      <w:r>
        <w:t xml:space="preserve">). This application is currently used for the IAEA’s technical cooperation events and will be available for regular programme meetings starting in 2018. Using InTouch+, prospective participants will be able to apply to participate in the Symposium and submit all required documents online. National authorities will be able to use InTouch+ to review and approve these applications. </w:t>
      </w:r>
    </w:p>
    <w:p w:rsidR="001D5A56" w:rsidRDefault="001D5A56" w:rsidP="001D5A56">
      <w:pPr>
        <w:spacing w:after="170" w:line="280" w:lineRule="atLeast"/>
        <w:jc w:val="both"/>
      </w:pPr>
      <w:r>
        <w:t xml:space="preserve">Interested parties that would like to use this new application should write to </w:t>
      </w:r>
      <w:hyperlink r:id="rId15" w:history="1">
        <w:r>
          <w:rPr>
            <w:rStyle w:val="Hyperlink"/>
          </w:rPr>
          <w:t>InTouchPlus.Contact-Point@iaea.org</w:t>
        </w:r>
      </w:hyperlink>
      <w:r>
        <w:t>.</w:t>
      </w:r>
    </w:p>
    <w:p w:rsidR="003F5A29" w:rsidRPr="003C7E53" w:rsidRDefault="003F5A29" w:rsidP="00184020">
      <w:pPr>
        <w:pStyle w:val="Heading1"/>
        <w:ind w:left="426" w:hanging="426"/>
      </w:pPr>
      <w:r w:rsidRPr="003C7E53">
        <w:t>Expenditures</w:t>
      </w:r>
      <w:r w:rsidR="004554BB">
        <w:t xml:space="preserve"> and Grants</w:t>
      </w:r>
    </w:p>
    <w:p w:rsidR="003F5A29" w:rsidRPr="00C362C4" w:rsidRDefault="003F5A29" w:rsidP="00755F46">
      <w:pPr>
        <w:pStyle w:val="BodyText"/>
      </w:pPr>
      <w:r w:rsidRPr="00C362C4">
        <w:t>No registration fee is charged to participants.</w:t>
      </w:r>
    </w:p>
    <w:p w:rsidR="003F5A29" w:rsidRPr="00755F46" w:rsidRDefault="003F5A29" w:rsidP="006B441E">
      <w:pPr>
        <w:pStyle w:val="BodyText"/>
        <w:rPr>
          <w:szCs w:val="22"/>
        </w:rPr>
      </w:pPr>
      <w:r w:rsidRPr="00755F46">
        <w:rPr>
          <w:szCs w:val="22"/>
        </w:rPr>
        <w:t xml:space="preserve">The IAEA is generally not in a position to bear the travel and other costs of designated participants </w:t>
      </w:r>
      <w:r w:rsidR="006B441E">
        <w:rPr>
          <w:szCs w:val="22"/>
        </w:rPr>
        <w:t>in</w:t>
      </w:r>
      <w:r w:rsidR="006B441E" w:rsidRPr="00755F46">
        <w:rPr>
          <w:szCs w:val="22"/>
        </w:rPr>
        <w:t xml:space="preserve"> </w:t>
      </w:r>
      <w:r w:rsidRPr="00755F46">
        <w:rPr>
          <w:szCs w:val="22"/>
        </w:rPr>
        <w:t xml:space="preserve">the </w:t>
      </w:r>
      <w:r w:rsidR="006B441E">
        <w:rPr>
          <w:szCs w:val="22"/>
        </w:rPr>
        <w:t>symposium</w:t>
      </w:r>
      <w:r w:rsidRPr="00755F46">
        <w:rPr>
          <w:szCs w:val="22"/>
        </w:rPr>
        <w:t xml:space="preserve">. The IAEA has, however, limited funds at its disposal to help </w:t>
      </w:r>
      <w:r w:rsidR="001962E4">
        <w:rPr>
          <w:szCs w:val="22"/>
        </w:rPr>
        <w:t>cover</w:t>
      </w:r>
      <w:r w:rsidR="001962E4" w:rsidRPr="00755F46">
        <w:rPr>
          <w:szCs w:val="22"/>
        </w:rPr>
        <w:t xml:space="preserve"> </w:t>
      </w:r>
      <w:r w:rsidRPr="00755F46">
        <w:rPr>
          <w:szCs w:val="22"/>
        </w:rPr>
        <w:t>the cost of attendance of selected specialists from Member States eligible to receive technical assistance under the IAEA</w:t>
      </w:r>
      <w:r w:rsidR="008D0A6D">
        <w:rPr>
          <w:szCs w:val="22"/>
        </w:rPr>
        <w:t>’</w:t>
      </w:r>
      <w:r w:rsidRPr="00755F46">
        <w:rPr>
          <w:szCs w:val="22"/>
        </w:rPr>
        <w:t>s technical cooperation programme. Such assistance may be offered upon specific request</w:t>
      </w:r>
      <w:r w:rsidR="008D0A6D">
        <w:rPr>
          <w:szCs w:val="22"/>
        </w:rPr>
        <w:t xml:space="preserve"> to normally one participant per country</w:t>
      </w:r>
      <w:r w:rsidRPr="00755F46">
        <w:rPr>
          <w:szCs w:val="22"/>
        </w:rPr>
        <w:t xml:space="preserve"> provided that</w:t>
      </w:r>
      <w:r w:rsidR="008D0A6D">
        <w:rPr>
          <w:szCs w:val="22"/>
        </w:rPr>
        <w:t>,</w:t>
      </w:r>
      <w:r w:rsidRPr="00755F46">
        <w:rPr>
          <w:szCs w:val="22"/>
        </w:rPr>
        <w:t xml:space="preserve"> in the IAEA</w:t>
      </w:r>
      <w:r w:rsidR="008D0A6D">
        <w:rPr>
          <w:szCs w:val="22"/>
        </w:rPr>
        <w:t>’</w:t>
      </w:r>
      <w:r w:rsidRPr="00755F46">
        <w:rPr>
          <w:szCs w:val="22"/>
        </w:rPr>
        <w:t>s view</w:t>
      </w:r>
      <w:r w:rsidR="008D0A6D">
        <w:rPr>
          <w:szCs w:val="22"/>
        </w:rPr>
        <w:t>,</w:t>
      </w:r>
      <w:r w:rsidRPr="00755F46">
        <w:rPr>
          <w:szCs w:val="22"/>
        </w:rPr>
        <w:t xml:space="preserve"> the participant </w:t>
      </w:r>
      <w:r w:rsidR="008D0A6D">
        <w:rPr>
          <w:szCs w:val="22"/>
        </w:rPr>
        <w:t xml:space="preserve">on whose behalf assistance is requested </w:t>
      </w:r>
      <w:r w:rsidRPr="00755F46">
        <w:rPr>
          <w:szCs w:val="22"/>
        </w:rPr>
        <w:t xml:space="preserve">will make an important contribution to the </w:t>
      </w:r>
      <w:r w:rsidR="006B441E">
        <w:rPr>
          <w:szCs w:val="22"/>
        </w:rPr>
        <w:t>symposium</w:t>
      </w:r>
      <w:r w:rsidRPr="00755F46">
        <w:rPr>
          <w:szCs w:val="22"/>
        </w:rPr>
        <w:t>.</w:t>
      </w:r>
    </w:p>
    <w:p w:rsidR="003F5A29" w:rsidRPr="00755F46" w:rsidRDefault="003F5A29" w:rsidP="00C362C4">
      <w:pPr>
        <w:pStyle w:val="BodyText"/>
        <w:rPr>
          <w:szCs w:val="22"/>
        </w:rPr>
      </w:pPr>
      <w:r w:rsidRPr="00755F46">
        <w:rPr>
          <w:szCs w:val="22"/>
        </w:rPr>
        <w:lastRenderedPageBreak/>
        <w:t>If governments wish to apply for a grant on behalf of one of their specialists, they should address specific requests to the IAEA to this effect. Governments should ensure that applications for grants are:</w:t>
      </w:r>
    </w:p>
    <w:p w:rsidR="003F5A29" w:rsidRPr="008E11A1" w:rsidRDefault="003F5A29" w:rsidP="008E11A1">
      <w:pPr>
        <w:pStyle w:val="BodyText"/>
        <w:rPr>
          <w:szCs w:val="22"/>
        </w:rPr>
      </w:pPr>
      <w:r w:rsidRPr="008E11A1">
        <w:rPr>
          <w:szCs w:val="22"/>
        </w:rPr>
        <w:t>1.</w:t>
      </w:r>
      <w:r w:rsidRPr="008E11A1">
        <w:rPr>
          <w:szCs w:val="22"/>
        </w:rPr>
        <w:tab/>
        <w:t xml:space="preserve">Submitted </w:t>
      </w:r>
      <w:r w:rsidRPr="005A56CB">
        <w:rPr>
          <w:szCs w:val="22"/>
        </w:rPr>
        <w:t>by</w:t>
      </w:r>
      <w:r w:rsidR="00025AED" w:rsidRPr="005A56CB">
        <w:rPr>
          <w:b/>
          <w:szCs w:val="22"/>
        </w:rPr>
        <w:t xml:space="preserve"> </w:t>
      </w:r>
      <w:r w:rsidR="001D5A56">
        <w:rPr>
          <w:b/>
          <w:szCs w:val="22"/>
        </w:rPr>
        <w:t>17 December</w:t>
      </w:r>
      <w:r w:rsidR="005A56CB">
        <w:rPr>
          <w:b/>
          <w:szCs w:val="22"/>
        </w:rPr>
        <w:t xml:space="preserve"> </w:t>
      </w:r>
      <w:r w:rsidR="00283D33" w:rsidRPr="005A56CB">
        <w:rPr>
          <w:b/>
          <w:szCs w:val="22"/>
        </w:rPr>
        <w:t>201</w:t>
      </w:r>
      <w:r w:rsidR="00E77E72" w:rsidRPr="005A56CB">
        <w:rPr>
          <w:b/>
          <w:szCs w:val="22"/>
        </w:rPr>
        <w:t>7</w:t>
      </w:r>
      <w:r w:rsidRPr="008E11A1">
        <w:rPr>
          <w:szCs w:val="22"/>
        </w:rPr>
        <w:t>;</w:t>
      </w:r>
    </w:p>
    <w:p w:rsidR="003F5A29" w:rsidRPr="008E11A1" w:rsidRDefault="003F5A29" w:rsidP="008E11A1">
      <w:pPr>
        <w:pStyle w:val="BodyText"/>
        <w:rPr>
          <w:szCs w:val="22"/>
        </w:rPr>
      </w:pPr>
      <w:r w:rsidRPr="008E11A1">
        <w:rPr>
          <w:szCs w:val="22"/>
        </w:rPr>
        <w:t>2.</w:t>
      </w:r>
      <w:r w:rsidRPr="008E11A1">
        <w:rPr>
          <w:szCs w:val="22"/>
        </w:rPr>
        <w:tab/>
        <w:t>Accompanied by a completed and signed Grant Application Form (Form C);</w:t>
      </w:r>
    </w:p>
    <w:p w:rsidR="003F5A29" w:rsidRDefault="003F5A29" w:rsidP="008E11A1">
      <w:pPr>
        <w:pStyle w:val="BodyText"/>
        <w:rPr>
          <w:szCs w:val="22"/>
        </w:rPr>
      </w:pPr>
      <w:r w:rsidRPr="008E11A1">
        <w:rPr>
          <w:szCs w:val="22"/>
        </w:rPr>
        <w:t>3.</w:t>
      </w:r>
      <w:r w:rsidRPr="008E11A1">
        <w:rPr>
          <w:szCs w:val="22"/>
        </w:rPr>
        <w:tab/>
        <w:t>Accompanied by a completed Participation Form (Form A).</w:t>
      </w:r>
    </w:p>
    <w:p w:rsidR="003F5A29" w:rsidRPr="00755F46" w:rsidRDefault="003F5A29" w:rsidP="00C362C4">
      <w:pPr>
        <w:pStyle w:val="BodyText"/>
      </w:pPr>
      <w:r w:rsidRPr="00755F46">
        <w:t>Applications that do not comply with the above conditions cannot be considered.</w:t>
      </w:r>
    </w:p>
    <w:p w:rsidR="003F5A29" w:rsidRPr="00C362C4" w:rsidRDefault="003F5A29" w:rsidP="00C362C4">
      <w:pPr>
        <w:pStyle w:val="BodyText"/>
      </w:pPr>
      <w:r w:rsidRPr="00755F46">
        <w:t xml:space="preserve">Approved grants will be issued in the form of a lump sum payment that usually </w:t>
      </w:r>
      <w:r w:rsidRPr="00A23F13">
        <w:rPr>
          <w:b/>
        </w:rPr>
        <w:t>covers only part of the cost of attendance</w:t>
      </w:r>
      <w:r w:rsidRPr="00C362C4">
        <w:t>.</w:t>
      </w:r>
    </w:p>
    <w:p w:rsidR="003F5A29" w:rsidRDefault="003F5A29" w:rsidP="00184020">
      <w:pPr>
        <w:pStyle w:val="Heading1"/>
        <w:ind w:left="426" w:hanging="426"/>
      </w:pPr>
      <w:r>
        <w:t>Working Language</w:t>
      </w:r>
    </w:p>
    <w:p w:rsidR="003F5A29" w:rsidRDefault="003F5A29" w:rsidP="00C91020">
      <w:pPr>
        <w:pStyle w:val="BodyText"/>
        <w:widowControl w:val="0"/>
        <w:overflowPunct w:val="0"/>
        <w:autoSpaceDE w:val="0"/>
        <w:autoSpaceDN w:val="0"/>
        <w:adjustRightInd w:val="0"/>
        <w:textAlignment w:val="baseline"/>
      </w:pPr>
      <w:r>
        <w:t xml:space="preserve">The working language of the </w:t>
      </w:r>
      <w:r w:rsidR="006B441E">
        <w:t>symposium</w:t>
      </w:r>
      <w:r>
        <w:t xml:space="preserve"> will be English. </w:t>
      </w:r>
      <w:r w:rsidRPr="00BE6461">
        <w:t>All communications</w:t>
      </w:r>
      <w:r w:rsidR="009721D8" w:rsidRPr="00C3098E">
        <w:t xml:space="preserve"> and </w:t>
      </w:r>
      <w:r w:rsidRPr="00C3098E">
        <w:t>papers must be sent to the IAEA in English.</w:t>
      </w:r>
    </w:p>
    <w:p w:rsidR="00151892" w:rsidRDefault="00151892" w:rsidP="00210561">
      <w:pPr>
        <w:pStyle w:val="Heading1"/>
        <w:ind w:left="426" w:hanging="426"/>
      </w:pPr>
      <w:r>
        <w:t>Exhibition</w:t>
      </w:r>
    </w:p>
    <w:p w:rsidR="00846799" w:rsidRDefault="007E10B1" w:rsidP="00C91020">
      <w:pPr>
        <w:pStyle w:val="BodyText"/>
        <w:widowControl w:val="0"/>
        <w:overflowPunct w:val="0"/>
        <w:autoSpaceDE w:val="0"/>
        <w:autoSpaceDN w:val="0"/>
        <w:adjustRightInd w:val="0"/>
        <w:textAlignment w:val="baseline"/>
      </w:pPr>
      <w:r>
        <w:t xml:space="preserve">A limited amount of space will be available for commercial vendors’ displays/exhibits during the </w:t>
      </w:r>
      <w:r w:rsidR="006B441E">
        <w:t>symposium</w:t>
      </w:r>
      <w:r>
        <w:t>.</w:t>
      </w:r>
      <w:r w:rsidR="00DC025A">
        <w:t xml:space="preserve"> Further information will be posted soon </w:t>
      </w:r>
      <w:r w:rsidR="00125195">
        <w:t xml:space="preserve">on </w:t>
      </w:r>
      <w:r w:rsidR="00DC025A">
        <w:t xml:space="preserve">the </w:t>
      </w:r>
      <w:r w:rsidR="006B441E">
        <w:t>symposium</w:t>
      </w:r>
      <w:r w:rsidR="00DC025A">
        <w:t xml:space="preserve"> web</w:t>
      </w:r>
      <w:r w:rsidR="00125195">
        <w:t xml:space="preserve"> </w:t>
      </w:r>
      <w:r w:rsidR="00DC025A">
        <w:t>page</w:t>
      </w:r>
      <w:r w:rsidR="00125195">
        <w:t xml:space="preserve"> </w:t>
      </w:r>
      <w:r w:rsidR="00125195" w:rsidRPr="00656F5C">
        <w:t>(see Section </w:t>
      </w:r>
      <w:r w:rsidR="00125195" w:rsidRPr="00656F5C">
        <w:fldChar w:fldCharType="begin"/>
      </w:r>
      <w:r w:rsidR="00125195" w:rsidRPr="0090794B">
        <w:instrText xml:space="preserve"> REF _Ref345918223 \r \h </w:instrText>
      </w:r>
      <w:r w:rsidR="006B441E">
        <w:instrText xml:space="preserve"> \* MERGEFORMAT </w:instrText>
      </w:r>
      <w:r w:rsidR="00125195" w:rsidRPr="00656F5C">
        <w:fldChar w:fldCharType="separate"/>
      </w:r>
      <w:r w:rsidR="00C61187" w:rsidRPr="00656F5C">
        <w:t>M</w:t>
      </w:r>
      <w:r w:rsidR="00125195" w:rsidRPr="00656F5C">
        <w:fldChar w:fldCharType="end"/>
      </w:r>
      <w:r w:rsidR="00125195" w:rsidRPr="00656F5C">
        <w:t>)</w:t>
      </w:r>
      <w:r w:rsidR="00DC025A">
        <w:t>.</w:t>
      </w:r>
    </w:p>
    <w:p w:rsidR="003F5A29" w:rsidRDefault="003F5A29" w:rsidP="00184020">
      <w:pPr>
        <w:pStyle w:val="Heading1"/>
        <w:ind w:left="426" w:hanging="426"/>
      </w:pPr>
      <w:r>
        <w:t>Visa</w:t>
      </w:r>
      <w:r w:rsidR="008D0A6D">
        <w:t>s</w:t>
      </w:r>
    </w:p>
    <w:p w:rsidR="00E92FEC" w:rsidRPr="00A23F13" w:rsidRDefault="00F364E8" w:rsidP="00210561">
      <w:pPr>
        <w:overflowPunct/>
        <w:spacing w:after="170" w:line="280" w:lineRule="atLeast"/>
        <w:jc w:val="both"/>
        <w:textAlignment w:val="auto"/>
      </w:pPr>
      <w:r>
        <w:t xml:space="preserve">Designated participants who require a visa to enter Austria should submit the necessary application to the nearest diplomatic or consular representative of Austria as soon as possible. Please note that Austria is a Schengen State and therefore persons who require a visa will have to apply for a Schengen visa at least 21 days before entry into Austria. In States where Austria has no diplomatic mission, visas can be obtained from the consular authority of a Schengen Partner State representing Austria in the country in question. At present the Schengen States are: </w:t>
      </w:r>
      <w:r w:rsidRPr="000D153A">
        <w:rPr>
          <w:color w:val="000000"/>
        </w:rPr>
        <w:t>Austria, Belgium, Czech Republic, Denmark, Estonia, Finland, France, Germany, Greece, Hungary, Iceland, Italy, Latvia, Lithuania, Luxembourg, Malta, Netherlands, Norway, Poland, Portugal, Slovakia, Slovenia, Spain, Sweden and Switzerland. If</w:t>
      </w:r>
      <w:r w:rsidRPr="005E148E">
        <w:rPr>
          <w:color w:val="333333"/>
        </w:rPr>
        <w:t xml:space="preserve"> you need more information </w:t>
      </w:r>
      <w:r w:rsidRPr="000D153A">
        <w:rPr>
          <w:color w:val="000000"/>
        </w:rPr>
        <w:t>please check</w:t>
      </w:r>
      <w:r w:rsidRPr="005E148E">
        <w:rPr>
          <w:color w:val="333333"/>
        </w:rPr>
        <w:t xml:space="preserve">: </w:t>
      </w:r>
      <w:hyperlink r:id="rId16" w:history="1">
        <w:r w:rsidRPr="000D153A">
          <w:rPr>
            <w:rStyle w:val="Hyperlink"/>
          </w:rPr>
          <w:t>http://www.eurovisa.info/SchengenCountries.htm</w:t>
        </w:r>
      </w:hyperlink>
      <w:r w:rsidR="00376B9A">
        <w:t>.</w:t>
      </w:r>
    </w:p>
    <w:p w:rsidR="003F5A29" w:rsidRDefault="003F5A29" w:rsidP="00527A4B">
      <w:pPr>
        <w:pStyle w:val="Heading1"/>
        <w:keepNext/>
        <w:keepLines/>
        <w:ind w:left="426" w:hanging="426"/>
      </w:pPr>
      <w:r>
        <w:lastRenderedPageBreak/>
        <w:t>Key Deadlines</w:t>
      </w:r>
    </w:p>
    <w:p w:rsidR="003F5A29" w:rsidRPr="00280ABF" w:rsidRDefault="003F5A29" w:rsidP="00125195">
      <w:pPr>
        <w:pStyle w:val="BodyText"/>
        <w:keepNext/>
        <w:keepLines/>
      </w:pPr>
      <w:r w:rsidRPr="00280ABF">
        <w:t xml:space="preserve">Submission of </w:t>
      </w:r>
      <w:r w:rsidR="008D0A6D">
        <w:t xml:space="preserve">Form for Submission of a </w:t>
      </w:r>
      <w:r w:rsidR="002960F7">
        <w:t>Paper (</w:t>
      </w:r>
      <w:r w:rsidRPr="00280ABF">
        <w:t>Form B</w:t>
      </w:r>
      <w:r w:rsidR="002960F7">
        <w:t>)</w:t>
      </w:r>
      <w:r w:rsidRPr="00280ABF">
        <w:t xml:space="preserve"> and </w:t>
      </w:r>
      <w:r w:rsidR="00605016">
        <w:t>abstract</w:t>
      </w:r>
      <w:r w:rsidR="00BA166E">
        <w:t>:</w:t>
      </w:r>
      <w:r w:rsidR="008D0A6D">
        <w:tab/>
      </w:r>
      <w:r w:rsidR="008D0A6D">
        <w:tab/>
      </w:r>
      <w:r w:rsidR="001D5A56">
        <w:rPr>
          <w:b/>
        </w:rPr>
        <w:t>17 December</w:t>
      </w:r>
      <w:r w:rsidR="00605016">
        <w:rPr>
          <w:b/>
        </w:rPr>
        <w:t xml:space="preserve"> 201</w:t>
      </w:r>
      <w:r w:rsidR="004801EA">
        <w:rPr>
          <w:b/>
        </w:rPr>
        <w:t>7</w:t>
      </w:r>
    </w:p>
    <w:p w:rsidR="003F5A29" w:rsidRPr="00B57241" w:rsidRDefault="003F5A29" w:rsidP="00527A4B">
      <w:pPr>
        <w:pStyle w:val="BodyText"/>
        <w:keepNext/>
        <w:keepLines/>
      </w:pPr>
      <w:r>
        <w:t>Submission of Grant Application Form (Form C):</w:t>
      </w:r>
      <w:r>
        <w:tab/>
      </w:r>
      <w:r>
        <w:tab/>
      </w:r>
      <w:r>
        <w:tab/>
      </w:r>
      <w:r w:rsidR="008D0A6D">
        <w:tab/>
      </w:r>
      <w:r w:rsidR="00636327">
        <w:tab/>
      </w:r>
      <w:r w:rsidR="001D5A56">
        <w:rPr>
          <w:b/>
        </w:rPr>
        <w:t xml:space="preserve">17 December </w:t>
      </w:r>
      <w:r w:rsidR="00605016">
        <w:rPr>
          <w:b/>
        </w:rPr>
        <w:t>201</w:t>
      </w:r>
      <w:r w:rsidR="004801EA">
        <w:rPr>
          <w:b/>
        </w:rPr>
        <w:t>7</w:t>
      </w:r>
    </w:p>
    <w:p w:rsidR="003F5A29" w:rsidRDefault="003F5A29" w:rsidP="00527A4B">
      <w:pPr>
        <w:pStyle w:val="BodyText"/>
        <w:keepNext/>
        <w:keepLines/>
        <w:rPr>
          <w:b/>
        </w:rPr>
      </w:pPr>
      <w:r w:rsidRPr="00280ABF">
        <w:t xml:space="preserve">Notification of acceptance of </w:t>
      </w:r>
      <w:r w:rsidR="004B101A">
        <w:t>brief abstract</w:t>
      </w:r>
      <w:r w:rsidR="00232AF4">
        <w:t xml:space="preserve"> </w:t>
      </w:r>
      <w:r w:rsidR="008D0A6D">
        <w:tab/>
      </w:r>
      <w:r w:rsidRPr="00280ABF">
        <w:tab/>
      </w:r>
      <w:r w:rsidR="008D0A6D">
        <w:tab/>
      </w:r>
      <w:r w:rsidR="008D0A6D">
        <w:tab/>
      </w:r>
      <w:r w:rsidR="00232AF4">
        <w:tab/>
      </w:r>
      <w:r w:rsidR="008D0A6D">
        <w:tab/>
      </w:r>
      <w:r w:rsidR="004B101A">
        <w:rPr>
          <w:b/>
        </w:rPr>
        <w:t>31 December</w:t>
      </w:r>
      <w:r w:rsidR="004801EA" w:rsidRPr="002D423C">
        <w:rPr>
          <w:b/>
        </w:rPr>
        <w:t xml:space="preserve"> 201</w:t>
      </w:r>
      <w:r w:rsidR="004B101A">
        <w:rPr>
          <w:b/>
        </w:rPr>
        <w:t>7</w:t>
      </w:r>
    </w:p>
    <w:p w:rsidR="004B101A" w:rsidRDefault="004B101A" w:rsidP="00527A4B">
      <w:pPr>
        <w:pStyle w:val="BodyText"/>
        <w:keepNext/>
        <w:keepLines/>
      </w:pPr>
      <w:r>
        <w:t xml:space="preserve">Electronic submission of </w:t>
      </w:r>
      <w:r w:rsidRPr="00605E40">
        <w:t>extended abstracts</w:t>
      </w:r>
      <w:r>
        <w:t>, if applicable:</w:t>
      </w:r>
      <w:r>
        <w:tab/>
      </w:r>
      <w:r>
        <w:tab/>
      </w:r>
      <w:r>
        <w:tab/>
      </w:r>
      <w:r>
        <w:rPr>
          <w:b/>
        </w:rPr>
        <w:t xml:space="preserve">1 February </w:t>
      </w:r>
      <w:r w:rsidRPr="00232AF4">
        <w:rPr>
          <w:b/>
        </w:rPr>
        <w:t>2018</w:t>
      </w:r>
    </w:p>
    <w:p w:rsidR="00605016" w:rsidRDefault="004B101A" w:rsidP="00527A4B">
      <w:pPr>
        <w:pStyle w:val="BodyText"/>
        <w:keepNext/>
        <w:keepLines/>
        <w:rPr>
          <w:b/>
        </w:rPr>
      </w:pPr>
      <w:r>
        <w:t>Notification of acceptance of extended abstracts:</w:t>
      </w:r>
      <w:r w:rsidR="008D0A6D">
        <w:tab/>
      </w:r>
      <w:r w:rsidR="008D0A6D">
        <w:tab/>
      </w:r>
      <w:r w:rsidR="008D0A6D">
        <w:tab/>
      </w:r>
      <w:r w:rsidR="00636327">
        <w:tab/>
      </w:r>
      <w:r w:rsidR="00636327">
        <w:tab/>
      </w:r>
      <w:r w:rsidR="00605E40">
        <w:rPr>
          <w:b/>
        </w:rPr>
        <w:t>1</w:t>
      </w:r>
      <w:r w:rsidR="00605E40" w:rsidRPr="004B101A">
        <w:rPr>
          <w:b/>
        </w:rPr>
        <w:t xml:space="preserve"> </w:t>
      </w:r>
      <w:r w:rsidRPr="004B101A">
        <w:rPr>
          <w:b/>
        </w:rPr>
        <w:t>March</w:t>
      </w:r>
      <w:r w:rsidR="004801EA" w:rsidRPr="004B101A">
        <w:rPr>
          <w:b/>
        </w:rPr>
        <w:t xml:space="preserve"> 2018</w:t>
      </w:r>
    </w:p>
    <w:p w:rsidR="004B101A" w:rsidRDefault="004B101A" w:rsidP="00527A4B">
      <w:pPr>
        <w:pStyle w:val="BodyText"/>
        <w:keepNext/>
        <w:keepLines/>
        <w:rPr>
          <w:b/>
        </w:rPr>
      </w:pPr>
      <w:r w:rsidRPr="00232AF4">
        <w:t>Submission of revised extended abstracts:</w:t>
      </w:r>
      <w:r w:rsidRPr="00232AF4">
        <w:tab/>
      </w:r>
      <w:r w:rsidRPr="00232AF4">
        <w:tab/>
      </w:r>
      <w:r>
        <w:rPr>
          <w:b/>
        </w:rPr>
        <w:tab/>
      </w:r>
      <w:r>
        <w:rPr>
          <w:b/>
        </w:rPr>
        <w:tab/>
      </w:r>
      <w:r>
        <w:rPr>
          <w:b/>
        </w:rPr>
        <w:tab/>
      </w:r>
      <w:r>
        <w:rPr>
          <w:b/>
        </w:rPr>
        <w:tab/>
        <w:t>2 April 2018</w:t>
      </w:r>
    </w:p>
    <w:p w:rsidR="00982D27" w:rsidRPr="006F271E" w:rsidRDefault="006B441E" w:rsidP="00982D27">
      <w:pPr>
        <w:pStyle w:val="Heading1"/>
        <w:keepNext/>
        <w:keepLines/>
        <w:ind w:left="426" w:hanging="426"/>
      </w:pPr>
      <w:r>
        <w:t>Symposium</w:t>
      </w:r>
      <w:r w:rsidR="00982D27">
        <w:t xml:space="preserve"> Secretariat</w:t>
      </w:r>
    </w:p>
    <w:p w:rsidR="00982D27" w:rsidRPr="00C362C4" w:rsidRDefault="00982D27" w:rsidP="00982D27">
      <w:pPr>
        <w:pStyle w:val="BodyText"/>
        <w:keepNext/>
        <w:keepLines/>
        <w:rPr>
          <w:b/>
        </w:rPr>
      </w:pPr>
      <w:r>
        <w:rPr>
          <w:b/>
        </w:rPr>
        <w:t>General contact details</w:t>
      </w:r>
      <w:r w:rsidRPr="00C362C4">
        <w:rPr>
          <w:b/>
        </w:rPr>
        <w:t xml:space="preserve"> of the </w:t>
      </w:r>
      <w:r w:rsidR="006B441E">
        <w:rPr>
          <w:b/>
        </w:rPr>
        <w:t>Symposium</w:t>
      </w:r>
      <w:r w:rsidRPr="00C362C4">
        <w:rPr>
          <w:b/>
        </w:rPr>
        <w:t xml:space="preserve"> Secretariat:</w:t>
      </w:r>
    </w:p>
    <w:p w:rsidR="00357BDF" w:rsidRDefault="00982D27" w:rsidP="00357BDF">
      <w:pPr>
        <w:pStyle w:val="BodyText"/>
        <w:keepNext/>
        <w:keepLines/>
      </w:pPr>
      <w:r w:rsidRPr="006F271E">
        <w:rPr>
          <w:rFonts w:eastAsia="MS Mincho"/>
          <w:szCs w:val="22"/>
        </w:rPr>
        <w:t>International Atomic Energy Agency</w:t>
      </w:r>
      <w:r w:rsidRPr="00755F46">
        <w:br/>
      </w:r>
      <w:r w:rsidRPr="006F271E">
        <w:rPr>
          <w:rFonts w:eastAsia="MS Mincho"/>
          <w:szCs w:val="22"/>
        </w:rPr>
        <w:t>Vienna International Centre</w:t>
      </w:r>
      <w:r>
        <w:rPr>
          <w:rFonts w:eastAsia="MS Mincho"/>
          <w:szCs w:val="22"/>
        </w:rPr>
        <w:br/>
      </w:r>
      <w:r w:rsidRPr="006F271E">
        <w:rPr>
          <w:rFonts w:eastAsia="MS Mincho"/>
          <w:szCs w:val="22"/>
        </w:rPr>
        <w:t>PO Box 100</w:t>
      </w:r>
      <w:r w:rsidRPr="00755F46">
        <w:br/>
      </w:r>
      <w:r w:rsidRPr="006F271E">
        <w:rPr>
          <w:rFonts w:eastAsia="MS Mincho"/>
          <w:szCs w:val="22"/>
        </w:rPr>
        <w:t>1400 V</w:t>
      </w:r>
      <w:r>
        <w:rPr>
          <w:rFonts w:eastAsia="MS Mincho"/>
          <w:szCs w:val="22"/>
        </w:rPr>
        <w:t>IENNA</w:t>
      </w:r>
      <w:r>
        <w:rPr>
          <w:rFonts w:eastAsia="MS Mincho"/>
          <w:szCs w:val="22"/>
        </w:rPr>
        <w:br/>
      </w:r>
      <w:r w:rsidRPr="006F271E">
        <w:rPr>
          <w:rFonts w:eastAsia="MS Mincho"/>
          <w:szCs w:val="22"/>
        </w:rPr>
        <w:t>A</w:t>
      </w:r>
      <w:r>
        <w:rPr>
          <w:rFonts w:eastAsia="MS Mincho"/>
          <w:szCs w:val="22"/>
        </w:rPr>
        <w:t>USTRIA</w:t>
      </w:r>
    </w:p>
    <w:p w:rsidR="00117988" w:rsidRPr="00982D27" w:rsidRDefault="00982D27" w:rsidP="00357BDF">
      <w:pPr>
        <w:pStyle w:val="BodyText"/>
        <w:keepNext/>
        <w:keepLines/>
      </w:pPr>
      <w:r w:rsidRPr="006F271E">
        <w:rPr>
          <w:rFonts w:eastAsia="MS Mincho"/>
          <w:szCs w:val="22"/>
          <w:lang w:eastAsia="ja-JP"/>
        </w:rPr>
        <w:t>Tel.: +43 1 2600</w:t>
      </w:r>
      <w:r w:rsidRPr="00755F46">
        <w:br/>
      </w:r>
      <w:r w:rsidRPr="006F271E">
        <w:rPr>
          <w:rFonts w:eastAsia="MS Mincho"/>
          <w:szCs w:val="22"/>
          <w:lang w:eastAsia="ja-JP"/>
        </w:rPr>
        <w:t>Fax: +43 1 2600 2007</w:t>
      </w:r>
      <w:r w:rsidRPr="00755F46">
        <w:br/>
      </w:r>
      <w:r w:rsidRPr="00C362C4">
        <w:rPr>
          <w:rFonts w:eastAsia="MS Mincho"/>
          <w:szCs w:val="22"/>
          <w:lang w:eastAsia="ja-JP"/>
        </w:rPr>
        <w:t xml:space="preserve">Email: </w:t>
      </w:r>
      <w:hyperlink r:id="rId17" w:history="1">
        <w:r w:rsidR="00125195">
          <w:rPr>
            <w:rStyle w:val="Hyperlink"/>
            <w:rFonts w:eastAsia="Batang"/>
            <w:szCs w:val="22"/>
            <w:lang w:eastAsia="ko-KR"/>
          </w:rPr>
          <w:t>Official.Mail@iaea.org</w:t>
        </w:r>
      </w:hyperlink>
    </w:p>
    <w:p w:rsidR="00210561" w:rsidRDefault="00210561" w:rsidP="00117988">
      <w:pPr>
        <w:pStyle w:val="BodyText"/>
        <w:rPr>
          <w:b/>
        </w:rPr>
      </w:pPr>
    </w:p>
    <w:p w:rsidR="00117988" w:rsidRDefault="00117988" w:rsidP="00117988">
      <w:pPr>
        <w:pStyle w:val="BodyText"/>
        <w:rPr>
          <w:b/>
        </w:rPr>
      </w:pPr>
      <w:r w:rsidRPr="00C362C4">
        <w:rPr>
          <w:b/>
        </w:rPr>
        <w:t xml:space="preserve">Scientific Secretaries of the </w:t>
      </w:r>
      <w:r w:rsidR="006B441E">
        <w:rPr>
          <w:b/>
        </w:rPr>
        <w:t>Symposium</w:t>
      </w:r>
      <w:r w:rsidRPr="00C362C4">
        <w:rPr>
          <w:b/>
        </w:rPr>
        <w:t>:</w:t>
      </w:r>
    </w:p>
    <w:p w:rsidR="00117988" w:rsidRPr="00C3098E" w:rsidRDefault="00117988" w:rsidP="00117988">
      <w:pPr>
        <w:pStyle w:val="BodyText"/>
        <w:spacing w:after="0"/>
        <w:rPr>
          <w:b/>
          <w:bCs/>
        </w:rPr>
      </w:pPr>
      <w:r w:rsidRPr="00C3098E">
        <w:rPr>
          <w:b/>
          <w:bCs/>
        </w:rPr>
        <w:t xml:space="preserve">Mr </w:t>
      </w:r>
      <w:r w:rsidR="004B101A">
        <w:rPr>
          <w:b/>
          <w:bCs/>
        </w:rPr>
        <w:t>Peter Woods</w:t>
      </w:r>
    </w:p>
    <w:p w:rsidR="00117988" w:rsidRPr="00014337" w:rsidRDefault="004B101A" w:rsidP="00125195">
      <w:pPr>
        <w:pStyle w:val="BodyText"/>
        <w:spacing w:after="0"/>
      </w:pPr>
      <w:r>
        <w:t>Team Leader</w:t>
      </w:r>
    </w:p>
    <w:p w:rsidR="00117988" w:rsidRDefault="004B101A" w:rsidP="00117988">
      <w:pPr>
        <w:pStyle w:val="BodyText"/>
        <w:spacing w:after="0"/>
      </w:pPr>
      <w:r>
        <w:t>Division of Nuclear Fuel Cycle and Waste Technology</w:t>
      </w:r>
    </w:p>
    <w:p w:rsidR="00557469" w:rsidRDefault="00557469" w:rsidP="00117988">
      <w:pPr>
        <w:pStyle w:val="BodyText"/>
        <w:spacing w:after="0"/>
      </w:pPr>
      <w:r>
        <w:t>Department of Nuclear Energy</w:t>
      </w:r>
    </w:p>
    <w:p w:rsidR="00117988" w:rsidRDefault="00117988" w:rsidP="00117988">
      <w:pPr>
        <w:pStyle w:val="BodyText"/>
        <w:spacing w:after="0"/>
      </w:pPr>
      <w:r>
        <w:t xml:space="preserve">Tel.: +43 1 2600 </w:t>
      </w:r>
      <w:r w:rsidR="004B101A">
        <w:t>22768</w:t>
      </w:r>
    </w:p>
    <w:p w:rsidR="00117988" w:rsidRDefault="00117988" w:rsidP="00117988">
      <w:pPr>
        <w:pStyle w:val="BodyText"/>
        <w:spacing w:after="0"/>
      </w:pPr>
      <w:r>
        <w:t xml:space="preserve">Fax: +43 1 2600 </w:t>
      </w:r>
      <w:r w:rsidR="004B101A">
        <w:t>22768</w:t>
      </w:r>
    </w:p>
    <w:p w:rsidR="00117988" w:rsidRDefault="00117988" w:rsidP="00125195">
      <w:pPr>
        <w:pStyle w:val="BodyText"/>
        <w:spacing w:after="0"/>
      </w:pPr>
      <w:r w:rsidRPr="001D5A56">
        <w:t>Email:</w:t>
      </w:r>
      <w:r w:rsidR="00125195" w:rsidRPr="001D5A56">
        <w:t xml:space="preserve"> </w:t>
      </w:r>
      <w:hyperlink r:id="rId18" w:history="1">
        <w:r w:rsidR="004B101A" w:rsidRPr="001D5A56">
          <w:rPr>
            <w:rStyle w:val="Hyperlink"/>
          </w:rPr>
          <w:t>URAM2018@iaea.org</w:t>
        </w:r>
      </w:hyperlink>
    </w:p>
    <w:p w:rsidR="00117988" w:rsidRDefault="00117988" w:rsidP="00117988">
      <w:pPr>
        <w:pStyle w:val="BodyText"/>
        <w:rPr>
          <w:b/>
        </w:rPr>
      </w:pPr>
    </w:p>
    <w:p w:rsidR="00117988" w:rsidRPr="00696F8E" w:rsidRDefault="00117988" w:rsidP="00117988">
      <w:pPr>
        <w:pStyle w:val="BodyText"/>
        <w:spacing w:after="0"/>
        <w:rPr>
          <w:b/>
        </w:rPr>
      </w:pPr>
      <w:r w:rsidRPr="00696F8E">
        <w:rPr>
          <w:b/>
        </w:rPr>
        <w:t xml:space="preserve">Mr </w:t>
      </w:r>
      <w:r w:rsidR="004B101A">
        <w:rPr>
          <w:b/>
        </w:rPr>
        <w:t>Martin Fairclough</w:t>
      </w:r>
    </w:p>
    <w:p w:rsidR="00210561" w:rsidRDefault="00210561" w:rsidP="00210561">
      <w:pPr>
        <w:pStyle w:val="BodyText"/>
        <w:spacing w:after="0"/>
      </w:pPr>
      <w:r>
        <w:t>Division of Nuclear Fuel Cycle and Waste Technology</w:t>
      </w:r>
    </w:p>
    <w:p w:rsidR="00210561" w:rsidRDefault="00210561" w:rsidP="00210561">
      <w:pPr>
        <w:pStyle w:val="BodyText"/>
        <w:spacing w:after="0"/>
      </w:pPr>
      <w:r>
        <w:t>Department of Nuclear Energy</w:t>
      </w:r>
    </w:p>
    <w:p w:rsidR="00117988" w:rsidRPr="00C3098E" w:rsidRDefault="00117988" w:rsidP="00117988">
      <w:pPr>
        <w:pStyle w:val="BodyText"/>
        <w:spacing w:after="0"/>
      </w:pPr>
      <w:r>
        <w:t xml:space="preserve">Tel.: +43 1 2600 </w:t>
      </w:r>
      <w:r w:rsidR="00210561">
        <w:t>26557</w:t>
      </w:r>
    </w:p>
    <w:p w:rsidR="00117988" w:rsidRPr="00C3098E" w:rsidRDefault="00117988" w:rsidP="00117988">
      <w:pPr>
        <w:pStyle w:val="BodyText"/>
        <w:spacing w:after="0"/>
        <w:rPr>
          <w:bCs/>
        </w:rPr>
      </w:pPr>
      <w:r w:rsidRPr="00C3098E">
        <w:rPr>
          <w:bCs/>
        </w:rPr>
        <w:t>Fax</w:t>
      </w:r>
      <w:r>
        <w:rPr>
          <w:bCs/>
        </w:rPr>
        <w:t xml:space="preserve">: +43 1 2600 </w:t>
      </w:r>
      <w:r w:rsidR="00210561">
        <w:rPr>
          <w:bCs/>
        </w:rPr>
        <w:t>26557</w:t>
      </w:r>
    </w:p>
    <w:p w:rsidR="00117988" w:rsidRPr="00C3098E" w:rsidRDefault="00117988" w:rsidP="00117988">
      <w:pPr>
        <w:pStyle w:val="BodyText"/>
        <w:rPr>
          <w:bCs/>
        </w:rPr>
      </w:pPr>
      <w:r w:rsidRPr="001D5A56">
        <w:rPr>
          <w:bCs/>
        </w:rPr>
        <w:t xml:space="preserve">Email: </w:t>
      </w:r>
      <w:hyperlink r:id="rId19" w:history="1">
        <w:r w:rsidR="00210561" w:rsidRPr="001D5A56">
          <w:rPr>
            <w:rStyle w:val="Hyperlink"/>
          </w:rPr>
          <w:t>URAM2018@iaea.org</w:t>
        </w:r>
      </w:hyperlink>
    </w:p>
    <w:p w:rsidR="00117988" w:rsidRDefault="00117988" w:rsidP="00877E05">
      <w:pPr>
        <w:pStyle w:val="BodyText"/>
        <w:rPr>
          <w:b/>
        </w:rPr>
      </w:pPr>
    </w:p>
    <w:p w:rsidR="00877E05" w:rsidRPr="00755F46" w:rsidRDefault="00877E05" w:rsidP="00527A4B">
      <w:pPr>
        <w:pStyle w:val="BodyText"/>
        <w:keepNext/>
        <w:keepLines/>
      </w:pPr>
      <w:r w:rsidRPr="00C362C4">
        <w:rPr>
          <w:b/>
        </w:rPr>
        <w:lastRenderedPageBreak/>
        <w:t xml:space="preserve">Administration and </w:t>
      </w:r>
      <w:r w:rsidR="001C1430">
        <w:rPr>
          <w:b/>
        </w:rPr>
        <w:t>Organi</w:t>
      </w:r>
      <w:r w:rsidR="00125195">
        <w:rPr>
          <w:b/>
        </w:rPr>
        <w:t>z</w:t>
      </w:r>
      <w:r w:rsidR="001C1430">
        <w:rPr>
          <w:b/>
        </w:rPr>
        <w:t>ation</w:t>
      </w:r>
      <w:r w:rsidRPr="00C362C4">
        <w:rPr>
          <w:b/>
        </w:rPr>
        <w:t>:</w:t>
      </w:r>
    </w:p>
    <w:p w:rsidR="00877E05" w:rsidRDefault="00877E05" w:rsidP="00527A4B">
      <w:pPr>
        <w:pStyle w:val="BodyText"/>
        <w:keepNext/>
        <w:keepLines/>
      </w:pPr>
      <w:r w:rsidRPr="00FF712D">
        <w:rPr>
          <w:b/>
        </w:rPr>
        <w:t xml:space="preserve">Ms </w:t>
      </w:r>
      <w:bookmarkStart w:id="4" w:name="OLE_LINK1"/>
      <w:bookmarkStart w:id="5" w:name="OLE_LINK2"/>
      <w:r w:rsidR="00210561">
        <w:rPr>
          <w:b/>
        </w:rPr>
        <w:t>Julie Zellinger</w:t>
      </w:r>
      <w:r w:rsidRPr="00755F46">
        <w:br/>
      </w:r>
      <w:bookmarkEnd w:id="4"/>
      <w:bookmarkEnd w:id="5"/>
      <w:r w:rsidRPr="00755F46">
        <w:t>Conference Services Section</w:t>
      </w:r>
      <w:r w:rsidRPr="00755F46">
        <w:br/>
        <w:t>Division of Conference and Document Services</w:t>
      </w:r>
      <w:r w:rsidR="00125195">
        <w:br/>
        <w:t>Department of Management</w:t>
      </w:r>
      <w:r w:rsidRPr="00755F46">
        <w:br/>
        <w:t>IAEA-CN-</w:t>
      </w:r>
      <w:r w:rsidR="00210561">
        <w:t>261</w:t>
      </w:r>
      <w:r w:rsidRPr="00755F46">
        <w:br/>
        <w:t xml:space="preserve">Tel.: +43 1 2600 </w:t>
      </w:r>
      <w:r w:rsidR="00210561">
        <w:t>21321</w:t>
      </w:r>
      <w:r w:rsidRPr="00755F46">
        <w:br/>
      </w:r>
      <w:r w:rsidRPr="00D219E7">
        <w:t xml:space="preserve">Email: </w:t>
      </w:r>
      <w:hyperlink r:id="rId20" w:history="1">
        <w:r w:rsidR="00210561">
          <w:rPr>
            <w:rStyle w:val="Hyperlink"/>
          </w:rPr>
          <w:t>J.Zellinger@iaea.org</w:t>
        </w:r>
      </w:hyperlink>
    </w:p>
    <w:p w:rsidR="003F5A29" w:rsidRDefault="003F5A29" w:rsidP="00357BDF">
      <w:pPr>
        <w:pStyle w:val="BodyText"/>
      </w:pPr>
      <w:r>
        <w:t>Subsequent correspondence on scientific matters should be sent to the Scientific Secretar</w:t>
      </w:r>
      <w:r w:rsidR="00820806">
        <w:t>ies</w:t>
      </w:r>
      <w:r>
        <w:t xml:space="preserve"> </w:t>
      </w:r>
      <w:r w:rsidR="00900217">
        <w:t xml:space="preserve">of the </w:t>
      </w:r>
      <w:r w:rsidR="006B441E">
        <w:t>symposium</w:t>
      </w:r>
      <w:r w:rsidR="00900217">
        <w:t xml:space="preserve"> </w:t>
      </w:r>
      <w:r>
        <w:t>and correspondence on administrative matters to the IAEA Conference Services Section.</w:t>
      </w:r>
    </w:p>
    <w:p w:rsidR="003F5A29" w:rsidRDefault="006B441E" w:rsidP="00E42AB4">
      <w:pPr>
        <w:pStyle w:val="Heading1"/>
        <w:ind w:left="426" w:hanging="426"/>
      </w:pPr>
      <w:bookmarkStart w:id="6" w:name="_Ref345918223"/>
      <w:r>
        <w:t>Symposium</w:t>
      </w:r>
      <w:r w:rsidR="003F5A29">
        <w:t xml:space="preserve"> </w:t>
      </w:r>
      <w:r w:rsidR="00E42AB4">
        <w:t>W</w:t>
      </w:r>
      <w:r w:rsidR="003F5A29">
        <w:t xml:space="preserve">eb </w:t>
      </w:r>
      <w:r w:rsidR="00E42AB4">
        <w:t>P</w:t>
      </w:r>
      <w:r w:rsidR="003F5A29">
        <w:t>age</w:t>
      </w:r>
      <w:bookmarkEnd w:id="6"/>
    </w:p>
    <w:p w:rsidR="003F5A29" w:rsidRDefault="003F5A29" w:rsidP="008A6266">
      <w:pPr>
        <w:pStyle w:val="BodyText"/>
      </w:pPr>
      <w:r>
        <w:t xml:space="preserve">Please visit the IAEA </w:t>
      </w:r>
      <w:r w:rsidR="006B441E">
        <w:t>symposium</w:t>
      </w:r>
      <w:r>
        <w:t xml:space="preserve"> web page regularly for new information regarding this </w:t>
      </w:r>
      <w:r w:rsidR="006B441E">
        <w:t>symposium</w:t>
      </w:r>
      <w:r>
        <w:t>:</w:t>
      </w:r>
    </w:p>
    <w:p w:rsidR="00210561" w:rsidRDefault="0094463E" w:rsidP="00210561">
      <w:pPr>
        <w:pStyle w:val="BodyText"/>
      </w:pPr>
      <w:hyperlink r:id="rId21" w:history="1">
        <w:r w:rsidR="00210561" w:rsidRPr="00F4272F">
          <w:rPr>
            <w:rStyle w:val="Hyperlink"/>
          </w:rPr>
          <w:t>https://www.iaea.org/events/uram-2018</w:t>
        </w:r>
      </w:hyperlink>
    </w:p>
    <w:p w:rsidR="00FA4798" w:rsidRDefault="00FA4798" w:rsidP="00C91020">
      <w:pPr>
        <w:pStyle w:val="Heading1"/>
        <w:ind w:left="426" w:hanging="426"/>
      </w:pPr>
      <w:r>
        <w:t>Greening</w:t>
      </w:r>
    </w:p>
    <w:p w:rsidR="00FA4798" w:rsidRDefault="00FA4798" w:rsidP="00357BDF">
      <w:pPr>
        <w:pStyle w:val="BodyText"/>
        <w:rPr>
          <w:szCs w:val="22"/>
        </w:rPr>
      </w:pPr>
      <w:r>
        <w:rPr>
          <w:szCs w:val="22"/>
        </w:rPr>
        <w:t xml:space="preserve">To demonstrate its commitment to sustainability, the IAEA will organize this symposium as a </w:t>
      </w:r>
      <w:r w:rsidR="00357BDF">
        <w:rPr>
          <w:szCs w:val="22"/>
        </w:rPr>
        <w:t>‘green </w:t>
      </w:r>
      <w:r>
        <w:rPr>
          <w:szCs w:val="22"/>
        </w:rPr>
        <w:t>meeting</w:t>
      </w:r>
      <w:r w:rsidR="00357BDF">
        <w:rPr>
          <w:szCs w:val="22"/>
        </w:rPr>
        <w:t>’</w:t>
      </w:r>
      <w:r>
        <w:rPr>
          <w:szCs w:val="22"/>
        </w:rPr>
        <w:t xml:space="preserve"> according to the guidelines of the Austrian Ecolabel.</w:t>
      </w:r>
    </w:p>
    <w:p w:rsidR="004801EA" w:rsidRPr="00656F5C" w:rsidRDefault="00FA4798" w:rsidP="00C91020">
      <w:pPr>
        <w:pStyle w:val="BodyText"/>
        <w:rPr>
          <w:szCs w:val="22"/>
        </w:rPr>
      </w:pPr>
      <w:r>
        <w:rPr>
          <w:color w:val="333333"/>
          <w:szCs w:val="22"/>
        </w:rPr>
        <w:t>There will be a focus on the areas of paper smart documentation, waste reduction and recycling, and environmentally friendly catering.</w:t>
      </w:r>
    </w:p>
    <w:sectPr w:rsidR="004801EA" w:rsidRPr="00656F5C" w:rsidSect="00BD75B0">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531" w:right="1418" w:bottom="1134" w:left="1418" w:header="539"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12" w:rsidRDefault="00E13E12">
      <w:r>
        <w:separator/>
      </w:r>
    </w:p>
  </w:endnote>
  <w:endnote w:type="continuationSeparator" w:id="0">
    <w:p w:rsidR="00E13E12" w:rsidRDefault="00E1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7C" w:rsidRDefault="005B2E7C">
    <w:pPr>
      <w:pStyle w:val="zyxClassification1"/>
    </w:pPr>
  </w:p>
  <w:p w:rsidR="005B2E7C" w:rsidRDefault="005B2E7C">
    <w:pPr>
      <w:pStyle w:val="zyxClassification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E7C" w:rsidRDefault="005B2E7C">
    <w:pPr>
      <w:pStyle w:val="zyxClassification1"/>
    </w:pPr>
  </w:p>
  <w:p w:rsidR="005B2E7C" w:rsidRDefault="005B2E7C">
    <w:pPr>
      <w:pStyle w:val="zyxClassification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B2E7C">
      <w:trPr>
        <w:cantSplit/>
      </w:trPr>
      <w:tc>
        <w:tcPr>
          <w:tcW w:w="4644" w:type="dxa"/>
        </w:tcPr>
        <w:p w:rsidR="005B2E7C" w:rsidRDefault="005B2E7C">
          <w:pPr>
            <w:pStyle w:val="zyxDistribution"/>
            <w:framePr w:wrap="auto" w:vAnchor="margin" w:hAnchor="text" w:xAlign="left" w:yAlign="inline"/>
            <w:suppressOverlap w:val="0"/>
          </w:pPr>
        </w:p>
        <w:p w:rsidR="005B2E7C" w:rsidRDefault="005B2E7C">
          <w:pPr>
            <w:pStyle w:val="zyxSensitivity"/>
            <w:framePr w:wrap="auto" w:vAnchor="margin" w:hAnchor="text" w:xAlign="left" w:yAlign="inline"/>
            <w:suppressOverlap w:val="0"/>
          </w:pPr>
        </w:p>
      </w:tc>
      <w:tc>
        <w:tcPr>
          <w:tcW w:w="5670" w:type="dxa"/>
          <w:tcMar>
            <w:right w:w="249" w:type="dxa"/>
          </w:tcMar>
        </w:tcPr>
        <w:p w:rsidR="005B2E7C" w:rsidRDefault="005B2E7C">
          <w:pPr>
            <w:pStyle w:val="zyxConfidBlack"/>
            <w:framePr w:wrap="auto" w:vAnchor="margin" w:hAnchor="text" w:xAlign="left" w:yAlign="inline"/>
            <w:suppressOverlap w:val="0"/>
          </w:pPr>
          <w:bookmarkStart w:id="8" w:name="DOC_bkmClassification2"/>
        </w:p>
        <w:bookmarkEnd w:id="8"/>
        <w:p w:rsidR="005B2E7C" w:rsidRDefault="005B2E7C">
          <w:pPr>
            <w:spacing w:after="20" w:line="220" w:lineRule="exact"/>
            <w:jc w:val="right"/>
            <w:rPr>
              <w:rFonts w:ascii="Arial" w:hAnsi="Arial" w:cs="Arial"/>
              <w:color w:val="FF0000"/>
            </w:rPr>
          </w:pPr>
        </w:p>
      </w:tc>
    </w:tr>
  </w:tbl>
  <w:p w:rsidR="005B2E7C" w:rsidRDefault="005B2E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12" w:rsidRDefault="00E13E12">
      <w:r>
        <w:t>___________________________________________________________________________</w:t>
      </w:r>
    </w:p>
  </w:footnote>
  <w:footnote w:type="continuationSeparator" w:id="0">
    <w:p w:rsidR="00E13E12" w:rsidRDefault="00E13E12">
      <w:r>
        <w:t>___________________________________________________________________________</w:t>
      </w:r>
    </w:p>
  </w:footnote>
  <w:footnote w:type="continuationNotice" w:id="1">
    <w:p w:rsidR="00E13E12" w:rsidRDefault="00E13E12"/>
  </w:footnote>
  <w:footnote w:id="2">
    <w:p w:rsidR="0048529C" w:rsidRDefault="0048529C" w:rsidP="00092710">
      <w:pPr>
        <w:pStyle w:val="FootnoteText"/>
      </w:pPr>
      <w:r>
        <w:rPr>
          <w:rStyle w:val="FootnoteReference"/>
        </w:rPr>
        <w:footnoteRef/>
      </w:r>
      <w:r>
        <w:t xml:space="preserve"> The full title of URAM-2015 was </w:t>
      </w:r>
      <w:r w:rsidRPr="0048529C">
        <w:t>International Symposium on Uranium Production and Raw Materials for the Nuclear Fuel Cycle: Supply and Demand, Economics, the Environment and Energy Security</w:t>
      </w:r>
      <w:r w:rsidR="00092710">
        <w:t>.</w:t>
      </w:r>
      <w:r>
        <w:t xml:space="preserve"> URAM-2009 and</w:t>
      </w:r>
      <w:r w:rsidR="00092710">
        <w:t xml:space="preserve"> URAM-</w:t>
      </w:r>
      <w:r>
        <w:t xml:space="preserve">2014 </w:t>
      </w:r>
      <w:r w:rsidR="00092710">
        <w:t xml:space="preserve">both had a slightly amended full title: </w:t>
      </w:r>
      <w:r w:rsidR="00092710" w:rsidRPr="00092710">
        <w:t>International Symposium on Uranium Raw Material for the Nuclear Fuel Cycle: Exploration, Mining, Production, Supply and Demand, Economics and Environmental Issues</w:t>
      </w:r>
      <w:r w:rsidR="00092710">
        <w:t>.</w:t>
      </w:r>
      <w:r>
        <w:t xml:space="preserve"> </w:t>
      </w:r>
      <w:r w:rsidR="00092710">
        <w:t>This title is also being used for URAM-2018.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952993"/>
      <w:docPartObj>
        <w:docPartGallery w:val="Page Numbers (Top of Page)"/>
        <w:docPartUnique/>
      </w:docPartObj>
    </w:sdtPr>
    <w:sdtEndPr>
      <w:rPr>
        <w:color w:val="808080" w:themeColor="background1" w:themeShade="80"/>
        <w:spacing w:val="60"/>
      </w:rPr>
    </w:sdtEndPr>
    <w:sdtContent>
      <w:p w:rsidR="00BD75B0" w:rsidRDefault="00BD75B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D75B0">
          <w:rPr>
            <w:b/>
            <w:bCs/>
            <w:noProof/>
          </w:rPr>
          <w:t>6</w:t>
        </w:r>
        <w:r>
          <w:rPr>
            <w:b/>
            <w:bCs/>
            <w:noProof/>
          </w:rPr>
          <w:fldChar w:fldCharType="end"/>
        </w:r>
        <w:r>
          <w:rPr>
            <w:b/>
            <w:bCs/>
          </w:rPr>
          <w:t xml:space="preserve"> | </w:t>
        </w:r>
        <w:r>
          <w:rPr>
            <w:color w:val="808080" w:themeColor="background1" w:themeShade="80"/>
            <w:spacing w:val="60"/>
          </w:rPr>
          <w:t>Page</w:t>
        </w:r>
      </w:p>
    </w:sdtContent>
  </w:sdt>
  <w:p w:rsidR="005B2E7C" w:rsidRDefault="005B2E7C">
    <w:pPr>
      <w:pStyle w:val="zyxClassification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09924"/>
      <w:docPartObj>
        <w:docPartGallery w:val="Page Numbers (Top of Page)"/>
        <w:docPartUnique/>
      </w:docPartObj>
    </w:sdtPr>
    <w:sdtEndPr>
      <w:rPr>
        <w:color w:val="808080" w:themeColor="background1" w:themeShade="80"/>
        <w:spacing w:val="60"/>
      </w:rPr>
    </w:sdtEndPr>
    <w:sdtContent>
      <w:p w:rsidR="00BD75B0" w:rsidRDefault="00BD75B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4463E" w:rsidRPr="0094463E">
          <w:rPr>
            <w:b/>
            <w:bCs/>
            <w:noProof/>
          </w:rPr>
          <w:t>4</w:t>
        </w:r>
        <w:r>
          <w:rPr>
            <w:b/>
            <w:bCs/>
            <w:noProof/>
          </w:rPr>
          <w:fldChar w:fldCharType="end"/>
        </w:r>
        <w:r>
          <w:rPr>
            <w:b/>
            <w:bCs/>
          </w:rPr>
          <w:t xml:space="preserve"> | </w:t>
        </w:r>
        <w:r>
          <w:rPr>
            <w:color w:val="808080" w:themeColor="background1" w:themeShade="80"/>
            <w:spacing w:val="60"/>
          </w:rPr>
          <w:t>Page</w:t>
        </w:r>
      </w:p>
    </w:sdtContent>
  </w:sdt>
  <w:p w:rsidR="005B2E7C" w:rsidRPr="00BD75B0" w:rsidRDefault="005B2E7C" w:rsidP="00BD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B2E7C">
      <w:trPr>
        <w:cantSplit/>
        <w:trHeight w:val="716"/>
      </w:trPr>
      <w:tc>
        <w:tcPr>
          <w:tcW w:w="979" w:type="dxa"/>
          <w:vMerge w:val="restart"/>
        </w:tcPr>
        <w:p w:rsidR="005B2E7C" w:rsidRDefault="005B2E7C">
          <w:pPr>
            <w:spacing w:before="180"/>
            <w:ind w:left="17"/>
          </w:pPr>
        </w:p>
      </w:tc>
      <w:tc>
        <w:tcPr>
          <w:tcW w:w="3638" w:type="dxa"/>
          <w:vAlign w:val="bottom"/>
        </w:tcPr>
        <w:p w:rsidR="005B2E7C" w:rsidRDefault="005B2E7C">
          <w:pPr>
            <w:spacing w:after="20"/>
          </w:pPr>
        </w:p>
      </w:tc>
      <w:tc>
        <w:tcPr>
          <w:tcW w:w="5702" w:type="dxa"/>
          <w:vMerge w:val="restart"/>
          <w:tcMar>
            <w:right w:w="193" w:type="dxa"/>
          </w:tcMar>
        </w:tcPr>
        <w:p w:rsidR="005B2E7C" w:rsidRDefault="005B2E7C">
          <w:pPr>
            <w:pStyle w:val="zyxConfidBlack"/>
            <w:framePr w:wrap="auto" w:vAnchor="margin" w:hAnchor="text" w:xAlign="left" w:yAlign="inline"/>
            <w:suppressOverlap w:val="0"/>
          </w:pPr>
          <w:bookmarkStart w:id="7" w:name="DOC_bkmClassification1"/>
        </w:p>
        <w:bookmarkEnd w:id="7"/>
        <w:p w:rsidR="005B2E7C" w:rsidRDefault="005B2E7C">
          <w:pPr>
            <w:pStyle w:val="zyxConfid2Red"/>
          </w:pPr>
        </w:p>
      </w:tc>
    </w:tr>
    <w:tr w:rsidR="005B2E7C">
      <w:trPr>
        <w:cantSplit/>
        <w:trHeight w:val="167"/>
      </w:trPr>
      <w:tc>
        <w:tcPr>
          <w:tcW w:w="979" w:type="dxa"/>
          <w:vMerge/>
        </w:tcPr>
        <w:p w:rsidR="005B2E7C" w:rsidRDefault="005B2E7C">
          <w:pPr>
            <w:spacing w:before="57"/>
          </w:pPr>
        </w:p>
      </w:tc>
      <w:tc>
        <w:tcPr>
          <w:tcW w:w="3638" w:type="dxa"/>
          <w:vAlign w:val="bottom"/>
        </w:tcPr>
        <w:p w:rsidR="005B2E7C" w:rsidRDefault="005B2E7C">
          <w:pPr>
            <w:pStyle w:val="Heading9"/>
            <w:spacing w:before="0" w:after="10"/>
          </w:pPr>
        </w:p>
      </w:tc>
      <w:tc>
        <w:tcPr>
          <w:tcW w:w="5702" w:type="dxa"/>
          <w:vMerge/>
          <w:vAlign w:val="bottom"/>
        </w:tcPr>
        <w:p w:rsidR="005B2E7C" w:rsidRDefault="005B2E7C">
          <w:pPr>
            <w:pStyle w:val="Heading9"/>
            <w:spacing w:before="0" w:after="10"/>
          </w:pPr>
        </w:p>
      </w:tc>
    </w:tr>
  </w:tbl>
  <w:p w:rsidR="005B2E7C" w:rsidRDefault="005B2E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B4125"/>
    <w:multiLevelType w:val="hybridMultilevel"/>
    <w:tmpl w:val="A92A2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C37FCA"/>
    <w:multiLevelType w:val="hybridMultilevel"/>
    <w:tmpl w:val="6B168F64"/>
    <w:lvl w:ilvl="0" w:tplc="0809000B">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CD75DD6"/>
    <w:multiLevelType w:val="hybridMultilevel"/>
    <w:tmpl w:val="2B3C1AAC"/>
    <w:lvl w:ilvl="0" w:tplc="81ECA736">
      <w:start w:val="1"/>
      <w:numFmt w:val="decimal"/>
      <w:lvlText w:val="%1)"/>
      <w:lvlJc w:val="left"/>
      <w:pPr>
        <w:tabs>
          <w:tab w:val="num" w:pos="720"/>
        </w:tabs>
        <w:ind w:left="720" w:hanging="360"/>
      </w:pPr>
    </w:lvl>
    <w:lvl w:ilvl="1" w:tplc="66206DA4" w:tentative="1">
      <w:start w:val="1"/>
      <w:numFmt w:val="decimal"/>
      <w:lvlText w:val="%2)"/>
      <w:lvlJc w:val="left"/>
      <w:pPr>
        <w:tabs>
          <w:tab w:val="num" w:pos="1440"/>
        </w:tabs>
        <w:ind w:left="1440" w:hanging="360"/>
      </w:pPr>
    </w:lvl>
    <w:lvl w:ilvl="2" w:tplc="C5640C82" w:tentative="1">
      <w:start w:val="1"/>
      <w:numFmt w:val="decimal"/>
      <w:lvlText w:val="%3)"/>
      <w:lvlJc w:val="left"/>
      <w:pPr>
        <w:tabs>
          <w:tab w:val="num" w:pos="2160"/>
        </w:tabs>
        <w:ind w:left="2160" w:hanging="360"/>
      </w:pPr>
    </w:lvl>
    <w:lvl w:ilvl="3" w:tplc="2B7C8E88" w:tentative="1">
      <w:start w:val="1"/>
      <w:numFmt w:val="decimal"/>
      <w:lvlText w:val="%4)"/>
      <w:lvlJc w:val="left"/>
      <w:pPr>
        <w:tabs>
          <w:tab w:val="num" w:pos="2880"/>
        </w:tabs>
        <w:ind w:left="2880" w:hanging="360"/>
      </w:pPr>
    </w:lvl>
    <w:lvl w:ilvl="4" w:tplc="59CEAF72" w:tentative="1">
      <w:start w:val="1"/>
      <w:numFmt w:val="decimal"/>
      <w:lvlText w:val="%5)"/>
      <w:lvlJc w:val="left"/>
      <w:pPr>
        <w:tabs>
          <w:tab w:val="num" w:pos="3600"/>
        </w:tabs>
        <w:ind w:left="3600" w:hanging="360"/>
      </w:pPr>
    </w:lvl>
    <w:lvl w:ilvl="5" w:tplc="53F2DDAE" w:tentative="1">
      <w:start w:val="1"/>
      <w:numFmt w:val="decimal"/>
      <w:lvlText w:val="%6)"/>
      <w:lvlJc w:val="left"/>
      <w:pPr>
        <w:tabs>
          <w:tab w:val="num" w:pos="4320"/>
        </w:tabs>
        <w:ind w:left="4320" w:hanging="360"/>
      </w:pPr>
    </w:lvl>
    <w:lvl w:ilvl="6" w:tplc="009825DA" w:tentative="1">
      <w:start w:val="1"/>
      <w:numFmt w:val="decimal"/>
      <w:lvlText w:val="%7)"/>
      <w:lvlJc w:val="left"/>
      <w:pPr>
        <w:tabs>
          <w:tab w:val="num" w:pos="5040"/>
        </w:tabs>
        <w:ind w:left="5040" w:hanging="360"/>
      </w:pPr>
    </w:lvl>
    <w:lvl w:ilvl="7" w:tplc="99584BB0" w:tentative="1">
      <w:start w:val="1"/>
      <w:numFmt w:val="decimal"/>
      <w:lvlText w:val="%8)"/>
      <w:lvlJc w:val="left"/>
      <w:pPr>
        <w:tabs>
          <w:tab w:val="num" w:pos="5760"/>
        </w:tabs>
        <w:ind w:left="5760" w:hanging="360"/>
      </w:pPr>
    </w:lvl>
    <w:lvl w:ilvl="8" w:tplc="10CEF86C" w:tentative="1">
      <w:start w:val="1"/>
      <w:numFmt w:val="decimal"/>
      <w:lvlText w:val="%9)"/>
      <w:lvlJc w:val="left"/>
      <w:pPr>
        <w:tabs>
          <w:tab w:val="num" w:pos="6480"/>
        </w:tabs>
        <w:ind w:left="6480" w:hanging="360"/>
      </w:p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1682E48"/>
    <w:multiLevelType w:val="hybridMultilevel"/>
    <w:tmpl w:val="65C2486E"/>
    <w:lvl w:ilvl="0" w:tplc="21981008">
      <w:start w:val="1"/>
      <w:numFmt w:val="decimal"/>
      <w:lvlText w:val="%1)"/>
      <w:lvlJc w:val="left"/>
      <w:pPr>
        <w:tabs>
          <w:tab w:val="num" w:pos="720"/>
        </w:tabs>
        <w:ind w:left="720" w:hanging="360"/>
      </w:pPr>
    </w:lvl>
    <w:lvl w:ilvl="1" w:tplc="4EF808E2" w:tentative="1">
      <w:start w:val="1"/>
      <w:numFmt w:val="decimal"/>
      <w:lvlText w:val="%2)"/>
      <w:lvlJc w:val="left"/>
      <w:pPr>
        <w:tabs>
          <w:tab w:val="num" w:pos="1440"/>
        </w:tabs>
        <w:ind w:left="1440" w:hanging="360"/>
      </w:pPr>
    </w:lvl>
    <w:lvl w:ilvl="2" w:tplc="04407AAE" w:tentative="1">
      <w:start w:val="1"/>
      <w:numFmt w:val="decimal"/>
      <w:lvlText w:val="%3)"/>
      <w:lvlJc w:val="left"/>
      <w:pPr>
        <w:tabs>
          <w:tab w:val="num" w:pos="2160"/>
        </w:tabs>
        <w:ind w:left="2160" w:hanging="360"/>
      </w:pPr>
    </w:lvl>
    <w:lvl w:ilvl="3" w:tplc="087AA40E" w:tentative="1">
      <w:start w:val="1"/>
      <w:numFmt w:val="decimal"/>
      <w:lvlText w:val="%4)"/>
      <w:lvlJc w:val="left"/>
      <w:pPr>
        <w:tabs>
          <w:tab w:val="num" w:pos="2880"/>
        </w:tabs>
        <w:ind w:left="2880" w:hanging="360"/>
      </w:pPr>
    </w:lvl>
    <w:lvl w:ilvl="4" w:tplc="5E98635A" w:tentative="1">
      <w:start w:val="1"/>
      <w:numFmt w:val="decimal"/>
      <w:lvlText w:val="%5)"/>
      <w:lvlJc w:val="left"/>
      <w:pPr>
        <w:tabs>
          <w:tab w:val="num" w:pos="3600"/>
        </w:tabs>
        <w:ind w:left="3600" w:hanging="360"/>
      </w:pPr>
    </w:lvl>
    <w:lvl w:ilvl="5" w:tplc="EB0815B2" w:tentative="1">
      <w:start w:val="1"/>
      <w:numFmt w:val="decimal"/>
      <w:lvlText w:val="%6)"/>
      <w:lvlJc w:val="left"/>
      <w:pPr>
        <w:tabs>
          <w:tab w:val="num" w:pos="4320"/>
        </w:tabs>
        <w:ind w:left="4320" w:hanging="360"/>
      </w:pPr>
    </w:lvl>
    <w:lvl w:ilvl="6" w:tplc="D4A436DC" w:tentative="1">
      <w:start w:val="1"/>
      <w:numFmt w:val="decimal"/>
      <w:lvlText w:val="%7)"/>
      <w:lvlJc w:val="left"/>
      <w:pPr>
        <w:tabs>
          <w:tab w:val="num" w:pos="5040"/>
        </w:tabs>
        <w:ind w:left="5040" w:hanging="360"/>
      </w:pPr>
    </w:lvl>
    <w:lvl w:ilvl="7" w:tplc="050ACA42" w:tentative="1">
      <w:start w:val="1"/>
      <w:numFmt w:val="decimal"/>
      <w:lvlText w:val="%8)"/>
      <w:lvlJc w:val="left"/>
      <w:pPr>
        <w:tabs>
          <w:tab w:val="num" w:pos="5760"/>
        </w:tabs>
        <w:ind w:left="5760" w:hanging="360"/>
      </w:pPr>
    </w:lvl>
    <w:lvl w:ilvl="8" w:tplc="F17250F6" w:tentative="1">
      <w:start w:val="1"/>
      <w:numFmt w:val="decimal"/>
      <w:lvlText w:val="%9)"/>
      <w:lvlJc w:val="left"/>
      <w:pPr>
        <w:tabs>
          <w:tab w:val="num" w:pos="6480"/>
        </w:tabs>
        <w:ind w:left="6480" w:hanging="360"/>
      </w:pPr>
    </w:lvl>
  </w:abstractNum>
  <w:abstractNum w:abstractNumId="7" w15:restartNumberingAfterBreak="0">
    <w:nsid w:val="32DA08A5"/>
    <w:multiLevelType w:val="hybridMultilevel"/>
    <w:tmpl w:val="A1E2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34EA1"/>
    <w:multiLevelType w:val="hybridMultilevel"/>
    <w:tmpl w:val="76004BF0"/>
    <w:lvl w:ilvl="0" w:tplc="FC62C16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35A00"/>
    <w:multiLevelType w:val="hybridMultilevel"/>
    <w:tmpl w:val="D2385ED0"/>
    <w:lvl w:ilvl="0" w:tplc="E0B409DE">
      <w:start w:val="1"/>
      <w:numFmt w:val="decimal"/>
      <w:lvlText w:val="%1)"/>
      <w:lvlJc w:val="left"/>
      <w:pPr>
        <w:tabs>
          <w:tab w:val="num" w:pos="720"/>
        </w:tabs>
        <w:ind w:left="720" w:hanging="360"/>
      </w:pPr>
    </w:lvl>
    <w:lvl w:ilvl="1" w:tplc="EB3044C2" w:tentative="1">
      <w:start w:val="1"/>
      <w:numFmt w:val="decimal"/>
      <w:lvlText w:val="%2)"/>
      <w:lvlJc w:val="left"/>
      <w:pPr>
        <w:tabs>
          <w:tab w:val="num" w:pos="1440"/>
        </w:tabs>
        <w:ind w:left="1440" w:hanging="360"/>
      </w:pPr>
    </w:lvl>
    <w:lvl w:ilvl="2" w:tplc="355089BC" w:tentative="1">
      <w:start w:val="1"/>
      <w:numFmt w:val="decimal"/>
      <w:lvlText w:val="%3)"/>
      <w:lvlJc w:val="left"/>
      <w:pPr>
        <w:tabs>
          <w:tab w:val="num" w:pos="2160"/>
        </w:tabs>
        <w:ind w:left="2160" w:hanging="360"/>
      </w:pPr>
    </w:lvl>
    <w:lvl w:ilvl="3" w:tplc="836C44CE" w:tentative="1">
      <w:start w:val="1"/>
      <w:numFmt w:val="decimal"/>
      <w:lvlText w:val="%4)"/>
      <w:lvlJc w:val="left"/>
      <w:pPr>
        <w:tabs>
          <w:tab w:val="num" w:pos="2880"/>
        </w:tabs>
        <w:ind w:left="2880" w:hanging="360"/>
      </w:pPr>
    </w:lvl>
    <w:lvl w:ilvl="4" w:tplc="EE0CCA94" w:tentative="1">
      <w:start w:val="1"/>
      <w:numFmt w:val="decimal"/>
      <w:lvlText w:val="%5)"/>
      <w:lvlJc w:val="left"/>
      <w:pPr>
        <w:tabs>
          <w:tab w:val="num" w:pos="3600"/>
        </w:tabs>
        <w:ind w:left="3600" w:hanging="360"/>
      </w:pPr>
    </w:lvl>
    <w:lvl w:ilvl="5" w:tplc="157C8018" w:tentative="1">
      <w:start w:val="1"/>
      <w:numFmt w:val="decimal"/>
      <w:lvlText w:val="%6)"/>
      <w:lvlJc w:val="left"/>
      <w:pPr>
        <w:tabs>
          <w:tab w:val="num" w:pos="4320"/>
        </w:tabs>
        <w:ind w:left="4320" w:hanging="360"/>
      </w:pPr>
    </w:lvl>
    <w:lvl w:ilvl="6" w:tplc="9F0C3600" w:tentative="1">
      <w:start w:val="1"/>
      <w:numFmt w:val="decimal"/>
      <w:lvlText w:val="%7)"/>
      <w:lvlJc w:val="left"/>
      <w:pPr>
        <w:tabs>
          <w:tab w:val="num" w:pos="5040"/>
        </w:tabs>
        <w:ind w:left="5040" w:hanging="360"/>
      </w:pPr>
    </w:lvl>
    <w:lvl w:ilvl="7" w:tplc="275C5C92" w:tentative="1">
      <w:start w:val="1"/>
      <w:numFmt w:val="decimal"/>
      <w:lvlText w:val="%8)"/>
      <w:lvlJc w:val="left"/>
      <w:pPr>
        <w:tabs>
          <w:tab w:val="num" w:pos="5760"/>
        </w:tabs>
        <w:ind w:left="5760" w:hanging="360"/>
      </w:pPr>
    </w:lvl>
    <w:lvl w:ilvl="8" w:tplc="ADB47FBA" w:tentative="1">
      <w:start w:val="1"/>
      <w:numFmt w:val="decimal"/>
      <w:lvlText w:val="%9)"/>
      <w:lvlJc w:val="left"/>
      <w:pPr>
        <w:tabs>
          <w:tab w:val="num" w:pos="6480"/>
        </w:tabs>
        <w:ind w:left="6480" w:hanging="360"/>
      </w:pPr>
    </w:lvl>
  </w:abstractNum>
  <w:abstractNum w:abstractNumId="10" w15:restartNumberingAfterBreak="0">
    <w:nsid w:val="4ED57FA7"/>
    <w:multiLevelType w:val="hybridMultilevel"/>
    <w:tmpl w:val="319C7596"/>
    <w:lvl w:ilvl="0" w:tplc="5B762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7674A"/>
    <w:multiLevelType w:val="hybridMultilevel"/>
    <w:tmpl w:val="B02E597E"/>
    <w:lvl w:ilvl="0" w:tplc="CC5EB258">
      <w:start w:val="1"/>
      <w:numFmt w:val="decimal"/>
      <w:lvlText w:val="%1)"/>
      <w:lvlJc w:val="left"/>
      <w:pPr>
        <w:tabs>
          <w:tab w:val="num" w:pos="720"/>
        </w:tabs>
        <w:ind w:left="720" w:hanging="360"/>
      </w:pPr>
    </w:lvl>
    <w:lvl w:ilvl="1" w:tplc="4818315A" w:tentative="1">
      <w:start w:val="1"/>
      <w:numFmt w:val="decimal"/>
      <w:lvlText w:val="%2)"/>
      <w:lvlJc w:val="left"/>
      <w:pPr>
        <w:tabs>
          <w:tab w:val="num" w:pos="1440"/>
        </w:tabs>
        <w:ind w:left="1440" w:hanging="360"/>
      </w:pPr>
    </w:lvl>
    <w:lvl w:ilvl="2" w:tplc="AAA87136" w:tentative="1">
      <w:start w:val="1"/>
      <w:numFmt w:val="decimal"/>
      <w:lvlText w:val="%3)"/>
      <w:lvlJc w:val="left"/>
      <w:pPr>
        <w:tabs>
          <w:tab w:val="num" w:pos="2160"/>
        </w:tabs>
        <w:ind w:left="2160" w:hanging="360"/>
      </w:pPr>
    </w:lvl>
    <w:lvl w:ilvl="3" w:tplc="B802A936" w:tentative="1">
      <w:start w:val="1"/>
      <w:numFmt w:val="decimal"/>
      <w:lvlText w:val="%4)"/>
      <w:lvlJc w:val="left"/>
      <w:pPr>
        <w:tabs>
          <w:tab w:val="num" w:pos="2880"/>
        </w:tabs>
        <w:ind w:left="2880" w:hanging="360"/>
      </w:pPr>
    </w:lvl>
    <w:lvl w:ilvl="4" w:tplc="2E921364" w:tentative="1">
      <w:start w:val="1"/>
      <w:numFmt w:val="decimal"/>
      <w:lvlText w:val="%5)"/>
      <w:lvlJc w:val="left"/>
      <w:pPr>
        <w:tabs>
          <w:tab w:val="num" w:pos="3600"/>
        </w:tabs>
        <w:ind w:left="3600" w:hanging="360"/>
      </w:pPr>
    </w:lvl>
    <w:lvl w:ilvl="5" w:tplc="3C3E6D98" w:tentative="1">
      <w:start w:val="1"/>
      <w:numFmt w:val="decimal"/>
      <w:lvlText w:val="%6)"/>
      <w:lvlJc w:val="left"/>
      <w:pPr>
        <w:tabs>
          <w:tab w:val="num" w:pos="4320"/>
        </w:tabs>
        <w:ind w:left="4320" w:hanging="360"/>
      </w:pPr>
    </w:lvl>
    <w:lvl w:ilvl="6" w:tplc="F33846EC" w:tentative="1">
      <w:start w:val="1"/>
      <w:numFmt w:val="decimal"/>
      <w:lvlText w:val="%7)"/>
      <w:lvlJc w:val="left"/>
      <w:pPr>
        <w:tabs>
          <w:tab w:val="num" w:pos="5040"/>
        </w:tabs>
        <w:ind w:left="5040" w:hanging="360"/>
      </w:pPr>
    </w:lvl>
    <w:lvl w:ilvl="7" w:tplc="334C5DE0" w:tentative="1">
      <w:start w:val="1"/>
      <w:numFmt w:val="decimal"/>
      <w:lvlText w:val="%8)"/>
      <w:lvlJc w:val="left"/>
      <w:pPr>
        <w:tabs>
          <w:tab w:val="num" w:pos="5760"/>
        </w:tabs>
        <w:ind w:left="5760" w:hanging="360"/>
      </w:pPr>
    </w:lvl>
    <w:lvl w:ilvl="8" w:tplc="C6FC3018" w:tentative="1">
      <w:start w:val="1"/>
      <w:numFmt w:val="decimal"/>
      <w:lvlText w:val="%9)"/>
      <w:lvlJc w:val="left"/>
      <w:pPr>
        <w:tabs>
          <w:tab w:val="num" w:pos="6480"/>
        </w:tabs>
        <w:ind w:left="6480" w:hanging="360"/>
      </w:pPr>
    </w:lvl>
  </w:abstractNum>
  <w:abstractNum w:abstractNumId="12" w15:restartNumberingAfterBreak="0">
    <w:nsid w:val="5117250B"/>
    <w:multiLevelType w:val="multilevel"/>
    <w:tmpl w:val="171850E8"/>
    <w:name w:val="MultilevelTemplate"/>
    <w:lvl w:ilvl="0">
      <w:start w:val="1"/>
      <w:numFmt w:val="bullet"/>
      <w:pStyle w:val="BodyTextMultiline"/>
      <w:lvlText w:val=""/>
      <w:lvlJc w:val="left"/>
      <w:pPr>
        <w:tabs>
          <w:tab w:val="num" w:pos="459"/>
        </w:tabs>
      </w:pPr>
      <w:rPr>
        <w:rFonts w:ascii="Symbol" w:hAnsi="Symbol" w:hint="default"/>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3" w15:restartNumberingAfterBreak="0">
    <w:nsid w:val="53D678D9"/>
    <w:multiLevelType w:val="hybridMultilevel"/>
    <w:tmpl w:val="B9C44962"/>
    <w:lvl w:ilvl="0" w:tplc="CAB4111A">
      <w:start w:val="1"/>
      <w:numFmt w:val="decimal"/>
      <w:lvlText w:val="%1)"/>
      <w:lvlJc w:val="left"/>
      <w:pPr>
        <w:tabs>
          <w:tab w:val="num" w:pos="720"/>
        </w:tabs>
        <w:ind w:left="720" w:hanging="360"/>
      </w:pPr>
    </w:lvl>
    <w:lvl w:ilvl="1" w:tplc="758E5A32" w:tentative="1">
      <w:start w:val="1"/>
      <w:numFmt w:val="decimal"/>
      <w:lvlText w:val="%2)"/>
      <w:lvlJc w:val="left"/>
      <w:pPr>
        <w:tabs>
          <w:tab w:val="num" w:pos="1440"/>
        </w:tabs>
        <w:ind w:left="1440" w:hanging="360"/>
      </w:pPr>
    </w:lvl>
    <w:lvl w:ilvl="2" w:tplc="9D847CF2" w:tentative="1">
      <w:start w:val="1"/>
      <w:numFmt w:val="decimal"/>
      <w:lvlText w:val="%3)"/>
      <w:lvlJc w:val="left"/>
      <w:pPr>
        <w:tabs>
          <w:tab w:val="num" w:pos="2160"/>
        </w:tabs>
        <w:ind w:left="2160" w:hanging="360"/>
      </w:pPr>
    </w:lvl>
    <w:lvl w:ilvl="3" w:tplc="DA2AFC46" w:tentative="1">
      <w:start w:val="1"/>
      <w:numFmt w:val="decimal"/>
      <w:lvlText w:val="%4)"/>
      <w:lvlJc w:val="left"/>
      <w:pPr>
        <w:tabs>
          <w:tab w:val="num" w:pos="2880"/>
        </w:tabs>
        <w:ind w:left="2880" w:hanging="360"/>
      </w:pPr>
    </w:lvl>
    <w:lvl w:ilvl="4" w:tplc="AB16D90A" w:tentative="1">
      <w:start w:val="1"/>
      <w:numFmt w:val="decimal"/>
      <w:lvlText w:val="%5)"/>
      <w:lvlJc w:val="left"/>
      <w:pPr>
        <w:tabs>
          <w:tab w:val="num" w:pos="3600"/>
        </w:tabs>
        <w:ind w:left="3600" w:hanging="360"/>
      </w:pPr>
    </w:lvl>
    <w:lvl w:ilvl="5" w:tplc="F0884B7C" w:tentative="1">
      <w:start w:val="1"/>
      <w:numFmt w:val="decimal"/>
      <w:lvlText w:val="%6)"/>
      <w:lvlJc w:val="left"/>
      <w:pPr>
        <w:tabs>
          <w:tab w:val="num" w:pos="4320"/>
        </w:tabs>
        <w:ind w:left="4320" w:hanging="360"/>
      </w:pPr>
    </w:lvl>
    <w:lvl w:ilvl="6" w:tplc="4784154A" w:tentative="1">
      <w:start w:val="1"/>
      <w:numFmt w:val="decimal"/>
      <w:lvlText w:val="%7)"/>
      <w:lvlJc w:val="left"/>
      <w:pPr>
        <w:tabs>
          <w:tab w:val="num" w:pos="5040"/>
        </w:tabs>
        <w:ind w:left="5040" w:hanging="360"/>
      </w:pPr>
    </w:lvl>
    <w:lvl w:ilvl="7" w:tplc="240C2A5C" w:tentative="1">
      <w:start w:val="1"/>
      <w:numFmt w:val="decimal"/>
      <w:lvlText w:val="%8)"/>
      <w:lvlJc w:val="left"/>
      <w:pPr>
        <w:tabs>
          <w:tab w:val="num" w:pos="5760"/>
        </w:tabs>
        <w:ind w:left="5760" w:hanging="360"/>
      </w:pPr>
    </w:lvl>
    <w:lvl w:ilvl="8" w:tplc="6A00DBF0" w:tentative="1">
      <w:start w:val="1"/>
      <w:numFmt w:val="decimal"/>
      <w:lvlText w:val="%9)"/>
      <w:lvlJc w:val="left"/>
      <w:pPr>
        <w:tabs>
          <w:tab w:val="num" w:pos="6480"/>
        </w:tabs>
        <w:ind w:left="6480" w:hanging="360"/>
      </w:pPr>
    </w:lvl>
  </w:abstractNum>
  <w:abstractNum w:abstractNumId="14" w15:restartNumberingAfterBreak="0">
    <w:nsid w:val="55474C19"/>
    <w:multiLevelType w:val="hybridMultilevel"/>
    <w:tmpl w:val="62C6AD96"/>
    <w:lvl w:ilvl="0" w:tplc="D6504948">
      <w:start w:val="1"/>
      <w:numFmt w:val="decimal"/>
      <w:lvlText w:val="%1)"/>
      <w:lvlJc w:val="left"/>
      <w:pPr>
        <w:tabs>
          <w:tab w:val="num" w:pos="720"/>
        </w:tabs>
        <w:ind w:left="720" w:hanging="360"/>
      </w:pPr>
    </w:lvl>
    <w:lvl w:ilvl="1" w:tplc="E3BC2516" w:tentative="1">
      <w:start w:val="1"/>
      <w:numFmt w:val="decimal"/>
      <w:lvlText w:val="%2)"/>
      <w:lvlJc w:val="left"/>
      <w:pPr>
        <w:tabs>
          <w:tab w:val="num" w:pos="1440"/>
        </w:tabs>
        <w:ind w:left="1440" w:hanging="360"/>
      </w:pPr>
    </w:lvl>
    <w:lvl w:ilvl="2" w:tplc="3BE2B5A8" w:tentative="1">
      <w:start w:val="1"/>
      <w:numFmt w:val="decimal"/>
      <w:lvlText w:val="%3)"/>
      <w:lvlJc w:val="left"/>
      <w:pPr>
        <w:tabs>
          <w:tab w:val="num" w:pos="2160"/>
        </w:tabs>
        <w:ind w:left="2160" w:hanging="360"/>
      </w:pPr>
    </w:lvl>
    <w:lvl w:ilvl="3" w:tplc="A122275E" w:tentative="1">
      <w:start w:val="1"/>
      <w:numFmt w:val="decimal"/>
      <w:lvlText w:val="%4)"/>
      <w:lvlJc w:val="left"/>
      <w:pPr>
        <w:tabs>
          <w:tab w:val="num" w:pos="2880"/>
        </w:tabs>
        <w:ind w:left="2880" w:hanging="360"/>
      </w:pPr>
    </w:lvl>
    <w:lvl w:ilvl="4" w:tplc="A6D23C48" w:tentative="1">
      <w:start w:val="1"/>
      <w:numFmt w:val="decimal"/>
      <w:lvlText w:val="%5)"/>
      <w:lvlJc w:val="left"/>
      <w:pPr>
        <w:tabs>
          <w:tab w:val="num" w:pos="3600"/>
        </w:tabs>
        <w:ind w:left="3600" w:hanging="360"/>
      </w:pPr>
    </w:lvl>
    <w:lvl w:ilvl="5" w:tplc="E65850FE" w:tentative="1">
      <w:start w:val="1"/>
      <w:numFmt w:val="decimal"/>
      <w:lvlText w:val="%6)"/>
      <w:lvlJc w:val="left"/>
      <w:pPr>
        <w:tabs>
          <w:tab w:val="num" w:pos="4320"/>
        </w:tabs>
        <w:ind w:left="4320" w:hanging="360"/>
      </w:pPr>
    </w:lvl>
    <w:lvl w:ilvl="6" w:tplc="9D44C864" w:tentative="1">
      <w:start w:val="1"/>
      <w:numFmt w:val="decimal"/>
      <w:lvlText w:val="%7)"/>
      <w:lvlJc w:val="left"/>
      <w:pPr>
        <w:tabs>
          <w:tab w:val="num" w:pos="5040"/>
        </w:tabs>
        <w:ind w:left="5040" w:hanging="360"/>
      </w:pPr>
    </w:lvl>
    <w:lvl w:ilvl="7" w:tplc="359CF498" w:tentative="1">
      <w:start w:val="1"/>
      <w:numFmt w:val="decimal"/>
      <w:lvlText w:val="%8)"/>
      <w:lvlJc w:val="left"/>
      <w:pPr>
        <w:tabs>
          <w:tab w:val="num" w:pos="5760"/>
        </w:tabs>
        <w:ind w:left="5760" w:hanging="360"/>
      </w:pPr>
    </w:lvl>
    <w:lvl w:ilvl="8" w:tplc="3104DA94" w:tentative="1">
      <w:start w:val="1"/>
      <w:numFmt w:val="decimal"/>
      <w:lvlText w:val="%9)"/>
      <w:lvlJc w:val="left"/>
      <w:pPr>
        <w:tabs>
          <w:tab w:val="num" w:pos="6480"/>
        </w:tabs>
        <w:ind w:left="6480" w:hanging="360"/>
      </w:pPr>
    </w:lvl>
  </w:abstractNum>
  <w:abstractNum w:abstractNumId="15" w15:restartNumberingAfterBreak="0">
    <w:nsid w:val="570344CB"/>
    <w:multiLevelType w:val="hybridMultilevel"/>
    <w:tmpl w:val="B420A9A4"/>
    <w:lvl w:ilvl="0" w:tplc="647EAC64">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796"/>
        </w:tabs>
        <w:ind w:left="796" w:hanging="360"/>
      </w:pPr>
      <w:rPr>
        <w:rFonts w:ascii="Symbol" w:hAnsi="Symbol"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6"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37B2D"/>
    <w:multiLevelType w:val="hybridMultilevel"/>
    <w:tmpl w:val="80A81CEE"/>
    <w:lvl w:ilvl="0" w:tplc="3D683624">
      <w:start w:val="1"/>
      <w:numFmt w:val="decimal"/>
      <w:lvlText w:val="%1)"/>
      <w:lvlJc w:val="left"/>
      <w:pPr>
        <w:tabs>
          <w:tab w:val="num" w:pos="720"/>
        </w:tabs>
        <w:ind w:left="720" w:hanging="360"/>
      </w:pPr>
    </w:lvl>
    <w:lvl w:ilvl="1" w:tplc="8D56C3F0" w:tentative="1">
      <w:start w:val="1"/>
      <w:numFmt w:val="decimal"/>
      <w:lvlText w:val="%2)"/>
      <w:lvlJc w:val="left"/>
      <w:pPr>
        <w:tabs>
          <w:tab w:val="num" w:pos="1440"/>
        </w:tabs>
        <w:ind w:left="1440" w:hanging="360"/>
      </w:pPr>
    </w:lvl>
    <w:lvl w:ilvl="2" w:tplc="6504DDC2" w:tentative="1">
      <w:start w:val="1"/>
      <w:numFmt w:val="decimal"/>
      <w:lvlText w:val="%3)"/>
      <w:lvlJc w:val="left"/>
      <w:pPr>
        <w:tabs>
          <w:tab w:val="num" w:pos="2160"/>
        </w:tabs>
        <w:ind w:left="2160" w:hanging="360"/>
      </w:pPr>
    </w:lvl>
    <w:lvl w:ilvl="3" w:tplc="F89C2EF6" w:tentative="1">
      <w:start w:val="1"/>
      <w:numFmt w:val="decimal"/>
      <w:lvlText w:val="%4)"/>
      <w:lvlJc w:val="left"/>
      <w:pPr>
        <w:tabs>
          <w:tab w:val="num" w:pos="2880"/>
        </w:tabs>
        <w:ind w:left="2880" w:hanging="360"/>
      </w:pPr>
    </w:lvl>
    <w:lvl w:ilvl="4" w:tplc="EA4CE7EC" w:tentative="1">
      <w:start w:val="1"/>
      <w:numFmt w:val="decimal"/>
      <w:lvlText w:val="%5)"/>
      <w:lvlJc w:val="left"/>
      <w:pPr>
        <w:tabs>
          <w:tab w:val="num" w:pos="3600"/>
        </w:tabs>
        <w:ind w:left="3600" w:hanging="360"/>
      </w:pPr>
    </w:lvl>
    <w:lvl w:ilvl="5" w:tplc="CCC8A2FC" w:tentative="1">
      <w:start w:val="1"/>
      <w:numFmt w:val="decimal"/>
      <w:lvlText w:val="%6)"/>
      <w:lvlJc w:val="left"/>
      <w:pPr>
        <w:tabs>
          <w:tab w:val="num" w:pos="4320"/>
        </w:tabs>
        <w:ind w:left="4320" w:hanging="360"/>
      </w:pPr>
    </w:lvl>
    <w:lvl w:ilvl="6" w:tplc="16A29CC6" w:tentative="1">
      <w:start w:val="1"/>
      <w:numFmt w:val="decimal"/>
      <w:lvlText w:val="%7)"/>
      <w:lvlJc w:val="left"/>
      <w:pPr>
        <w:tabs>
          <w:tab w:val="num" w:pos="5040"/>
        </w:tabs>
        <w:ind w:left="5040" w:hanging="360"/>
      </w:pPr>
    </w:lvl>
    <w:lvl w:ilvl="7" w:tplc="CAE0827E" w:tentative="1">
      <w:start w:val="1"/>
      <w:numFmt w:val="decimal"/>
      <w:lvlText w:val="%8)"/>
      <w:lvlJc w:val="left"/>
      <w:pPr>
        <w:tabs>
          <w:tab w:val="num" w:pos="5760"/>
        </w:tabs>
        <w:ind w:left="5760" w:hanging="360"/>
      </w:pPr>
    </w:lvl>
    <w:lvl w:ilvl="8" w:tplc="9982BA38" w:tentative="1">
      <w:start w:val="1"/>
      <w:numFmt w:val="decimal"/>
      <w:lvlText w:val="%9)"/>
      <w:lvlJc w:val="left"/>
      <w:pPr>
        <w:tabs>
          <w:tab w:val="num" w:pos="6480"/>
        </w:tabs>
        <w:ind w:left="6480" w:hanging="360"/>
      </w:pPr>
    </w:lvl>
  </w:abstractNum>
  <w:abstractNum w:abstractNumId="18" w15:restartNumberingAfterBreak="0">
    <w:nsid w:val="64ED2068"/>
    <w:multiLevelType w:val="hybridMultilevel"/>
    <w:tmpl w:val="CDCA658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A00906"/>
    <w:multiLevelType w:val="hybridMultilevel"/>
    <w:tmpl w:val="A34AB7E8"/>
    <w:lvl w:ilvl="0" w:tplc="C8BA28EC">
      <w:start w:val="1"/>
      <w:numFmt w:val="decimal"/>
      <w:lvlText w:val="%1)"/>
      <w:lvlJc w:val="left"/>
      <w:pPr>
        <w:tabs>
          <w:tab w:val="num" w:pos="720"/>
        </w:tabs>
        <w:ind w:left="720" w:hanging="360"/>
      </w:pPr>
    </w:lvl>
    <w:lvl w:ilvl="1" w:tplc="6B04E78A" w:tentative="1">
      <w:start w:val="1"/>
      <w:numFmt w:val="decimal"/>
      <w:lvlText w:val="%2)"/>
      <w:lvlJc w:val="left"/>
      <w:pPr>
        <w:tabs>
          <w:tab w:val="num" w:pos="1440"/>
        </w:tabs>
        <w:ind w:left="1440" w:hanging="360"/>
      </w:pPr>
    </w:lvl>
    <w:lvl w:ilvl="2" w:tplc="5E904516" w:tentative="1">
      <w:start w:val="1"/>
      <w:numFmt w:val="decimal"/>
      <w:lvlText w:val="%3)"/>
      <w:lvlJc w:val="left"/>
      <w:pPr>
        <w:tabs>
          <w:tab w:val="num" w:pos="2160"/>
        </w:tabs>
        <w:ind w:left="2160" w:hanging="360"/>
      </w:pPr>
    </w:lvl>
    <w:lvl w:ilvl="3" w:tplc="D42AFD2A" w:tentative="1">
      <w:start w:val="1"/>
      <w:numFmt w:val="decimal"/>
      <w:lvlText w:val="%4)"/>
      <w:lvlJc w:val="left"/>
      <w:pPr>
        <w:tabs>
          <w:tab w:val="num" w:pos="2880"/>
        </w:tabs>
        <w:ind w:left="2880" w:hanging="360"/>
      </w:pPr>
    </w:lvl>
    <w:lvl w:ilvl="4" w:tplc="DBB8C53A" w:tentative="1">
      <w:start w:val="1"/>
      <w:numFmt w:val="decimal"/>
      <w:lvlText w:val="%5)"/>
      <w:lvlJc w:val="left"/>
      <w:pPr>
        <w:tabs>
          <w:tab w:val="num" w:pos="3600"/>
        </w:tabs>
        <w:ind w:left="3600" w:hanging="360"/>
      </w:pPr>
    </w:lvl>
    <w:lvl w:ilvl="5" w:tplc="CB96F6EC" w:tentative="1">
      <w:start w:val="1"/>
      <w:numFmt w:val="decimal"/>
      <w:lvlText w:val="%6)"/>
      <w:lvlJc w:val="left"/>
      <w:pPr>
        <w:tabs>
          <w:tab w:val="num" w:pos="4320"/>
        </w:tabs>
        <w:ind w:left="4320" w:hanging="360"/>
      </w:pPr>
    </w:lvl>
    <w:lvl w:ilvl="6" w:tplc="81064BD0" w:tentative="1">
      <w:start w:val="1"/>
      <w:numFmt w:val="decimal"/>
      <w:lvlText w:val="%7)"/>
      <w:lvlJc w:val="left"/>
      <w:pPr>
        <w:tabs>
          <w:tab w:val="num" w:pos="5040"/>
        </w:tabs>
        <w:ind w:left="5040" w:hanging="360"/>
      </w:pPr>
    </w:lvl>
    <w:lvl w:ilvl="7" w:tplc="FDD2EBFA" w:tentative="1">
      <w:start w:val="1"/>
      <w:numFmt w:val="decimal"/>
      <w:lvlText w:val="%8)"/>
      <w:lvlJc w:val="left"/>
      <w:pPr>
        <w:tabs>
          <w:tab w:val="num" w:pos="5760"/>
        </w:tabs>
        <w:ind w:left="5760" w:hanging="360"/>
      </w:pPr>
    </w:lvl>
    <w:lvl w:ilvl="8" w:tplc="841E0D58" w:tentative="1">
      <w:start w:val="1"/>
      <w:numFmt w:val="decimal"/>
      <w:lvlText w:val="%9)"/>
      <w:lvlJc w:val="left"/>
      <w:pPr>
        <w:tabs>
          <w:tab w:val="num" w:pos="6480"/>
        </w:tabs>
        <w:ind w:left="6480" w:hanging="360"/>
      </w:pPr>
    </w:lvl>
  </w:abstractNum>
  <w:abstractNum w:abstractNumId="20" w15:restartNumberingAfterBreak="0">
    <w:nsid w:val="6FD51093"/>
    <w:multiLevelType w:val="multilevel"/>
    <w:tmpl w:val="5C882580"/>
    <w:lvl w:ilvl="0">
      <w:start w:val="1"/>
      <w:numFmt w:val="upperLetter"/>
      <w:lvlRestart w:val="0"/>
      <w:pStyle w:val="Heading1"/>
      <w:lvlText w:val="%1."/>
      <w:lvlJc w:val="left"/>
      <w:pPr>
        <w:tabs>
          <w:tab w:val="num" w:pos="3153"/>
        </w:tabs>
        <w:ind w:left="2694" w:firstLine="0"/>
      </w:pPr>
      <w:rPr>
        <w:rFonts w:cs="Times New Roman" w:hint="default"/>
      </w:rPr>
    </w:lvl>
    <w:lvl w:ilvl="1">
      <w:start w:val="1"/>
      <w:numFmt w:val="decimal"/>
      <w:pStyle w:val="Heading2"/>
      <w:suff w:val="space"/>
      <w:lvlText w:val="%1.%2."/>
      <w:lvlJc w:val="left"/>
      <w:pPr>
        <w:ind w:left="0" w:firstLine="0"/>
      </w:pPr>
      <w:rPr>
        <w:rFonts w:cs="Times New Roman" w:hint="default"/>
        <w:color w:val="auto"/>
      </w:rPr>
    </w:lvl>
    <w:lvl w:ilvl="2">
      <w:start w:val="1"/>
      <w:numFmt w:val="decimal"/>
      <w:pStyle w:val="Heading3"/>
      <w:suff w:val="space"/>
      <w:lvlText w:val="%1.%2.%3."/>
      <w:lvlJc w:val="left"/>
      <w:pPr>
        <w:ind w:left="0" w:firstLine="0"/>
      </w:pPr>
      <w:rPr>
        <w:rFonts w:cs="Times New Roman" w:hint="default"/>
      </w:rPr>
    </w:lvl>
    <w:lvl w:ilvl="3">
      <w:start w:val="1"/>
      <w:numFmt w:val="none"/>
      <w:lvlText w:val=""/>
      <w:lvlJc w:val="left"/>
      <w:pPr>
        <w:tabs>
          <w:tab w:val="num" w:pos="2058"/>
        </w:tabs>
        <w:ind w:left="1701" w:firstLine="0"/>
      </w:pPr>
      <w:rPr>
        <w:rFonts w:cs="Times New Roman" w:hint="default"/>
      </w:rPr>
    </w:lvl>
    <w:lvl w:ilvl="4">
      <w:start w:val="1"/>
      <w:numFmt w:val="decimal"/>
      <w:lvlText w:val="%1.%2.%3.%4.%5"/>
      <w:lvlJc w:val="left"/>
      <w:pPr>
        <w:tabs>
          <w:tab w:val="num" w:pos="3345"/>
        </w:tabs>
        <w:ind w:left="2268" w:firstLine="0"/>
      </w:pPr>
      <w:rPr>
        <w:rFonts w:cs="Times New Roman" w:hint="default"/>
      </w:rPr>
    </w:lvl>
    <w:lvl w:ilvl="5">
      <w:start w:val="1"/>
      <w:numFmt w:val="decimal"/>
      <w:lvlText w:val="%1.%2.%3.%4.%5.%6"/>
      <w:lvlJc w:val="left"/>
      <w:pPr>
        <w:tabs>
          <w:tab w:val="num" w:pos="3912"/>
        </w:tabs>
        <w:ind w:left="2835" w:firstLine="0"/>
      </w:pPr>
      <w:rPr>
        <w:rFonts w:cs="Times New Roman" w:hint="default"/>
      </w:rPr>
    </w:lvl>
    <w:lvl w:ilvl="6">
      <w:start w:val="1"/>
      <w:numFmt w:val="decimal"/>
      <w:lvlText w:val="%1.%2.%3.%4.%5.%6.%7"/>
      <w:lvlJc w:val="left"/>
      <w:pPr>
        <w:tabs>
          <w:tab w:val="num" w:pos="2432"/>
        </w:tabs>
        <w:ind w:left="2432" w:hanging="1298"/>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6"/>
        </w:tabs>
        <w:ind w:left="2716" w:hanging="1582"/>
      </w:pPr>
      <w:rPr>
        <w:rFonts w:cs="Times New Roman" w:hint="default"/>
      </w:rPr>
    </w:lvl>
  </w:abstractNum>
  <w:abstractNum w:abstractNumId="21"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C7C69ED"/>
    <w:multiLevelType w:val="hybridMultilevel"/>
    <w:tmpl w:val="E7B217C6"/>
    <w:lvl w:ilvl="0" w:tplc="7BDE9A92">
      <w:start w:val="1"/>
      <w:numFmt w:val="decimal"/>
      <w:lvlText w:val="%1)"/>
      <w:lvlJc w:val="left"/>
      <w:pPr>
        <w:tabs>
          <w:tab w:val="num" w:pos="720"/>
        </w:tabs>
        <w:ind w:left="720" w:hanging="360"/>
      </w:pPr>
    </w:lvl>
    <w:lvl w:ilvl="1" w:tplc="3A96FE34" w:tentative="1">
      <w:start w:val="1"/>
      <w:numFmt w:val="decimal"/>
      <w:lvlText w:val="%2)"/>
      <w:lvlJc w:val="left"/>
      <w:pPr>
        <w:tabs>
          <w:tab w:val="num" w:pos="1440"/>
        </w:tabs>
        <w:ind w:left="1440" w:hanging="360"/>
      </w:pPr>
    </w:lvl>
    <w:lvl w:ilvl="2" w:tplc="DC646DA8" w:tentative="1">
      <w:start w:val="1"/>
      <w:numFmt w:val="decimal"/>
      <w:lvlText w:val="%3)"/>
      <w:lvlJc w:val="left"/>
      <w:pPr>
        <w:tabs>
          <w:tab w:val="num" w:pos="2160"/>
        </w:tabs>
        <w:ind w:left="2160" w:hanging="360"/>
      </w:pPr>
    </w:lvl>
    <w:lvl w:ilvl="3" w:tplc="3F10A842" w:tentative="1">
      <w:start w:val="1"/>
      <w:numFmt w:val="decimal"/>
      <w:lvlText w:val="%4)"/>
      <w:lvlJc w:val="left"/>
      <w:pPr>
        <w:tabs>
          <w:tab w:val="num" w:pos="2880"/>
        </w:tabs>
        <w:ind w:left="2880" w:hanging="360"/>
      </w:pPr>
    </w:lvl>
    <w:lvl w:ilvl="4" w:tplc="882C93FA" w:tentative="1">
      <w:start w:val="1"/>
      <w:numFmt w:val="decimal"/>
      <w:lvlText w:val="%5)"/>
      <w:lvlJc w:val="left"/>
      <w:pPr>
        <w:tabs>
          <w:tab w:val="num" w:pos="3600"/>
        </w:tabs>
        <w:ind w:left="3600" w:hanging="360"/>
      </w:pPr>
    </w:lvl>
    <w:lvl w:ilvl="5" w:tplc="6F825DC4" w:tentative="1">
      <w:start w:val="1"/>
      <w:numFmt w:val="decimal"/>
      <w:lvlText w:val="%6)"/>
      <w:lvlJc w:val="left"/>
      <w:pPr>
        <w:tabs>
          <w:tab w:val="num" w:pos="4320"/>
        </w:tabs>
        <w:ind w:left="4320" w:hanging="360"/>
      </w:pPr>
    </w:lvl>
    <w:lvl w:ilvl="6" w:tplc="8542B170" w:tentative="1">
      <w:start w:val="1"/>
      <w:numFmt w:val="decimal"/>
      <w:lvlText w:val="%7)"/>
      <w:lvlJc w:val="left"/>
      <w:pPr>
        <w:tabs>
          <w:tab w:val="num" w:pos="5040"/>
        </w:tabs>
        <w:ind w:left="5040" w:hanging="360"/>
      </w:pPr>
    </w:lvl>
    <w:lvl w:ilvl="7" w:tplc="82D24360" w:tentative="1">
      <w:start w:val="1"/>
      <w:numFmt w:val="decimal"/>
      <w:lvlText w:val="%8)"/>
      <w:lvlJc w:val="left"/>
      <w:pPr>
        <w:tabs>
          <w:tab w:val="num" w:pos="5760"/>
        </w:tabs>
        <w:ind w:left="5760" w:hanging="360"/>
      </w:pPr>
    </w:lvl>
    <w:lvl w:ilvl="8" w:tplc="35685868" w:tentative="1">
      <w:start w:val="1"/>
      <w:numFmt w:val="decimal"/>
      <w:lvlText w:val="%9)"/>
      <w:lvlJc w:val="left"/>
      <w:pPr>
        <w:tabs>
          <w:tab w:val="num" w:pos="6480"/>
        </w:tabs>
        <w:ind w:left="6480" w:hanging="360"/>
      </w:pPr>
    </w:lvl>
  </w:abstractNum>
  <w:num w:numId="1">
    <w:abstractNumId w:val="12"/>
  </w:num>
  <w:num w:numId="2">
    <w:abstractNumId w:val="1"/>
  </w:num>
  <w:num w:numId="3">
    <w:abstractNumId w:val="20"/>
  </w:num>
  <w:num w:numId="4">
    <w:abstractNumId w:val="5"/>
  </w:num>
  <w:num w:numId="5">
    <w:abstractNumId w:val="16"/>
  </w:num>
  <w:num w:numId="6">
    <w:abstractNumId w:val="21"/>
  </w:num>
  <w:num w:numId="7">
    <w:abstractNumId w:val="0"/>
  </w:num>
  <w:num w:numId="8">
    <w:abstractNumId w:val="15"/>
  </w:num>
  <w:num w:numId="9">
    <w:abstractNumId w:val="11"/>
  </w:num>
  <w:num w:numId="10">
    <w:abstractNumId w:val="9"/>
  </w:num>
  <w:num w:numId="11">
    <w:abstractNumId w:val="22"/>
  </w:num>
  <w:num w:numId="12">
    <w:abstractNumId w:val="6"/>
  </w:num>
  <w:num w:numId="13">
    <w:abstractNumId w:val="14"/>
  </w:num>
  <w:num w:numId="14">
    <w:abstractNumId w:val="8"/>
  </w:num>
  <w:num w:numId="15">
    <w:abstractNumId w:val="3"/>
  </w:num>
  <w:num w:numId="16">
    <w:abstractNumId w:val="17"/>
  </w:num>
  <w:num w:numId="17">
    <w:abstractNumId w:val="4"/>
  </w:num>
  <w:num w:numId="18">
    <w:abstractNumId w:val="13"/>
  </w:num>
  <w:num w:numId="19">
    <w:abstractNumId w:val="19"/>
  </w:num>
  <w:num w:numId="20">
    <w:abstractNumId w:val="7"/>
  </w:num>
  <w:num w:numId="21">
    <w:abstractNumId w:val="10"/>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30B0"/>
    <w:rsid w:val="0000798C"/>
    <w:rsid w:val="00014337"/>
    <w:rsid w:val="00014C2D"/>
    <w:rsid w:val="00014DD2"/>
    <w:rsid w:val="00017B46"/>
    <w:rsid w:val="0002008A"/>
    <w:rsid w:val="000204CE"/>
    <w:rsid w:val="00021C08"/>
    <w:rsid w:val="00023089"/>
    <w:rsid w:val="00024D64"/>
    <w:rsid w:val="00025AED"/>
    <w:rsid w:val="00026FC8"/>
    <w:rsid w:val="00027F4B"/>
    <w:rsid w:val="00033DA9"/>
    <w:rsid w:val="00037AEB"/>
    <w:rsid w:val="00041968"/>
    <w:rsid w:val="000506C2"/>
    <w:rsid w:val="00050B89"/>
    <w:rsid w:val="000606DB"/>
    <w:rsid w:val="000635D7"/>
    <w:rsid w:val="00073B1C"/>
    <w:rsid w:val="000741BA"/>
    <w:rsid w:val="00075721"/>
    <w:rsid w:val="0007788F"/>
    <w:rsid w:val="00080697"/>
    <w:rsid w:val="000811F4"/>
    <w:rsid w:val="00081415"/>
    <w:rsid w:val="00081F59"/>
    <w:rsid w:val="00085B6E"/>
    <w:rsid w:val="00086B04"/>
    <w:rsid w:val="0008789E"/>
    <w:rsid w:val="00092710"/>
    <w:rsid w:val="00096B48"/>
    <w:rsid w:val="000A2B7A"/>
    <w:rsid w:val="000A7664"/>
    <w:rsid w:val="000A7BDB"/>
    <w:rsid w:val="000B1104"/>
    <w:rsid w:val="000B3D4D"/>
    <w:rsid w:val="000B4FBF"/>
    <w:rsid w:val="000D03D5"/>
    <w:rsid w:val="000D52E3"/>
    <w:rsid w:val="000D7F21"/>
    <w:rsid w:val="000E0957"/>
    <w:rsid w:val="000E2625"/>
    <w:rsid w:val="000F4075"/>
    <w:rsid w:val="000F561B"/>
    <w:rsid w:val="001028CB"/>
    <w:rsid w:val="00104AEB"/>
    <w:rsid w:val="00104EB9"/>
    <w:rsid w:val="00106620"/>
    <w:rsid w:val="001071EC"/>
    <w:rsid w:val="00114AE3"/>
    <w:rsid w:val="0011796C"/>
    <w:rsid w:val="00117988"/>
    <w:rsid w:val="0012075D"/>
    <w:rsid w:val="00120D0E"/>
    <w:rsid w:val="00123858"/>
    <w:rsid w:val="00125195"/>
    <w:rsid w:val="001252ED"/>
    <w:rsid w:val="001310C4"/>
    <w:rsid w:val="0013262D"/>
    <w:rsid w:val="0013651B"/>
    <w:rsid w:val="00150CCD"/>
    <w:rsid w:val="0015100B"/>
    <w:rsid w:val="00151892"/>
    <w:rsid w:val="00157289"/>
    <w:rsid w:val="001605E0"/>
    <w:rsid w:val="001659E3"/>
    <w:rsid w:val="00165F93"/>
    <w:rsid w:val="00166AB8"/>
    <w:rsid w:val="00166F28"/>
    <w:rsid w:val="001708DA"/>
    <w:rsid w:val="00180C82"/>
    <w:rsid w:val="001830E4"/>
    <w:rsid w:val="00184020"/>
    <w:rsid w:val="0019138B"/>
    <w:rsid w:val="0019396A"/>
    <w:rsid w:val="001962E4"/>
    <w:rsid w:val="001A0198"/>
    <w:rsid w:val="001A07DF"/>
    <w:rsid w:val="001A17F0"/>
    <w:rsid w:val="001A3AC8"/>
    <w:rsid w:val="001A3BAB"/>
    <w:rsid w:val="001A4431"/>
    <w:rsid w:val="001B5178"/>
    <w:rsid w:val="001B651D"/>
    <w:rsid w:val="001C0679"/>
    <w:rsid w:val="001C1430"/>
    <w:rsid w:val="001C1BF4"/>
    <w:rsid w:val="001C3D9A"/>
    <w:rsid w:val="001C4795"/>
    <w:rsid w:val="001C4803"/>
    <w:rsid w:val="001C52C1"/>
    <w:rsid w:val="001C6209"/>
    <w:rsid w:val="001D02B0"/>
    <w:rsid w:val="001D532C"/>
    <w:rsid w:val="001D5A56"/>
    <w:rsid w:val="001D7028"/>
    <w:rsid w:val="001E170C"/>
    <w:rsid w:val="001E42FA"/>
    <w:rsid w:val="001E5AA2"/>
    <w:rsid w:val="001E623D"/>
    <w:rsid w:val="001F7C82"/>
    <w:rsid w:val="00205E92"/>
    <w:rsid w:val="00210561"/>
    <w:rsid w:val="00212B82"/>
    <w:rsid w:val="002164BC"/>
    <w:rsid w:val="00220558"/>
    <w:rsid w:val="00232AF4"/>
    <w:rsid w:val="00234D40"/>
    <w:rsid w:val="002436E2"/>
    <w:rsid w:val="00245D80"/>
    <w:rsid w:val="002509D2"/>
    <w:rsid w:val="00255537"/>
    <w:rsid w:val="0026056F"/>
    <w:rsid w:val="00261CCC"/>
    <w:rsid w:val="00262C05"/>
    <w:rsid w:val="00263DD2"/>
    <w:rsid w:val="00266019"/>
    <w:rsid w:val="00271494"/>
    <w:rsid w:val="00280ABF"/>
    <w:rsid w:val="00281B83"/>
    <w:rsid w:val="002820A3"/>
    <w:rsid w:val="00282700"/>
    <w:rsid w:val="00283D33"/>
    <w:rsid w:val="002861B7"/>
    <w:rsid w:val="002914A9"/>
    <w:rsid w:val="002960F7"/>
    <w:rsid w:val="002A5C57"/>
    <w:rsid w:val="002B2A26"/>
    <w:rsid w:val="002B2FF7"/>
    <w:rsid w:val="002B5BAE"/>
    <w:rsid w:val="002B73E2"/>
    <w:rsid w:val="002C0A0A"/>
    <w:rsid w:val="002C2A42"/>
    <w:rsid w:val="002C47A1"/>
    <w:rsid w:val="002C74B7"/>
    <w:rsid w:val="002D423C"/>
    <w:rsid w:val="002D641F"/>
    <w:rsid w:val="002D6DF2"/>
    <w:rsid w:val="002E2B16"/>
    <w:rsid w:val="002E3094"/>
    <w:rsid w:val="0030055C"/>
    <w:rsid w:val="00301407"/>
    <w:rsid w:val="003045EF"/>
    <w:rsid w:val="00315BD1"/>
    <w:rsid w:val="00317771"/>
    <w:rsid w:val="003241CE"/>
    <w:rsid w:val="00335F44"/>
    <w:rsid w:val="0034411F"/>
    <w:rsid w:val="00347B8C"/>
    <w:rsid w:val="00352FB8"/>
    <w:rsid w:val="003530A1"/>
    <w:rsid w:val="00357BC1"/>
    <w:rsid w:val="00357BDF"/>
    <w:rsid w:val="00360693"/>
    <w:rsid w:val="00370DF5"/>
    <w:rsid w:val="00375401"/>
    <w:rsid w:val="00376B9A"/>
    <w:rsid w:val="00380E11"/>
    <w:rsid w:val="00384FA1"/>
    <w:rsid w:val="00392403"/>
    <w:rsid w:val="00393546"/>
    <w:rsid w:val="003947CF"/>
    <w:rsid w:val="003952A3"/>
    <w:rsid w:val="003A2393"/>
    <w:rsid w:val="003A3DDC"/>
    <w:rsid w:val="003B1376"/>
    <w:rsid w:val="003B374C"/>
    <w:rsid w:val="003B438F"/>
    <w:rsid w:val="003B79CC"/>
    <w:rsid w:val="003C7E53"/>
    <w:rsid w:val="003D2928"/>
    <w:rsid w:val="003D454B"/>
    <w:rsid w:val="003E3020"/>
    <w:rsid w:val="003E3661"/>
    <w:rsid w:val="003E6973"/>
    <w:rsid w:val="003E7A41"/>
    <w:rsid w:val="003F234B"/>
    <w:rsid w:val="003F5A29"/>
    <w:rsid w:val="00401660"/>
    <w:rsid w:val="0040213B"/>
    <w:rsid w:val="0041190F"/>
    <w:rsid w:val="004204FA"/>
    <w:rsid w:val="004220D1"/>
    <w:rsid w:val="00422604"/>
    <w:rsid w:val="0042264D"/>
    <w:rsid w:val="00423668"/>
    <w:rsid w:val="00423F91"/>
    <w:rsid w:val="0043031D"/>
    <w:rsid w:val="00431CAF"/>
    <w:rsid w:val="00444D5C"/>
    <w:rsid w:val="00444FEE"/>
    <w:rsid w:val="00447456"/>
    <w:rsid w:val="00450806"/>
    <w:rsid w:val="00451E30"/>
    <w:rsid w:val="0045300B"/>
    <w:rsid w:val="004554BB"/>
    <w:rsid w:val="0045620F"/>
    <w:rsid w:val="004579E1"/>
    <w:rsid w:val="0046020D"/>
    <w:rsid w:val="00474150"/>
    <w:rsid w:val="004801EA"/>
    <w:rsid w:val="004803F3"/>
    <w:rsid w:val="00482C15"/>
    <w:rsid w:val="0048529C"/>
    <w:rsid w:val="00486BC8"/>
    <w:rsid w:val="004919D5"/>
    <w:rsid w:val="004A2057"/>
    <w:rsid w:val="004A3935"/>
    <w:rsid w:val="004A56F6"/>
    <w:rsid w:val="004B101A"/>
    <w:rsid w:val="004B2480"/>
    <w:rsid w:val="004B7491"/>
    <w:rsid w:val="004C0B04"/>
    <w:rsid w:val="004C206A"/>
    <w:rsid w:val="004C24D0"/>
    <w:rsid w:val="004C6387"/>
    <w:rsid w:val="004C7644"/>
    <w:rsid w:val="004C7F13"/>
    <w:rsid w:val="004D45CC"/>
    <w:rsid w:val="004E1217"/>
    <w:rsid w:val="004E4EC4"/>
    <w:rsid w:val="004E6CFA"/>
    <w:rsid w:val="004E7D16"/>
    <w:rsid w:val="004F002F"/>
    <w:rsid w:val="004F366D"/>
    <w:rsid w:val="004F7D75"/>
    <w:rsid w:val="00501453"/>
    <w:rsid w:val="005043B3"/>
    <w:rsid w:val="00504C15"/>
    <w:rsid w:val="005115DD"/>
    <w:rsid w:val="00512FAE"/>
    <w:rsid w:val="00516F10"/>
    <w:rsid w:val="00520BD7"/>
    <w:rsid w:val="00527A4B"/>
    <w:rsid w:val="00536D8D"/>
    <w:rsid w:val="00541BE3"/>
    <w:rsid w:val="00542EEE"/>
    <w:rsid w:val="00546A62"/>
    <w:rsid w:val="005512FE"/>
    <w:rsid w:val="005514B9"/>
    <w:rsid w:val="0055367C"/>
    <w:rsid w:val="005545BF"/>
    <w:rsid w:val="00557469"/>
    <w:rsid w:val="005612CD"/>
    <w:rsid w:val="00566565"/>
    <w:rsid w:val="00573677"/>
    <w:rsid w:val="0057669D"/>
    <w:rsid w:val="00580257"/>
    <w:rsid w:val="00590D97"/>
    <w:rsid w:val="005918DB"/>
    <w:rsid w:val="00594096"/>
    <w:rsid w:val="00595D35"/>
    <w:rsid w:val="005A11F3"/>
    <w:rsid w:val="005A56CB"/>
    <w:rsid w:val="005B2E7C"/>
    <w:rsid w:val="005B4024"/>
    <w:rsid w:val="005B64DB"/>
    <w:rsid w:val="005B6569"/>
    <w:rsid w:val="005B7C5A"/>
    <w:rsid w:val="005C17D2"/>
    <w:rsid w:val="005C3737"/>
    <w:rsid w:val="005C3B84"/>
    <w:rsid w:val="005C795E"/>
    <w:rsid w:val="005D20FE"/>
    <w:rsid w:val="005D45C5"/>
    <w:rsid w:val="005D524D"/>
    <w:rsid w:val="005D5677"/>
    <w:rsid w:val="005D68DC"/>
    <w:rsid w:val="005E4F9B"/>
    <w:rsid w:val="005E5F4F"/>
    <w:rsid w:val="005F14B9"/>
    <w:rsid w:val="005F170E"/>
    <w:rsid w:val="005F47B2"/>
    <w:rsid w:val="006033ED"/>
    <w:rsid w:val="00603EB0"/>
    <w:rsid w:val="00605016"/>
    <w:rsid w:val="00605E40"/>
    <w:rsid w:val="00606404"/>
    <w:rsid w:val="00606F57"/>
    <w:rsid w:val="00614F8D"/>
    <w:rsid w:val="00617DEF"/>
    <w:rsid w:val="0062127A"/>
    <w:rsid w:val="00626D70"/>
    <w:rsid w:val="006319C3"/>
    <w:rsid w:val="00636327"/>
    <w:rsid w:val="006367E7"/>
    <w:rsid w:val="00642F73"/>
    <w:rsid w:val="006479C3"/>
    <w:rsid w:val="00651728"/>
    <w:rsid w:val="006537B6"/>
    <w:rsid w:val="006541E5"/>
    <w:rsid w:val="00656F5C"/>
    <w:rsid w:val="00660BEC"/>
    <w:rsid w:val="00664728"/>
    <w:rsid w:val="00670C07"/>
    <w:rsid w:val="00671A7E"/>
    <w:rsid w:val="00671EDF"/>
    <w:rsid w:val="00672993"/>
    <w:rsid w:val="00672F35"/>
    <w:rsid w:val="00684427"/>
    <w:rsid w:val="006855FE"/>
    <w:rsid w:val="00685FB0"/>
    <w:rsid w:val="006863EE"/>
    <w:rsid w:val="006917C7"/>
    <w:rsid w:val="00691E15"/>
    <w:rsid w:val="0069202F"/>
    <w:rsid w:val="006966D1"/>
    <w:rsid w:val="00696F8E"/>
    <w:rsid w:val="006A1062"/>
    <w:rsid w:val="006A1609"/>
    <w:rsid w:val="006A49A7"/>
    <w:rsid w:val="006B1E37"/>
    <w:rsid w:val="006B441E"/>
    <w:rsid w:val="006B5F57"/>
    <w:rsid w:val="006C251A"/>
    <w:rsid w:val="006C30E1"/>
    <w:rsid w:val="006C46D3"/>
    <w:rsid w:val="006C503B"/>
    <w:rsid w:val="006C7E10"/>
    <w:rsid w:val="006D663F"/>
    <w:rsid w:val="006E1C54"/>
    <w:rsid w:val="006F1732"/>
    <w:rsid w:val="006F271E"/>
    <w:rsid w:val="006F3F97"/>
    <w:rsid w:val="006F57CC"/>
    <w:rsid w:val="00700D85"/>
    <w:rsid w:val="007047FB"/>
    <w:rsid w:val="007052D0"/>
    <w:rsid w:val="00710787"/>
    <w:rsid w:val="007140C5"/>
    <w:rsid w:val="00716F34"/>
    <w:rsid w:val="00717DD8"/>
    <w:rsid w:val="00725D87"/>
    <w:rsid w:val="00733D7D"/>
    <w:rsid w:val="00734108"/>
    <w:rsid w:val="00735EAE"/>
    <w:rsid w:val="00740E5E"/>
    <w:rsid w:val="00746BA0"/>
    <w:rsid w:val="00754964"/>
    <w:rsid w:val="00755F46"/>
    <w:rsid w:val="007604C4"/>
    <w:rsid w:val="0076154C"/>
    <w:rsid w:val="00761936"/>
    <w:rsid w:val="00761E11"/>
    <w:rsid w:val="00766270"/>
    <w:rsid w:val="00792743"/>
    <w:rsid w:val="00792881"/>
    <w:rsid w:val="00796F4C"/>
    <w:rsid w:val="007A0019"/>
    <w:rsid w:val="007A4FBD"/>
    <w:rsid w:val="007C41BC"/>
    <w:rsid w:val="007D37A1"/>
    <w:rsid w:val="007E10B1"/>
    <w:rsid w:val="007E47C5"/>
    <w:rsid w:val="007E612B"/>
    <w:rsid w:val="007F2957"/>
    <w:rsid w:val="007F2D7B"/>
    <w:rsid w:val="007F6869"/>
    <w:rsid w:val="007F6A5F"/>
    <w:rsid w:val="0080776E"/>
    <w:rsid w:val="0081289B"/>
    <w:rsid w:val="00816C85"/>
    <w:rsid w:val="00817ACC"/>
    <w:rsid w:val="00820596"/>
    <w:rsid w:val="00820806"/>
    <w:rsid w:val="008212C7"/>
    <w:rsid w:val="00824857"/>
    <w:rsid w:val="00831C62"/>
    <w:rsid w:val="0083289F"/>
    <w:rsid w:val="008336EC"/>
    <w:rsid w:val="00835ACE"/>
    <w:rsid w:val="0084012C"/>
    <w:rsid w:val="00841DE6"/>
    <w:rsid w:val="00846234"/>
    <w:rsid w:val="00846799"/>
    <w:rsid w:val="00846E04"/>
    <w:rsid w:val="00847043"/>
    <w:rsid w:val="0084740F"/>
    <w:rsid w:val="00857612"/>
    <w:rsid w:val="00872687"/>
    <w:rsid w:val="00873F4C"/>
    <w:rsid w:val="0087453E"/>
    <w:rsid w:val="0087621D"/>
    <w:rsid w:val="00877E05"/>
    <w:rsid w:val="0088131D"/>
    <w:rsid w:val="008927EF"/>
    <w:rsid w:val="00894391"/>
    <w:rsid w:val="00894C95"/>
    <w:rsid w:val="008A3545"/>
    <w:rsid w:val="008A50DE"/>
    <w:rsid w:val="008A6266"/>
    <w:rsid w:val="008A6E49"/>
    <w:rsid w:val="008B7481"/>
    <w:rsid w:val="008C2073"/>
    <w:rsid w:val="008C4634"/>
    <w:rsid w:val="008C4ECC"/>
    <w:rsid w:val="008C6334"/>
    <w:rsid w:val="008D0A6D"/>
    <w:rsid w:val="008D3D1F"/>
    <w:rsid w:val="008D634E"/>
    <w:rsid w:val="008E11A1"/>
    <w:rsid w:val="008F05C9"/>
    <w:rsid w:val="008F0C74"/>
    <w:rsid w:val="008F41E9"/>
    <w:rsid w:val="008F56F6"/>
    <w:rsid w:val="00900217"/>
    <w:rsid w:val="009019F6"/>
    <w:rsid w:val="00903280"/>
    <w:rsid w:val="00904089"/>
    <w:rsid w:val="00904C1E"/>
    <w:rsid w:val="00905BF4"/>
    <w:rsid w:val="0090794B"/>
    <w:rsid w:val="00913B4F"/>
    <w:rsid w:val="009154D7"/>
    <w:rsid w:val="00916DAA"/>
    <w:rsid w:val="00917108"/>
    <w:rsid w:val="0091722B"/>
    <w:rsid w:val="009216EA"/>
    <w:rsid w:val="00922039"/>
    <w:rsid w:val="00937053"/>
    <w:rsid w:val="009438D8"/>
    <w:rsid w:val="00943D8E"/>
    <w:rsid w:val="0094463E"/>
    <w:rsid w:val="00945AD9"/>
    <w:rsid w:val="00954129"/>
    <w:rsid w:val="00954F65"/>
    <w:rsid w:val="009576F9"/>
    <w:rsid w:val="00960CA3"/>
    <w:rsid w:val="00962B61"/>
    <w:rsid w:val="009721D8"/>
    <w:rsid w:val="00982D27"/>
    <w:rsid w:val="009834E8"/>
    <w:rsid w:val="00987A8B"/>
    <w:rsid w:val="00991251"/>
    <w:rsid w:val="00992D3A"/>
    <w:rsid w:val="00994FE9"/>
    <w:rsid w:val="00995A47"/>
    <w:rsid w:val="009A0942"/>
    <w:rsid w:val="009A59D2"/>
    <w:rsid w:val="009B02BD"/>
    <w:rsid w:val="009B2B7A"/>
    <w:rsid w:val="009C2150"/>
    <w:rsid w:val="009C5B6B"/>
    <w:rsid w:val="009D15CB"/>
    <w:rsid w:val="009D1B57"/>
    <w:rsid w:val="009D22AB"/>
    <w:rsid w:val="009E41A3"/>
    <w:rsid w:val="009E484F"/>
    <w:rsid w:val="009E6A20"/>
    <w:rsid w:val="009F127C"/>
    <w:rsid w:val="009F4192"/>
    <w:rsid w:val="009F64DD"/>
    <w:rsid w:val="00A00758"/>
    <w:rsid w:val="00A05641"/>
    <w:rsid w:val="00A067A1"/>
    <w:rsid w:val="00A11000"/>
    <w:rsid w:val="00A152F3"/>
    <w:rsid w:val="00A15BC5"/>
    <w:rsid w:val="00A162D2"/>
    <w:rsid w:val="00A1662D"/>
    <w:rsid w:val="00A1672D"/>
    <w:rsid w:val="00A22762"/>
    <w:rsid w:val="00A232A6"/>
    <w:rsid w:val="00A23F13"/>
    <w:rsid w:val="00A30C7D"/>
    <w:rsid w:val="00A3292D"/>
    <w:rsid w:val="00A33999"/>
    <w:rsid w:val="00A33A0E"/>
    <w:rsid w:val="00A360A9"/>
    <w:rsid w:val="00A40066"/>
    <w:rsid w:val="00A42AFD"/>
    <w:rsid w:val="00A4621A"/>
    <w:rsid w:val="00A47E71"/>
    <w:rsid w:val="00A504BF"/>
    <w:rsid w:val="00A51DEE"/>
    <w:rsid w:val="00A549D6"/>
    <w:rsid w:val="00A559C4"/>
    <w:rsid w:val="00A60114"/>
    <w:rsid w:val="00A6288C"/>
    <w:rsid w:val="00A62AEB"/>
    <w:rsid w:val="00A62BC3"/>
    <w:rsid w:val="00A65273"/>
    <w:rsid w:val="00A80FB2"/>
    <w:rsid w:val="00A835B3"/>
    <w:rsid w:val="00A844E3"/>
    <w:rsid w:val="00A92DAC"/>
    <w:rsid w:val="00AA018E"/>
    <w:rsid w:val="00AA34AB"/>
    <w:rsid w:val="00AB020C"/>
    <w:rsid w:val="00AB609B"/>
    <w:rsid w:val="00AD0D50"/>
    <w:rsid w:val="00AD1BD0"/>
    <w:rsid w:val="00AD3241"/>
    <w:rsid w:val="00AD36BB"/>
    <w:rsid w:val="00AE13E0"/>
    <w:rsid w:val="00AE52BF"/>
    <w:rsid w:val="00AE5706"/>
    <w:rsid w:val="00AE66A9"/>
    <w:rsid w:val="00AE727B"/>
    <w:rsid w:val="00AF1F4A"/>
    <w:rsid w:val="00B02D45"/>
    <w:rsid w:val="00B04095"/>
    <w:rsid w:val="00B0755C"/>
    <w:rsid w:val="00B40670"/>
    <w:rsid w:val="00B42C34"/>
    <w:rsid w:val="00B45622"/>
    <w:rsid w:val="00B46A6A"/>
    <w:rsid w:val="00B47B50"/>
    <w:rsid w:val="00B57241"/>
    <w:rsid w:val="00B61492"/>
    <w:rsid w:val="00B6478B"/>
    <w:rsid w:val="00B65110"/>
    <w:rsid w:val="00B6799D"/>
    <w:rsid w:val="00B72228"/>
    <w:rsid w:val="00B77488"/>
    <w:rsid w:val="00B804EF"/>
    <w:rsid w:val="00B80A4A"/>
    <w:rsid w:val="00B86DFE"/>
    <w:rsid w:val="00B90B28"/>
    <w:rsid w:val="00B95348"/>
    <w:rsid w:val="00BA166E"/>
    <w:rsid w:val="00BA4FCE"/>
    <w:rsid w:val="00BB1B33"/>
    <w:rsid w:val="00BB6461"/>
    <w:rsid w:val="00BB6CB3"/>
    <w:rsid w:val="00BC5803"/>
    <w:rsid w:val="00BC6AE8"/>
    <w:rsid w:val="00BC7225"/>
    <w:rsid w:val="00BD38CE"/>
    <w:rsid w:val="00BD39BF"/>
    <w:rsid w:val="00BD75B0"/>
    <w:rsid w:val="00BE1C00"/>
    <w:rsid w:val="00BE337A"/>
    <w:rsid w:val="00BE469B"/>
    <w:rsid w:val="00BE6461"/>
    <w:rsid w:val="00BF073E"/>
    <w:rsid w:val="00BF0BA1"/>
    <w:rsid w:val="00BF25C5"/>
    <w:rsid w:val="00BF2D82"/>
    <w:rsid w:val="00BF43E4"/>
    <w:rsid w:val="00BF4735"/>
    <w:rsid w:val="00BF5A1F"/>
    <w:rsid w:val="00C01189"/>
    <w:rsid w:val="00C02EED"/>
    <w:rsid w:val="00C042FB"/>
    <w:rsid w:val="00C044F1"/>
    <w:rsid w:val="00C11D42"/>
    <w:rsid w:val="00C13F63"/>
    <w:rsid w:val="00C144A7"/>
    <w:rsid w:val="00C2238F"/>
    <w:rsid w:val="00C3098E"/>
    <w:rsid w:val="00C30F82"/>
    <w:rsid w:val="00C35961"/>
    <w:rsid w:val="00C362C4"/>
    <w:rsid w:val="00C423E3"/>
    <w:rsid w:val="00C43DA1"/>
    <w:rsid w:val="00C5061F"/>
    <w:rsid w:val="00C506D5"/>
    <w:rsid w:val="00C535D7"/>
    <w:rsid w:val="00C5377A"/>
    <w:rsid w:val="00C5638A"/>
    <w:rsid w:val="00C61187"/>
    <w:rsid w:val="00C71881"/>
    <w:rsid w:val="00C71DA5"/>
    <w:rsid w:val="00C75676"/>
    <w:rsid w:val="00C80348"/>
    <w:rsid w:val="00C91020"/>
    <w:rsid w:val="00C91D08"/>
    <w:rsid w:val="00C9207F"/>
    <w:rsid w:val="00C926E0"/>
    <w:rsid w:val="00C937F2"/>
    <w:rsid w:val="00C94A00"/>
    <w:rsid w:val="00C95EE1"/>
    <w:rsid w:val="00C95F5B"/>
    <w:rsid w:val="00C96D4F"/>
    <w:rsid w:val="00CA1CA4"/>
    <w:rsid w:val="00CA415C"/>
    <w:rsid w:val="00CA6C1F"/>
    <w:rsid w:val="00CB06B9"/>
    <w:rsid w:val="00CB0B05"/>
    <w:rsid w:val="00CB4AC5"/>
    <w:rsid w:val="00CB6BE6"/>
    <w:rsid w:val="00CB6DCB"/>
    <w:rsid w:val="00CB7E57"/>
    <w:rsid w:val="00CC0452"/>
    <w:rsid w:val="00CC1656"/>
    <w:rsid w:val="00CC2605"/>
    <w:rsid w:val="00CC4959"/>
    <w:rsid w:val="00CE27CD"/>
    <w:rsid w:val="00CE601E"/>
    <w:rsid w:val="00CE62F9"/>
    <w:rsid w:val="00CE66B8"/>
    <w:rsid w:val="00D01E10"/>
    <w:rsid w:val="00D0350E"/>
    <w:rsid w:val="00D166CA"/>
    <w:rsid w:val="00D219E7"/>
    <w:rsid w:val="00D25AAF"/>
    <w:rsid w:val="00D31457"/>
    <w:rsid w:val="00D41113"/>
    <w:rsid w:val="00D41739"/>
    <w:rsid w:val="00D459E9"/>
    <w:rsid w:val="00D474F5"/>
    <w:rsid w:val="00D50157"/>
    <w:rsid w:val="00D51FDE"/>
    <w:rsid w:val="00D541A4"/>
    <w:rsid w:val="00D63B14"/>
    <w:rsid w:val="00D648A8"/>
    <w:rsid w:val="00D666D0"/>
    <w:rsid w:val="00D667E9"/>
    <w:rsid w:val="00D677D4"/>
    <w:rsid w:val="00D70657"/>
    <w:rsid w:val="00D7257C"/>
    <w:rsid w:val="00D77481"/>
    <w:rsid w:val="00D814B7"/>
    <w:rsid w:val="00D82486"/>
    <w:rsid w:val="00D8293D"/>
    <w:rsid w:val="00D90C7A"/>
    <w:rsid w:val="00D90DF8"/>
    <w:rsid w:val="00DB26F6"/>
    <w:rsid w:val="00DC025A"/>
    <w:rsid w:val="00DC7677"/>
    <w:rsid w:val="00DE1152"/>
    <w:rsid w:val="00DE69BE"/>
    <w:rsid w:val="00DF7968"/>
    <w:rsid w:val="00E02D1C"/>
    <w:rsid w:val="00E04086"/>
    <w:rsid w:val="00E065ED"/>
    <w:rsid w:val="00E13E12"/>
    <w:rsid w:val="00E15569"/>
    <w:rsid w:val="00E228C9"/>
    <w:rsid w:val="00E24F64"/>
    <w:rsid w:val="00E2593F"/>
    <w:rsid w:val="00E2648C"/>
    <w:rsid w:val="00E32262"/>
    <w:rsid w:val="00E3363D"/>
    <w:rsid w:val="00E4121B"/>
    <w:rsid w:val="00E42AB4"/>
    <w:rsid w:val="00E46CC1"/>
    <w:rsid w:val="00E556EC"/>
    <w:rsid w:val="00E55C06"/>
    <w:rsid w:val="00E56365"/>
    <w:rsid w:val="00E603AB"/>
    <w:rsid w:val="00E61AFB"/>
    <w:rsid w:val="00E75257"/>
    <w:rsid w:val="00E7600C"/>
    <w:rsid w:val="00E77E72"/>
    <w:rsid w:val="00E80E39"/>
    <w:rsid w:val="00E8501D"/>
    <w:rsid w:val="00E90F14"/>
    <w:rsid w:val="00E9145E"/>
    <w:rsid w:val="00E92FEC"/>
    <w:rsid w:val="00E93B8A"/>
    <w:rsid w:val="00E96D97"/>
    <w:rsid w:val="00EA0190"/>
    <w:rsid w:val="00EA0BA1"/>
    <w:rsid w:val="00EB44F1"/>
    <w:rsid w:val="00EB4FD0"/>
    <w:rsid w:val="00EC1FD7"/>
    <w:rsid w:val="00EC69DD"/>
    <w:rsid w:val="00EE0A85"/>
    <w:rsid w:val="00EE4125"/>
    <w:rsid w:val="00EE4C7B"/>
    <w:rsid w:val="00EE679A"/>
    <w:rsid w:val="00EE70C7"/>
    <w:rsid w:val="00EF0D4A"/>
    <w:rsid w:val="00EF6CEB"/>
    <w:rsid w:val="00F00940"/>
    <w:rsid w:val="00F145D0"/>
    <w:rsid w:val="00F15A5F"/>
    <w:rsid w:val="00F174BD"/>
    <w:rsid w:val="00F17BA0"/>
    <w:rsid w:val="00F2382D"/>
    <w:rsid w:val="00F30F04"/>
    <w:rsid w:val="00F3252C"/>
    <w:rsid w:val="00F334C7"/>
    <w:rsid w:val="00F364E8"/>
    <w:rsid w:val="00F418FD"/>
    <w:rsid w:val="00F43304"/>
    <w:rsid w:val="00F43587"/>
    <w:rsid w:val="00F51547"/>
    <w:rsid w:val="00F545EC"/>
    <w:rsid w:val="00F6779E"/>
    <w:rsid w:val="00F7136D"/>
    <w:rsid w:val="00F71D11"/>
    <w:rsid w:val="00F74411"/>
    <w:rsid w:val="00F75F09"/>
    <w:rsid w:val="00F82C2F"/>
    <w:rsid w:val="00F8359A"/>
    <w:rsid w:val="00F91ECA"/>
    <w:rsid w:val="00F9674B"/>
    <w:rsid w:val="00FA4798"/>
    <w:rsid w:val="00FB308F"/>
    <w:rsid w:val="00FB44BD"/>
    <w:rsid w:val="00FC19EA"/>
    <w:rsid w:val="00FC4247"/>
    <w:rsid w:val="00FC6E0F"/>
    <w:rsid w:val="00FD17BC"/>
    <w:rsid w:val="00FD20E6"/>
    <w:rsid w:val="00FD4777"/>
    <w:rsid w:val="00FD5283"/>
    <w:rsid w:val="00FE1D05"/>
    <w:rsid w:val="00FE3AB7"/>
    <w:rsid w:val="00FE4107"/>
    <w:rsid w:val="00FE5EE9"/>
    <w:rsid w:val="00FF237B"/>
    <w:rsid w:val="00FF2FA4"/>
    <w:rsid w:val="00FF66D3"/>
    <w:rsid w:val="00FF712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194083-7AF2-4CF7-BA56-8100C9AD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504C15"/>
    <w:pPr>
      <w:widowControl w:val="0"/>
      <w:numPr>
        <w:numId w:val="3"/>
      </w:numPr>
      <w:overflowPunct/>
      <w:autoSpaceDE/>
      <w:autoSpaceDN/>
      <w:adjustRightInd/>
      <w:spacing w:before="851" w:after="390" w:line="360" w:lineRule="exact"/>
      <w:textAlignment w:val="auto"/>
      <w:outlineLvl w:val="0"/>
    </w:pPr>
    <w:rPr>
      <w:b/>
      <w:sz w:val="32"/>
    </w:rPr>
  </w:style>
  <w:style w:type="paragraph" w:styleId="Heading2">
    <w:name w:val="heading 2"/>
    <w:basedOn w:val="Normal"/>
    <w:next w:val="BodyTextMultiline"/>
    <w:qFormat/>
    <w:rsid w:val="00504C15"/>
    <w:pPr>
      <w:widowControl w:val="0"/>
      <w:numPr>
        <w:ilvl w:val="1"/>
        <w:numId w:val="3"/>
      </w:numPr>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3"/>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link w:val="HeaderChar"/>
    <w:uiPriority w:val="99"/>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4"/>
      </w:numPr>
      <w:tabs>
        <w:tab w:val="left" w:pos="919"/>
      </w:tabs>
      <w:ind w:left="918" w:right="1134" w:hanging="459"/>
      <w:jc w:val="both"/>
    </w:pPr>
    <w:rPr>
      <w:sz w:val="22"/>
      <w:lang w:eastAsia="en-US"/>
    </w:rPr>
  </w:style>
  <w:style w:type="paragraph" w:customStyle="1" w:styleId="ListEmdash">
    <w:name w:val="List Emdash"/>
    <w:rsid w:val="00504C15"/>
    <w:pPr>
      <w:numPr>
        <w:numId w:val="5"/>
      </w:numPr>
      <w:ind w:right="1134"/>
      <w:jc w:val="both"/>
    </w:pPr>
    <w:rPr>
      <w:sz w:val="22"/>
      <w:lang w:eastAsia="en-US"/>
    </w:rPr>
  </w:style>
  <w:style w:type="paragraph" w:customStyle="1" w:styleId="ListNumbered">
    <w:name w:val="List Numbered"/>
    <w:rsid w:val="00504C15"/>
    <w:pPr>
      <w:numPr>
        <w:numId w:val="6"/>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7"/>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szCs w:val="22"/>
      <w:lang w:eastAsia="en-US"/>
    </w:rPr>
  </w:style>
  <w:style w:type="character" w:customStyle="1" w:styleId="Heading1Char">
    <w:name w:val="Heading 1 Char"/>
    <w:link w:val="Heading1"/>
    <w:locked/>
    <w:rsid w:val="00F82C2F"/>
    <w:rPr>
      <w:b/>
      <w:sz w:val="32"/>
      <w:lang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paragraph" w:styleId="ListParagraph">
    <w:name w:val="List Paragraph"/>
    <w:basedOn w:val="Normal"/>
    <w:uiPriority w:val="34"/>
    <w:qFormat/>
    <w:rsid w:val="0087453E"/>
    <w:pPr>
      <w:ind w:left="720"/>
      <w:contextualSpacing/>
    </w:pPr>
  </w:style>
  <w:style w:type="character" w:customStyle="1" w:styleId="BodyTextChar">
    <w:name w:val="Body Text Char"/>
    <w:link w:val="BodyText"/>
    <w:rsid w:val="0069202F"/>
    <w:rPr>
      <w:sz w:val="22"/>
      <w:lang w:eastAsia="en-US"/>
    </w:rPr>
  </w:style>
  <w:style w:type="paragraph" w:styleId="PlainText">
    <w:name w:val="Plain Text"/>
    <w:basedOn w:val="Normal"/>
    <w:link w:val="PlainTextChar"/>
    <w:uiPriority w:val="99"/>
    <w:unhideWhenUsed/>
    <w:rsid w:val="00EC69DD"/>
    <w:pPr>
      <w:overflowPunct/>
      <w:autoSpaceDE/>
      <w:autoSpaceDN/>
      <w:adjustRightInd/>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EC69DD"/>
    <w:rPr>
      <w:rFonts w:eastAsiaTheme="minorHAnsi" w:cstheme="minorBidi"/>
      <w:sz w:val="22"/>
      <w:szCs w:val="21"/>
      <w:lang w:eastAsia="en-US"/>
    </w:rPr>
  </w:style>
  <w:style w:type="paragraph" w:styleId="NormalWeb">
    <w:name w:val="Normal (Web)"/>
    <w:basedOn w:val="Normal"/>
    <w:uiPriority w:val="99"/>
    <w:unhideWhenUsed/>
    <w:rsid w:val="002914A9"/>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120D0E"/>
    <w:rPr>
      <w:sz w:val="22"/>
      <w:lang w:eastAsia="en-US"/>
    </w:rPr>
  </w:style>
  <w:style w:type="paragraph" w:customStyle="1" w:styleId="PDSParaText1">
    <w:name w:val="_PDS_ParaText1"/>
    <w:basedOn w:val="Normal"/>
    <w:rsid w:val="005A56CB"/>
    <w:pPr>
      <w:ind w:left="567"/>
    </w:pPr>
  </w:style>
  <w:style w:type="character" w:styleId="Strong">
    <w:name w:val="Strong"/>
    <w:basedOn w:val="DefaultParagraphFont"/>
    <w:uiPriority w:val="22"/>
    <w:qFormat/>
    <w:locked/>
    <w:rsid w:val="00C5638A"/>
    <w:rPr>
      <w:b/>
      <w:bCs/>
    </w:rPr>
  </w:style>
  <w:style w:type="character" w:styleId="LineNumber">
    <w:name w:val="line number"/>
    <w:basedOn w:val="DefaultParagraphFont"/>
    <w:rsid w:val="00BD75B0"/>
  </w:style>
  <w:style w:type="character" w:customStyle="1" w:styleId="HeaderChar">
    <w:name w:val="Header Char"/>
    <w:basedOn w:val="DefaultParagraphFont"/>
    <w:link w:val="Header"/>
    <w:uiPriority w:val="99"/>
    <w:rsid w:val="00BD75B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7093912">
      <w:bodyDiv w:val="1"/>
      <w:marLeft w:val="0"/>
      <w:marRight w:val="0"/>
      <w:marTop w:val="0"/>
      <w:marBottom w:val="0"/>
      <w:divBdr>
        <w:top w:val="none" w:sz="0" w:space="0" w:color="auto"/>
        <w:left w:val="none" w:sz="0" w:space="0" w:color="auto"/>
        <w:bottom w:val="none" w:sz="0" w:space="0" w:color="auto"/>
        <w:right w:val="none" w:sz="0" w:space="0" w:color="auto"/>
      </w:divBdr>
      <w:divsChild>
        <w:div w:id="767000461">
          <w:marLeft w:val="720"/>
          <w:marRight w:val="0"/>
          <w:marTop w:val="0"/>
          <w:marBottom w:val="0"/>
          <w:divBdr>
            <w:top w:val="none" w:sz="0" w:space="0" w:color="auto"/>
            <w:left w:val="none" w:sz="0" w:space="0" w:color="auto"/>
            <w:bottom w:val="none" w:sz="0" w:space="0" w:color="auto"/>
            <w:right w:val="none" w:sz="0" w:space="0" w:color="auto"/>
          </w:divBdr>
        </w:div>
        <w:div w:id="1517230289">
          <w:marLeft w:val="720"/>
          <w:marRight w:val="0"/>
          <w:marTop w:val="0"/>
          <w:marBottom w:val="0"/>
          <w:divBdr>
            <w:top w:val="none" w:sz="0" w:space="0" w:color="auto"/>
            <w:left w:val="none" w:sz="0" w:space="0" w:color="auto"/>
            <w:bottom w:val="none" w:sz="0" w:space="0" w:color="auto"/>
            <w:right w:val="none" w:sz="0" w:space="0" w:color="auto"/>
          </w:divBdr>
        </w:div>
        <w:div w:id="1162964786">
          <w:marLeft w:val="720"/>
          <w:marRight w:val="0"/>
          <w:marTop w:val="0"/>
          <w:marBottom w:val="0"/>
          <w:divBdr>
            <w:top w:val="none" w:sz="0" w:space="0" w:color="auto"/>
            <w:left w:val="none" w:sz="0" w:space="0" w:color="auto"/>
            <w:bottom w:val="none" w:sz="0" w:space="0" w:color="auto"/>
            <w:right w:val="none" w:sz="0" w:space="0" w:color="auto"/>
          </w:divBdr>
        </w:div>
        <w:div w:id="1668166196">
          <w:marLeft w:val="720"/>
          <w:marRight w:val="0"/>
          <w:marTop w:val="0"/>
          <w:marBottom w:val="0"/>
          <w:divBdr>
            <w:top w:val="none" w:sz="0" w:space="0" w:color="auto"/>
            <w:left w:val="none" w:sz="0" w:space="0" w:color="auto"/>
            <w:bottom w:val="none" w:sz="0" w:space="0" w:color="auto"/>
            <w:right w:val="none" w:sz="0" w:space="0" w:color="auto"/>
          </w:divBdr>
        </w:div>
      </w:divsChild>
    </w:div>
    <w:div w:id="90854935">
      <w:bodyDiv w:val="1"/>
      <w:marLeft w:val="0"/>
      <w:marRight w:val="0"/>
      <w:marTop w:val="0"/>
      <w:marBottom w:val="0"/>
      <w:divBdr>
        <w:top w:val="none" w:sz="0" w:space="0" w:color="auto"/>
        <w:left w:val="none" w:sz="0" w:space="0" w:color="auto"/>
        <w:bottom w:val="none" w:sz="0" w:space="0" w:color="auto"/>
        <w:right w:val="none" w:sz="0" w:space="0" w:color="auto"/>
      </w:divBdr>
    </w:div>
    <w:div w:id="120418559">
      <w:bodyDiv w:val="1"/>
      <w:marLeft w:val="0"/>
      <w:marRight w:val="0"/>
      <w:marTop w:val="0"/>
      <w:marBottom w:val="0"/>
      <w:divBdr>
        <w:top w:val="none" w:sz="0" w:space="0" w:color="auto"/>
        <w:left w:val="none" w:sz="0" w:space="0" w:color="auto"/>
        <w:bottom w:val="none" w:sz="0" w:space="0" w:color="auto"/>
        <w:right w:val="none" w:sz="0" w:space="0" w:color="auto"/>
      </w:divBdr>
    </w:div>
    <w:div w:id="277221786">
      <w:bodyDiv w:val="1"/>
      <w:marLeft w:val="0"/>
      <w:marRight w:val="0"/>
      <w:marTop w:val="0"/>
      <w:marBottom w:val="0"/>
      <w:divBdr>
        <w:top w:val="none" w:sz="0" w:space="0" w:color="auto"/>
        <w:left w:val="none" w:sz="0" w:space="0" w:color="auto"/>
        <w:bottom w:val="none" w:sz="0" w:space="0" w:color="auto"/>
        <w:right w:val="none" w:sz="0" w:space="0" w:color="auto"/>
      </w:divBdr>
      <w:divsChild>
        <w:div w:id="1738162430">
          <w:marLeft w:val="720"/>
          <w:marRight w:val="0"/>
          <w:marTop w:val="0"/>
          <w:marBottom w:val="0"/>
          <w:divBdr>
            <w:top w:val="none" w:sz="0" w:space="0" w:color="auto"/>
            <w:left w:val="none" w:sz="0" w:space="0" w:color="auto"/>
            <w:bottom w:val="none" w:sz="0" w:space="0" w:color="auto"/>
            <w:right w:val="none" w:sz="0" w:space="0" w:color="auto"/>
          </w:divBdr>
        </w:div>
        <w:div w:id="849224193">
          <w:marLeft w:val="720"/>
          <w:marRight w:val="0"/>
          <w:marTop w:val="0"/>
          <w:marBottom w:val="0"/>
          <w:divBdr>
            <w:top w:val="none" w:sz="0" w:space="0" w:color="auto"/>
            <w:left w:val="none" w:sz="0" w:space="0" w:color="auto"/>
            <w:bottom w:val="none" w:sz="0" w:space="0" w:color="auto"/>
            <w:right w:val="none" w:sz="0" w:space="0" w:color="auto"/>
          </w:divBdr>
        </w:div>
        <w:div w:id="28921412">
          <w:marLeft w:val="720"/>
          <w:marRight w:val="0"/>
          <w:marTop w:val="0"/>
          <w:marBottom w:val="0"/>
          <w:divBdr>
            <w:top w:val="none" w:sz="0" w:space="0" w:color="auto"/>
            <w:left w:val="none" w:sz="0" w:space="0" w:color="auto"/>
            <w:bottom w:val="none" w:sz="0" w:space="0" w:color="auto"/>
            <w:right w:val="none" w:sz="0" w:space="0" w:color="auto"/>
          </w:divBdr>
        </w:div>
        <w:div w:id="1501969002">
          <w:marLeft w:val="720"/>
          <w:marRight w:val="0"/>
          <w:marTop w:val="0"/>
          <w:marBottom w:val="0"/>
          <w:divBdr>
            <w:top w:val="none" w:sz="0" w:space="0" w:color="auto"/>
            <w:left w:val="none" w:sz="0" w:space="0" w:color="auto"/>
            <w:bottom w:val="none" w:sz="0" w:space="0" w:color="auto"/>
            <w:right w:val="none" w:sz="0" w:space="0" w:color="auto"/>
          </w:divBdr>
        </w:div>
      </w:divsChild>
    </w:div>
    <w:div w:id="534319421">
      <w:bodyDiv w:val="1"/>
      <w:marLeft w:val="0"/>
      <w:marRight w:val="0"/>
      <w:marTop w:val="0"/>
      <w:marBottom w:val="0"/>
      <w:divBdr>
        <w:top w:val="none" w:sz="0" w:space="0" w:color="auto"/>
        <w:left w:val="none" w:sz="0" w:space="0" w:color="auto"/>
        <w:bottom w:val="none" w:sz="0" w:space="0" w:color="auto"/>
        <w:right w:val="none" w:sz="0" w:space="0" w:color="auto"/>
      </w:divBdr>
    </w:div>
    <w:div w:id="592394003">
      <w:bodyDiv w:val="1"/>
      <w:marLeft w:val="0"/>
      <w:marRight w:val="0"/>
      <w:marTop w:val="0"/>
      <w:marBottom w:val="0"/>
      <w:divBdr>
        <w:top w:val="none" w:sz="0" w:space="0" w:color="auto"/>
        <w:left w:val="none" w:sz="0" w:space="0" w:color="auto"/>
        <w:bottom w:val="none" w:sz="0" w:space="0" w:color="auto"/>
        <w:right w:val="none" w:sz="0" w:space="0" w:color="auto"/>
      </w:divBdr>
      <w:divsChild>
        <w:div w:id="587009360">
          <w:marLeft w:val="720"/>
          <w:marRight w:val="0"/>
          <w:marTop w:val="0"/>
          <w:marBottom w:val="0"/>
          <w:divBdr>
            <w:top w:val="none" w:sz="0" w:space="0" w:color="auto"/>
            <w:left w:val="none" w:sz="0" w:space="0" w:color="auto"/>
            <w:bottom w:val="none" w:sz="0" w:space="0" w:color="auto"/>
            <w:right w:val="none" w:sz="0" w:space="0" w:color="auto"/>
          </w:divBdr>
        </w:div>
        <w:div w:id="633027822">
          <w:marLeft w:val="720"/>
          <w:marRight w:val="0"/>
          <w:marTop w:val="0"/>
          <w:marBottom w:val="0"/>
          <w:divBdr>
            <w:top w:val="none" w:sz="0" w:space="0" w:color="auto"/>
            <w:left w:val="none" w:sz="0" w:space="0" w:color="auto"/>
            <w:bottom w:val="none" w:sz="0" w:space="0" w:color="auto"/>
            <w:right w:val="none" w:sz="0" w:space="0" w:color="auto"/>
          </w:divBdr>
        </w:div>
        <w:div w:id="1752117867">
          <w:marLeft w:val="720"/>
          <w:marRight w:val="0"/>
          <w:marTop w:val="0"/>
          <w:marBottom w:val="0"/>
          <w:divBdr>
            <w:top w:val="none" w:sz="0" w:space="0" w:color="auto"/>
            <w:left w:val="none" w:sz="0" w:space="0" w:color="auto"/>
            <w:bottom w:val="none" w:sz="0" w:space="0" w:color="auto"/>
            <w:right w:val="none" w:sz="0" w:space="0" w:color="auto"/>
          </w:divBdr>
        </w:div>
        <w:div w:id="1834638203">
          <w:marLeft w:val="720"/>
          <w:marRight w:val="0"/>
          <w:marTop w:val="0"/>
          <w:marBottom w:val="0"/>
          <w:divBdr>
            <w:top w:val="none" w:sz="0" w:space="0" w:color="auto"/>
            <w:left w:val="none" w:sz="0" w:space="0" w:color="auto"/>
            <w:bottom w:val="none" w:sz="0" w:space="0" w:color="auto"/>
            <w:right w:val="none" w:sz="0" w:space="0" w:color="auto"/>
          </w:divBdr>
        </w:div>
      </w:divsChild>
    </w:div>
    <w:div w:id="625430544">
      <w:bodyDiv w:val="1"/>
      <w:marLeft w:val="0"/>
      <w:marRight w:val="0"/>
      <w:marTop w:val="0"/>
      <w:marBottom w:val="0"/>
      <w:divBdr>
        <w:top w:val="none" w:sz="0" w:space="0" w:color="auto"/>
        <w:left w:val="none" w:sz="0" w:space="0" w:color="auto"/>
        <w:bottom w:val="none" w:sz="0" w:space="0" w:color="auto"/>
        <w:right w:val="none" w:sz="0" w:space="0" w:color="auto"/>
      </w:divBdr>
      <w:divsChild>
        <w:div w:id="1477651090">
          <w:marLeft w:val="547"/>
          <w:marRight w:val="0"/>
          <w:marTop w:val="120"/>
          <w:marBottom w:val="120"/>
          <w:divBdr>
            <w:top w:val="none" w:sz="0" w:space="0" w:color="auto"/>
            <w:left w:val="none" w:sz="0" w:space="0" w:color="auto"/>
            <w:bottom w:val="none" w:sz="0" w:space="0" w:color="auto"/>
            <w:right w:val="none" w:sz="0" w:space="0" w:color="auto"/>
          </w:divBdr>
        </w:div>
        <w:div w:id="140663351">
          <w:marLeft w:val="547"/>
          <w:marRight w:val="0"/>
          <w:marTop w:val="120"/>
          <w:marBottom w:val="120"/>
          <w:divBdr>
            <w:top w:val="none" w:sz="0" w:space="0" w:color="auto"/>
            <w:left w:val="none" w:sz="0" w:space="0" w:color="auto"/>
            <w:bottom w:val="none" w:sz="0" w:space="0" w:color="auto"/>
            <w:right w:val="none" w:sz="0" w:space="0" w:color="auto"/>
          </w:divBdr>
        </w:div>
        <w:div w:id="111874377">
          <w:marLeft w:val="547"/>
          <w:marRight w:val="0"/>
          <w:marTop w:val="120"/>
          <w:marBottom w:val="120"/>
          <w:divBdr>
            <w:top w:val="none" w:sz="0" w:space="0" w:color="auto"/>
            <w:left w:val="none" w:sz="0" w:space="0" w:color="auto"/>
            <w:bottom w:val="none" w:sz="0" w:space="0" w:color="auto"/>
            <w:right w:val="none" w:sz="0" w:space="0" w:color="auto"/>
          </w:divBdr>
        </w:div>
        <w:div w:id="186336070">
          <w:marLeft w:val="547"/>
          <w:marRight w:val="0"/>
          <w:marTop w:val="120"/>
          <w:marBottom w:val="120"/>
          <w:divBdr>
            <w:top w:val="none" w:sz="0" w:space="0" w:color="auto"/>
            <w:left w:val="none" w:sz="0" w:space="0" w:color="auto"/>
            <w:bottom w:val="none" w:sz="0" w:space="0" w:color="auto"/>
            <w:right w:val="none" w:sz="0" w:space="0" w:color="auto"/>
          </w:divBdr>
        </w:div>
        <w:div w:id="1214659384">
          <w:marLeft w:val="547"/>
          <w:marRight w:val="0"/>
          <w:marTop w:val="120"/>
          <w:marBottom w:val="120"/>
          <w:divBdr>
            <w:top w:val="none" w:sz="0" w:space="0" w:color="auto"/>
            <w:left w:val="none" w:sz="0" w:space="0" w:color="auto"/>
            <w:bottom w:val="none" w:sz="0" w:space="0" w:color="auto"/>
            <w:right w:val="none" w:sz="0" w:space="0" w:color="auto"/>
          </w:divBdr>
        </w:div>
        <w:div w:id="282154120">
          <w:marLeft w:val="547"/>
          <w:marRight w:val="0"/>
          <w:marTop w:val="120"/>
          <w:marBottom w:val="120"/>
          <w:divBdr>
            <w:top w:val="none" w:sz="0" w:space="0" w:color="auto"/>
            <w:left w:val="none" w:sz="0" w:space="0" w:color="auto"/>
            <w:bottom w:val="none" w:sz="0" w:space="0" w:color="auto"/>
            <w:right w:val="none" w:sz="0" w:space="0" w:color="auto"/>
          </w:divBdr>
        </w:div>
        <w:div w:id="968391209">
          <w:marLeft w:val="547"/>
          <w:marRight w:val="0"/>
          <w:marTop w:val="120"/>
          <w:marBottom w:val="120"/>
          <w:divBdr>
            <w:top w:val="none" w:sz="0" w:space="0" w:color="auto"/>
            <w:left w:val="none" w:sz="0" w:space="0" w:color="auto"/>
            <w:bottom w:val="none" w:sz="0" w:space="0" w:color="auto"/>
            <w:right w:val="none" w:sz="0" w:space="0" w:color="auto"/>
          </w:divBdr>
        </w:div>
      </w:divsChild>
    </w:div>
    <w:div w:id="756168092">
      <w:bodyDiv w:val="1"/>
      <w:marLeft w:val="0"/>
      <w:marRight w:val="0"/>
      <w:marTop w:val="0"/>
      <w:marBottom w:val="0"/>
      <w:divBdr>
        <w:top w:val="none" w:sz="0" w:space="0" w:color="auto"/>
        <w:left w:val="none" w:sz="0" w:space="0" w:color="auto"/>
        <w:bottom w:val="none" w:sz="0" w:space="0" w:color="auto"/>
        <w:right w:val="none" w:sz="0" w:space="0" w:color="auto"/>
      </w:divBdr>
      <w:divsChild>
        <w:div w:id="874847305">
          <w:marLeft w:val="720"/>
          <w:marRight w:val="0"/>
          <w:marTop w:val="0"/>
          <w:marBottom w:val="0"/>
          <w:divBdr>
            <w:top w:val="none" w:sz="0" w:space="0" w:color="auto"/>
            <w:left w:val="none" w:sz="0" w:space="0" w:color="auto"/>
            <w:bottom w:val="none" w:sz="0" w:space="0" w:color="auto"/>
            <w:right w:val="none" w:sz="0" w:space="0" w:color="auto"/>
          </w:divBdr>
        </w:div>
        <w:div w:id="119110386">
          <w:marLeft w:val="720"/>
          <w:marRight w:val="0"/>
          <w:marTop w:val="0"/>
          <w:marBottom w:val="0"/>
          <w:divBdr>
            <w:top w:val="none" w:sz="0" w:space="0" w:color="auto"/>
            <w:left w:val="none" w:sz="0" w:space="0" w:color="auto"/>
            <w:bottom w:val="none" w:sz="0" w:space="0" w:color="auto"/>
            <w:right w:val="none" w:sz="0" w:space="0" w:color="auto"/>
          </w:divBdr>
        </w:div>
        <w:div w:id="1412852839">
          <w:marLeft w:val="720"/>
          <w:marRight w:val="0"/>
          <w:marTop w:val="0"/>
          <w:marBottom w:val="0"/>
          <w:divBdr>
            <w:top w:val="none" w:sz="0" w:space="0" w:color="auto"/>
            <w:left w:val="none" w:sz="0" w:space="0" w:color="auto"/>
            <w:bottom w:val="none" w:sz="0" w:space="0" w:color="auto"/>
            <w:right w:val="none" w:sz="0" w:space="0" w:color="auto"/>
          </w:divBdr>
        </w:div>
        <w:div w:id="342821213">
          <w:marLeft w:val="720"/>
          <w:marRight w:val="0"/>
          <w:marTop w:val="0"/>
          <w:marBottom w:val="0"/>
          <w:divBdr>
            <w:top w:val="none" w:sz="0" w:space="0" w:color="auto"/>
            <w:left w:val="none" w:sz="0" w:space="0" w:color="auto"/>
            <w:bottom w:val="none" w:sz="0" w:space="0" w:color="auto"/>
            <w:right w:val="none" w:sz="0" w:space="0" w:color="auto"/>
          </w:divBdr>
        </w:div>
      </w:divsChild>
    </w:div>
    <w:div w:id="834415770">
      <w:bodyDiv w:val="1"/>
      <w:marLeft w:val="0"/>
      <w:marRight w:val="0"/>
      <w:marTop w:val="0"/>
      <w:marBottom w:val="0"/>
      <w:divBdr>
        <w:top w:val="none" w:sz="0" w:space="0" w:color="auto"/>
        <w:left w:val="none" w:sz="0" w:space="0" w:color="auto"/>
        <w:bottom w:val="none" w:sz="0" w:space="0" w:color="auto"/>
        <w:right w:val="none" w:sz="0" w:space="0" w:color="auto"/>
      </w:divBdr>
    </w:div>
    <w:div w:id="877161780">
      <w:bodyDiv w:val="1"/>
      <w:marLeft w:val="0"/>
      <w:marRight w:val="0"/>
      <w:marTop w:val="0"/>
      <w:marBottom w:val="0"/>
      <w:divBdr>
        <w:top w:val="none" w:sz="0" w:space="0" w:color="auto"/>
        <w:left w:val="none" w:sz="0" w:space="0" w:color="auto"/>
        <w:bottom w:val="none" w:sz="0" w:space="0" w:color="auto"/>
        <w:right w:val="none" w:sz="0" w:space="0" w:color="auto"/>
      </w:divBdr>
      <w:divsChild>
        <w:div w:id="1743285811">
          <w:marLeft w:val="547"/>
          <w:marRight w:val="0"/>
          <w:marTop w:val="0"/>
          <w:marBottom w:val="0"/>
          <w:divBdr>
            <w:top w:val="none" w:sz="0" w:space="0" w:color="auto"/>
            <w:left w:val="none" w:sz="0" w:space="0" w:color="auto"/>
            <w:bottom w:val="none" w:sz="0" w:space="0" w:color="auto"/>
            <w:right w:val="none" w:sz="0" w:space="0" w:color="auto"/>
          </w:divBdr>
        </w:div>
        <w:div w:id="779378297">
          <w:marLeft w:val="547"/>
          <w:marRight w:val="0"/>
          <w:marTop w:val="0"/>
          <w:marBottom w:val="0"/>
          <w:divBdr>
            <w:top w:val="none" w:sz="0" w:space="0" w:color="auto"/>
            <w:left w:val="none" w:sz="0" w:space="0" w:color="auto"/>
            <w:bottom w:val="none" w:sz="0" w:space="0" w:color="auto"/>
            <w:right w:val="none" w:sz="0" w:space="0" w:color="auto"/>
          </w:divBdr>
        </w:div>
        <w:div w:id="1757508655">
          <w:marLeft w:val="547"/>
          <w:marRight w:val="0"/>
          <w:marTop w:val="120"/>
          <w:marBottom w:val="120"/>
          <w:divBdr>
            <w:top w:val="none" w:sz="0" w:space="0" w:color="auto"/>
            <w:left w:val="none" w:sz="0" w:space="0" w:color="auto"/>
            <w:bottom w:val="none" w:sz="0" w:space="0" w:color="auto"/>
            <w:right w:val="none" w:sz="0" w:space="0" w:color="auto"/>
          </w:divBdr>
        </w:div>
        <w:div w:id="921334965">
          <w:marLeft w:val="547"/>
          <w:marRight w:val="0"/>
          <w:marTop w:val="120"/>
          <w:marBottom w:val="120"/>
          <w:divBdr>
            <w:top w:val="none" w:sz="0" w:space="0" w:color="auto"/>
            <w:left w:val="none" w:sz="0" w:space="0" w:color="auto"/>
            <w:bottom w:val="none" w:sz="0" w:space="0" w:color="auto"/>
            <w:right w:val="none" w:sz="0" w:space="0" w:color="auto"/>
          </w:divBdr>
        </w:div>
        <w:div w:id="571701496">
          <w:marLeft w:val="547"/>
          <w:marRight w:val="0"/>
          <w:marTop w:val="120"/>
          <w:marBottom w:val="120"/>
          <w:divBdr>
            <w:top w:val="none" w:sz="0" w:space="0" w:color="auto"/>
            <w:left w:val="none" w:sz="0" w:space="0" w:color="auto"/>
            <w:bottom w:val="none" w:sz="0" w:space="0" w:color="auto"/>
            <w:right w:val="none" w:sz="0" w:space="0" w:color="auto"/>
          </w:divBdr>
        </w:div>
        <w:div w:id="1230727743">
          <w:marLeft w:val="547"/>
          <w:marRight w:val="0"/>
          <w:marTop w:val="120"/>
          <w:marBottom w:val="120"/>
          <w:divBdr>
            <w:top w:val="none" w:sz="0" w:space="0" w:color="auto"/>
            <w:left w:val="none" w:sz="0" w:space="0" w:color="auto"/>
            <w:bottom w:val="none" w:sz="0" w:space="0" w:color="auto"/>
            <w:right w:val="none" w:sz="0" w:space="0" w:color="auto"/>
          </w:divBdr>
        </w:div>
        <w:div w:id="1100223924">
          <w:marLeft w:val="547"/>
          <w:marRight w:val="0"/>
          <w:marTop w:val="120"/>
          <w:marBottom w:val="120"/>
          <w:divBdr>
            <w:top w:val="none" w:sz="0" w:space="0" w:color="auto"/>
            <w:left w:val="none" w:sz="0" w:space="0" w:color="auto"/>
            <w:bottom w:val="none" w:sz="0" w:space="0" w:color="auto"/>
            <w:right w:val="none" w:sz="0" w:space="0" w:color="auto"/>
          </w:divBdr>
        </w:div>
      </w:divsChild>
    </w:div>
    <w:div w:id="1089733780">
      <w:bodyDiv w:val="1"/>
      <w:marLeft w:val="0"/>
      <w:marRight w:val="0"/>
      <w:marTop w:val="0"/>
      <w:marBottom w:val="0"/>
      <w:divBdr>
        <w:top w:val="none" w:sz="0" w:space="0" w:color="auto"/>
        <w:left w:val="none" w:sz="0" w:space="0" w:color="auto"/>
        <w:bottom w:val="none" w:sz="0" w:space="0" w:color="auto"/>
        <w:right w:val="none" w:sz="0" w:space="0" w:color="auto"/>
      </w:divBdr>
    </w:div>
    <w:div w:id="1198158029">
      <w:bodyDiv w:val="1"/>
      <w:marLeft w:val="0"/>
      <w:marRight w:val="0"/>
      <w:marTop w:val="0"/>
      <w:marBottom w:val="0"/>
      <w:divBdr>
        <w:top w:val="none" w:sz="0" w:space="0" w:color="auto"/>
        <w:left w:val="none" w:sz="0" w:space="0" w:color="auto"/>
        <w:bottom w:val="none" w:sz="0" w:space="0" w:color="auto"/>
        <w:right w:val="none" w:sz="0" w:space="0" w:color="auto"/>
      </w:divBdr>
      <w:divsChild>
        <w:div w:id="1412266575">
          <w:marLeft w:val="547"/>
          <w:marRight w:val="0"/>
          <w:marTop w:val="0"/>
          <w:marBottom w:val="0"/>
          <w:divBdr>
            <w:top w:val="none" w:sz="0" w:space="0" w:color="auto"/>
            <w:left w:val="none" w:sz="0" w:space="0" w:color="auto"/>
            <w:bottom w:val="none" w:sz="0" w:space="0" w:color="auto"/>
            <w:right w:val="none" w:sz="0" w:space="0" w:color="auto"/>
          </w:divBdr>
        </w:div>
        <w:div w:id="1065566094">
          <w:marLeft w:val="547"/>
          <w:marRight w:val="0"/>
          <w:marTop w:val="0"/>
          <w:marBottom w:val="0"/>
          <w:divBdr>
            <w:top w:val="none" w:sz="0" w:space="0" w:color="auto"/>
            <w:left w:val="none" w:sz="0" w:space="0" w:color="auto"/>
            <w:bottom w:val="none" w:sz="0" w:space="0" w:color="auto"/>
            <w:right w:val="none" w:sz="0" w:space="0" w:color="auto"/>
          </w:divBdr>
        </w:div>
        <w:div w:id="294020715">
          <w:marLeft w:val="547"/>
          <w:marRight w:val="0"/>
          <w:marTop w:val="0"/>
          <w:marBottom w:val="0"/>
          <w:divBdr>
            <w:top w:val="none" w:sz="0" w:space="0" w:color="auto"/>
            <w:left w:val="none" w:sz="0" w:space="0" w:color="auto"/>
            <w:bottom w:val="none" w:sz="0" w:space="0" w:color="auto"/>
            <w:right w:val="none" w:sz="0" w:space="0" w:color="auto"/>
          </w:divBdr>
        </w:div>
        <w:div w:id="726418579">
          <w:marLeft w:val="547"/>
          <w:marRight w:val="0"/>
          <w:marTop w:val="0"/>
          <w:marBottom w:val="0"/>
          <w:divBdr>
            <w:top w:val="none" w:sz="0" w:space="0" w:color="auto"/>
            <w:left w:val="none" w:sz="0" w:space="0" w:color="auto"/>
            <w:bottom w:val="none" w:sz="0" w:space="0" w:color="auto"/>
            <w:right w:val="none" w:sz="0" w:space="0" w:color="auto"/>
          </w:divBdr>
        </w:div>
      </w:divsChild>
    </w:div>
    <w:div w:id="1214081092">
      <w:bodyDiv w:val="1"/>
      <w:marLeft w:val="0"/>
      <w:marRight w:val="0"/>
      <w:marTop w:val="0"/>
      <w:marBottom w:val="0"/>
      <w:divBdr>
        <w:top w:val="none" w:sz="0" w:space="0" w:color="auto"/>
        <w:left w:val="none" w:sz="0" w:space="0" w:color="auto"/>
        <w:bottom w:val="none" w:sz="0" w:space="0" w:color="auto"/>
        <w:right w:val="none" w:sz="0" w:space="0" w:color="auto"/>
      </w:divBdr>
      <w:divsChild>
        <w:div w:id="394012879">
          <w:marLeft w:val="720"/>
          <w:marRight w:val="0"/>
          <w:marTop w:val="120"/>
          <w:marBottom w:val="120"/>
          <w:divBdr>
            <w:top w:val="none" w:sz="0" w:space="0" w:color="auto"/>
            <w:left w:val="none" w:sz="0" w:space="0" w:color="auto"/>
            <w:bottom w:val="none" w:sz="0" w:space="0" w:color="auto"/>
            <w:right w:val="none" w:sz="0" w:space="0" w:color="auto"/>
          </w:divBdr>
        </w:div>
        <w:div w:id="1245145123">
          <w:marLeft w:val="720"/>
          <w:marRight w:val="0"/>
          <w:marTop w:val="120"/>
          <w:marBottom w:val="120"/>
          <w:divBdr>
            <w:top w:val="none" w:sz="0" w:space="0" w:color="auto"/>
            <w:left w:val="none" w:sz="0" w:space="0" w:color="auto"/>
            <w:bottom w:val="none" w:sz="0" w:space="0" w:color="auto"/>
            <w:right w:val="none" w:sz="0" w:space="0" w:color="auto"/>
          </w:divBdr>
        </w:div>
        <w:div w:id="750125501">
          <w:marLeft w:val="720"/>
          <w:marRight w:val="0"/>
          <w:marTop w:val="120"/>
          <w:marBottom w:val="120"/>
          <w:divBdr>
            <w:top w:val="none" w:sz="0" w:space="0" w:color="auto"/>
            <w:left w:val="none" w:sz="0" w:space="0" w:color="auto"/>
            <w:bottom w:val="none" w:sz="0" w:space="0" w:color="auto"/>
            <w:right w:val="none" w:sz="0" w:space="0" w:color="auto"/>
          </w:divBdr>
        </w:div>
        <w:div w:id="156262725">
          <w:marLeft w:val="720"/>
          <w:marRight w:val="0"/>
          <w:marTop w:val="120"/>
          <w:marBottom w:val="120"/>
          <w:divBdr>
            <w:top w:val="none" w:sz="0" w:space="0" w:color="auto"/>
            <w:left w:val="none" w:sz="0" w:space="0" w:color="auto"/>
            <w:bottom w:val="none" w:sz="0" w:space="0" w:color="auto"/>
            <w:right w:val="none" w:sz="0" w:space="0" w:color="auto"/>
          </w:divBdr>
        </w:div>
      </w:divsChild>
    </w:div>
    <w:div w:id="1357075396">
      <w:bodyDiv w:val="1"/>
      <w:marLeft w:val="0"/>
      <w:marRight w:val="0"/>
      <w:marTop w:val="0"/>
      <w:marBottom w:val="0"/>
      <w:divBdr>
        <w:top w:val="none" w:sz="0" w:space="0" w:color="auto"/>
        <w:left w:val="none" w:sz="0" w:space="0" w:color="auto"/>
        <w:bottom w:val="none" w:sz="0" w:space="0" w:color="auto"/>
        <w:right w:val="none" w:sz="0" w:space="0" w:color="auto"/>
      </w:divBdr>
      <w:divsChild>
        <w:div w:id="2052076289">
          <w:marLeft w:val="547"/>
          <w:marRight w:val="0"/>
          <w:marTop w:val="120"/>
          <w:marBottom w:val="120"/>
          <w:divBdr>
            <w:top w:val="none" w:sz="0" w:space="0" w:color="auto"/>
            <w:left w:val="none" w:sz="0" w:space="0" w:color="auto"/>
            <w:bottom w:val="none" w:sz="0" w:space="0" w:color="auto"/>
            <w:right w:val="none" w:sz="0" w:space="0" w:color="auto"/>
          </w:divBdr>
        </w:div>
        <w:div w:id="1031765428">
          <w:marLeft w:val="547"/>
          <w:marRight w:val="0"/>
          <w:marTop w:val="120"/>
          <w:marBottom w:val="120"/>
          <w:divBdr>
            <w:top w:val="none" w:sz="0" w:space="0" w:color="auto"/>
            <w:left w:val="none" w:sz="0" w:space="0" w:color="auto"/>
            <w:bottom w:val="none" w:sz="0" w:space="0" w:color="auto"/>
            <w:right w:val="none" w:sz="0" w:space="0" w:color="auto"/>
          </w:divBdr>
        </w:div>
        <w:div w:id="862940338">
          <w:marLeft w:val="547"/>
          <w:marRight w:val="0"/>
          <w:marTop w:val="120"/>
          <w:marBottom w:val="120"/>
          <w:divBdr>
            <w:top w:val="none" w:sz="0" w:space="0" w:color="auto"/>
            <w:left w:val="none" w:sz="0" w:space="0" w:color="auto"/>
            <w:bottom w:val="none" w:sz="0" w:space="0" w:color="auto"/>
            <w:right w:val="none" w:sz="0" w:space="0" w:color="auto"/>
          </w:divBdr>
        </w:div>
        <w:div w:id="669796551">
          <w:marLeft w:val="547"/>
          <w:marRight w:val="0"/>
          <w:marTop w:val="120"/>
          <w:marBottom w:val="120"/>
          <w:divBdr>
            <w:top w:val="none" w:sz="0" w:space="0" w:color="auto"/>
            <w:left w:val="none" w:sz="0" w:space="0" w:color="auto"/>
            <w:bottom w:val="none" w:sz="0" w:space="0" w:color="auto"/>
            <w:right w:val="none" w:sz="0" w:space="0" w:color="auto"/>
          </w:divBdr>
        </w:div>
        <w:div w:id="129594510">
          <w:marLeft w:val="547"/>
          <w:marRight w:val="0"/>
          <w:marTop w:val="120"/>
          <w:marBottom w:val="120"/>
          <w:divBdr>
            <w:top w:val="none" w:sz="0" w:space="0" w:color="auto"/>
            <w:left w:val="none" w:sz="0" w:space="0" w:color="auto"/>
            <w:bottom w:val="none" w:sz="0" w:space="0" w:color="auto"/>
            <w:right w:val="none" w:sz="0" w:space="0" w:color="auto"/>
          </w:divBdr>
        </w:div>
        <w:div w:id="702830083">
          <w:marLeft w:val="547"/>
          <w:marRight w:val="0"/>
          <w:marTop w:val="120"/>
          <w:marBottom w:val="120"/>
          <w:divBdr>
            <w:top w:val="none" w:sz="0" w:space="0" w:color="auto"/>
            <w:left w:val="none" w:sz="0" w:space="0" w:color="auto"/>
            <w:bottom w:val="none" w:sz="0" w:space="0" w:color="auto"/>
            <w:right w:val="none" w:sz="0" w:space="0" w:color="auto"/>
          </w:divBdr>
        </w:div>
        <w:div w:id="2071885424">
          <w:marLeft w:val="547"/>
          <w:marRight w:val="0"/>
          <w:marTop w:val="120"/>
          <w:marBottom w:val="120"/>
          <w:divBdr>
            <w:top w:val="none" w:sz="0" w:space="0" w:color="auto"/>
            <w:left w:val="none" w:sz="0" w:space="0" w:color="auto"/>
            <w:bottom w:val="none" w:sz="0" w:space="0" w:color="auto"/>
            <w:right w:val="none" w:sz="0" w:space="0" w:color="auto"/>
          </w:divBdr>
        </w:div>
      </w:divsChild>
    </w:div>
    <w:div w:id="1501389098">
      <w:bodyDiv w:val="1"/>
      <w:marLeft w:val="0"/>
      <w:marRight w:val="0"/>
      <w:marTop w:val="0"/>
      <w:marBottom w:val="0"/>
      <w:divBdr>
        <w:top w:val="none" w:sz="0" w:space="0" w:color="auto"/>
        <w:left w:val="none" w:sz="0" w:space="0" w:color="auto"/>
        <w:bottom w:val="none" w:sz="0" w:space="0" w:color="auto"/>
        <w:right w:val="none" w:sz="0" w:space="0" w:color="auto"/>
      </w:divBdr>
    </w:div>
    <w:div w:id="1689716378">
      <w:bodyDiv w:val="1"/>
      <w:marLeft w:val="0"/>
      <w:marRight w:val="0"/>
      <w:marTop w:val="0"/>
      <w:marBottom w:val="0"/>
      <w:divBdr>
        <w:top w:val="none" w:sz="0" w:space="0" w:color="auto"/>
        <w:left w:val="none" w:sz="0" w:space="0" w:color="auto"/>
        <w:bottom w:val="none" w:sz="0" w:space="0" w:color="auto"/>
        <w:right w:val="none" w:sz="0" w:space="0" w:color="auto"/>
      </w:divBdr>
    </w:div>
    <w:div w:id="1762599079">
      <w:bodyDiv w:val="1"/>
      <w:marLeft w:val="0"/>
      <w:marRight w:val="0"/>
      <w:marTop w:val="0"/>
      <w:marBottom w:val="0"/>
      <w:divBdr>
        <w:top w:val="none" w:sz="0" w:space="0" w:color="auto"/>
        <w:left w:val="none" w:sz="0" w:space="0" w:color="auto"/>
        <w:bottom w:val="none" w:sz="0" w:space="0" w:color="auto"/>
        <w:right w:val="none" w:sz="0" w:space="0" w:color="auto"/>
      </w:divBdr>
      <w:divsChild>
        <w:div w:id="1963683714">
          <w:marLeft w:val="0"/>
          <w:marRight w:val="0"/>
          <w:marTop w:val="0"/>
          <w:marBottom w:val="0"/>
          <w:divBdr>
            <w:top w:val="none" w:sz="0" w:space="0" w:color="auto"/>
            <w:left w:val="none" w:sz="0" w:space="0" w:color="auto"/>
            <w:bottom w:val="none" w:sz="0" w:space="0" w:color="auto"/>
            <w:right w:val="none" w:sz="0" w:space="0" w:color="auto"/>
          </w:divBdr>
          <w:divsChild>
            <w:div w:id="590896394">
              <w:marLeft w:val="0"/>
              <w:marRight w:val="0"/>
              <w:marTop w:val="0"/>
              <w:marBottom w:val="0"/>
              <w:divBdr>
                <w:top w:val="none" w:sz="0" w:space="0" w:color="auto"/>
                <w:left w:val="none" w:sz="0" w:space="0" w:color="auto"/>
                <w:bottom w:val="none" w:sz="0" w:space="0" w:color="auto"/>
                <w:right w:val="none" w:sz="0" w:space="0" w:color="auto"/>
              </w:divBdr>
              <w:divsChild>
                <w:div w:id="428356846">
                  <w:marLeft w:val="0"/>
                  <w:marRight w:val="0"/>
                  <w:marTop w:val="0"/>
                  <w:marBottom w:val="0"/>
                  <w:divBdr>
                    <w:top w:val="none" w:sz="0" w:space="0" w:color="auto"/>
                    <w:left w:val="none" w:sz="0" w:space="0" w:color="auto"/>
                    <w:bottom w:val="none" w:sz="0" w:space="0" w:color="auto"/>
                    <w:right w:val="none" w:sz="0" w:space="0" w:color="auto"/>
                  </w:divBdr>
                  <w:divsChild>
                    <w:div w:id="2025401074">
                      <w:marLeft w:val="0"/>
                      <w:marRight w:val="0"/>
                      <w:marTop w:val="0"/>
                      <w:marBottom w:val="0"/>
                      <w:divBdr>
                        <w:top w:val="none" w:sz="0" w:space="0" w:color="auto"/>
                        <w:left w:val="none" w:sz="0" w:space="0" w:color="auto"/>
                        <w:bottom w:val="none" w:sz="0" w:space="0" w:color="auto"/>
                        <w:right w:val="none" w:sz="0" w:space="0" w:color="auto"/>
                      </w:divBdr>
                      <w:divsChild>
                        <w:div w:id="627126819">
                          <w:marLeft w:val="0"/>
                          <w:marRight w:val="0"/>
                          <w:marTop w:val="0"/>
                          <w:marBottom w:val="0"/>
                          <w:divBdr>
                            <w:top w:val="none" w:sz="0" w:space="0" w:color="auto"/>
                            <w:left w:val="none" w:sz="0" w:space="0" w:color="auto"/>
                            <w:bottom w:val="none" w:sz="0" w:space="0" w:color="auto"/>
                            <w:right w:val="none" w:sz="0" w:space="0" w:color="auto"/>
                          </w:divBdr>
                          <w:divsChild>
                            <w:div w:id="12503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4693">
      <w:bodyDiv w:val="1"/>
      <w:marLeft w:val="0"/>
      <w:marRight w:val="0"/>
      <w:marTop w:val="0"/>
      <w:marBottom w:val="0"/>
      <w:divBdr>
        <w:top w:val="none" w:sz="0" w:space="0" w:color="auto"/>
        <w:left w:val="none" w:sz="0" w:space="0" w:color="auto"/>
        <w:bottom w:val="none" w:sz="0" w:space="0" w:color="auto"/>
        <w:right w:val="none" w:sz="0" w:space="0" w:color="auto"/>
      </w:divBdr>
      <w:divsChild>
        <w:div w:id="1258559664">
          <w:marLeft w:val="720"/>
          <w:marRight w:val="0"/>
          <w:marTop w:val="0"/>
          <w:marBottom w:val="0"/>
          <w:divBdr>
            <w:top w:val="none" w:sz="0" w:space="0" w:color="auto"/>
            <w:left w:val="none" w:sz="0" w:space="0" w:color="auto"/>
            <w:bottom w:val="none" w:sz="0" w:space="0" w:color="auto"/>
            <w:right w:val="none" w:sz="0" w:space="0" w:color="auto"/>
          </w:divBdr>
        </w:div>
        <w:div w:id="2143572806">
          <w:marLeft w:val="720"/>
          <w:marRight w:val="0"/>
          <w:marTop w:val="0"/>
          <w:marBottom w:val="0"/>
          <w:divBdr>
            <w:top w:val="none" w:sz="0" w:space="0" w:color="auto"/>
            <w:left w:val="none" w:sz="0" w:space="0" w:color="auto"/>
            <w:bottom w:val="none" w:sz="0" w:space="0" w:color="auto"/>
            <w:right w:val="none" w:sz="0" w:space="0" w:color="auto"/>
          </w:divBdr>
        </w:div>
        <w:div w:id="1481535516">
          <w:marLeft w:val="720"/>
          <w:marRight w:val="0"/>
          <w:marTop w:val="0"/>
          <w:marBottom w:val="0"/>
          <w:divBdr>
            <w:top w:val="none" w:sz="0" w:space="0" w:color="auto"/>
            <w:left w:val="none" w:sz="0" w:space="0" w:color="auto"/>
            <w:bottom w:val="none" w:sz="0" w:space="0" w:color="auto"/>
            <w:right w:val="none" w:sz="0" w:space="0" w:color="auto"/>
          </w:divBdr>
        </w:div>
        <w:div w:id="887380094">
          <w:marLeft w:val="720"/>
          <w:marRight w:val="0"/>
          <w:marTop w:val="0"/>
          <w:marBottom w:val="0"/>
          <w:divBdr>
            <w:top w:val="none" w:sz="0" w:space="0" w:color="auto"/>
            <w:left w:val="none" w:sz="0" w:space="0" w:color="auto"/>
            <w:bottom w:val="none" w:sz="0" w:space="0" w:color="auto"/>
            <w:right w:val="none" w:sz="0" w:space="0" w:color="auto"/>
          </w:divBdr>
        </w:div>
      </w:divsChild>
    </w:div>
    <w:div w:id="1924993469">
      <w:bodyDiv w:val="1"/>
      <w:marLeft w:val="0"/>
      <w:marRight w:val="0"/>
      <w:marTop w:val="0"/>
      <w:marBottom w:val="0"/>
      <w:divBdr>
        <w:top w:val="none" w:sz="0" w:space="0" w:color="auto"/>
        <w:left w:val="none" w:sz="0" w:space="0" w:color="auto"/>
        <w:bottom w:val="none" w:sz="0" w:space="0" w:color="auto"/>
        <w:right w:val="none" w:sz="0" w:space="0" w:color="auto"/>
      </w:divBdr>
    </w:div>
    <w:div w:id="1934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fficial.Mail@iaea.org" TargetMode="External"/><Relationship Id="rId18" Type="http://schemas.openxmlformats.org/officeDocument/2006/relationships/hyperlink" Target="mailto:URAM2018@iaea.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aea.org/events/uram-2018" TargetMode="External"/><Relationship Id="rId7" Type="http://schemas.openxmlformats.org/officeDocument/2006/relationships/endnotes" Target="endnotes.xml"/><Relationship Id="rId12" Type="http://schemas.openxmlformats.org/officeDocument/2006/relationships/hyperlink" Target="mailto:Official.Mail@iaea.org" TargetMode="External"/><Relationship Id="rId17" Type="http://schemas.openxmlformats.org/officeDocument/2006/relationships/hyperlink" Target="mailto:official.mail@iae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urovisa.info/SchengenCountries.htm" TargetMode="External"/><Relationship Id="rId20" Type="http://schemas.openxmlformats.org/officeDocument/2006/relationships/hyperlink" Target="mailto:J.Zellinger@iae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ial.Mail@iae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TouchPlus.Contact-Point@iaea.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URAM2018@iaea.org" TargetMode="External"/><Relationship Id="rId19" Type="http://schemas.openxmlformats.org/officeDocument/2006/relationships/hyperlink" Target="mailto:URAM2018@iaea.org" TargetMode="External"/><Relationship Id="rId4" Type="http://schemas.openxmlformats.org/officeDocument/2006/relationships/settings" Target="settings.xml"/><Relationship Id="rId9" Type="http://schemas.openxmlformats.org/officeDocument/2006/relationships/hyperlink" Target="mailto:official.mail@iaea.org" TargetMode="External"/><Relationship Id="rId14" Type="http://schemas.openxmlformats.org/officeDocument/2006/relationships/hyperlink" Target="https://intouchplus.iaea.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A3AF-F144-429D-89CE-E8F080DB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10</Pages>
  <Words>2869</Words>
  <Characters>16359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19190</CharactersWithSpaces>
  <SharedDoc>false</SharedDoc>
  <HLinks>
    <vt:vector size="30" baseType="variant">
      <vt:variant>
        <vt:i4>5505029</vt:i4>
      </vt:variant>
      <vt:variant>
        <vt:i4>12</vt:i4>
      </vt:variant>
      <vt:variant>
        <vt:i4>0</vt:i4>
      </vt:variant>
      <vt:variant>
        <vt:i4>5</vt:i4>
      </vt:variant>
      <vt:variant>
        <vt:lpwstr>http://www-pub.iaea.org/MTCD/Meetings/Announcements.asp?ConfID=41982</vt:lpwstr>
      </vt:variant>
      <vt:variant>
        <vt:lpwstr/>
      </vt:variant>
      <vt:variant>
        <vt:i4>4849717</vt:i4>
      </vt:variant>
      <vt:variant>
        <vt:i4>9</vt:i4>
      </vt:variant>
      <vt:variant>
        <vt:i4>0</vt:i4>
      </vt:variant>
      <vt:variant>
        <vt:i4>5</vt:i4>
      </vt:variant>
      <vt:variant>
        <vt:lpwstr>mailto:m.khaelss@iaea.org</vt:lpwstr>
      </vt:variant>
      <vt:variant>
        <vt:lpwstr/>
      </vt:variant>
      <vt:variant>
        <vt:i4>3866694</vt:i4>
      </vt:variant>
      <vt:variant>
        <vt:i4>6</vt:i4>
      </vt:variant>
      <vt:variant>
        <vt:i4>0</vt:i4>
      </vt:variant>
      <vt:variant>
        <vt:i4>5</vt:i4>
      </vt:variant>
      <vt:variant>
        <vt:lpwstr>mailto:e.liszka@iaea.org</vt:lpwstr>
      </vt:variant>
      <vt:variant>
        <vt:lpwstr/>
      </vt:variant>
      <vt:variant>
        <vt:i4>3604511</vt:i4>
      </vt:variant>
      <vt:variant>
        <vt:i4>3</vt:i4>
      </vt:variant>
      <vt:variant>
        <vt:i4>0</vt:i4>
      </vt:variant>
      <vt:variant>
        <vt:i4>5</vt:i4>
      </vt:variant>
      <vt:variant>
        <vt:lpwstr>mailto:k-s.kang@iaea.org</vt:lpwstr>
      </vt:variant>
      <vt:variant>
        <vt:lpwstr/>
      </vt:variant>
      <vt:variant>
        <vt:i4>3342363</vt:i4>
      </vt:variant>
      <vt:variant>
        <vt:i4>0</vt:i4>
      </vt:variant>
      <vt:variant>
        <vt:i4>0</vt:i4>
      </vt:variant>
      <vt:variant>
        <vt:i4>5</vt:i4>
      </vt:variant>
      <vt:variant>
        <vt:lpwstr>mailto:plim@iaea.org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WU, Fan</dc:creator>
  <cp:lastModifiedBy>JOS, Shaju</cp:lastModifiedBy>
  <cp:revision>2</cp:revision>
  <cp:lastPrinted>2017-06-20T16:12:00Z</cp:lastPrinted>
  <dcterms:created xsi:type="dcterms:W3CDTF">2017-12-04T14:42:00Z</dcterms:created>
  <dcterms:modified xsi:type="dcterms:W3CDTF">2017-12-04T14:42:00Z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