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FE0" w:rsidRPr="008E5EBB" w:rsidRDefault="004103BD" w:rsidP="00AE2E9B">
      <w:pPr>
        <w:pStyle w:val="BodyText"/>
        <w:jc w:val="center"/>
      </w:pPr>
      <w:bookmarkStart w:id="0" w:name="_GoBack"/>
      <w:bookmarkEnd w:id="0"/>
      <w:r w:rsidRPr="008E5EBB">
        <w:rPr>
          <w:rFonts w:asciiTheme="minorHAnsi" w:hAnsiTheme="minorHAnsi" w:cstheme="minorHAnsi"/>
          <w:noProof/>
          <w:lang w:eastAsia="en-GB"/>
        </w:rPr>
        <w:drawing>
          <wp:inline distT="0" distB="0" distL="0" distR="0" wp14:anchorId="6B3308A8" wp14:editId="1FE00E0B">
            <wp:extent cx="1486800" cy="113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t-Logo-E_vertical_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6800" cy="1130400"/>
                    </a:xfrm>
                    <a:prstGeom prst="rect">
                      <a:avLst/>
                    </a:prstGeom>
                  </pic:spPr>
                </pic:pic>
              </a:graphicData>
            </a:graphic>
          </wp:inline>
        </w:drawing>
      </w:r>
    </w:p>
    <w:p w:rsidR="008E5EBB" w:rsidRPr="008E5EBB" w:rsidRDefault="004A3BA6" w:rsidP="008E5EBB">
      <w:pPr>
        <w:pStyle w:val="Title"/>
        <w:spacing w:before="120" w:after="120"/>
        <w:rPr>
          <w:bCs w:val="0"/>
        </w:rPr>
      </w:pPr>
      <w:r w:rsidRPr="008E5EBB">
        <w:rPr>
          <w:bCs w:val="0"/>
        </w:rPr>
        <w:t xml:space="preserve">International Conference </w:t>
      </w:r>
      <w:r w:rsidR="004103BD" w:rsidRPr="008E5EBB">
        <w:rPr>
          <w:bCs w:val="0"/>
        </w:rPr>
        <w:t>on</w:t>
      </w:r>
      <w:r w:rsidR="008E5EBB" w:rsidRPr="008E5EBB">
        <w:rPr>
          <w:bCs w:val="0"/>
        </w:rPr>
        <w:t xml:space="preserve"> </w:t>
      </w:r>
      <w:r w:rsidRPr="008E5EBB">
        <w:rPr>
          <w:bCs w:val="0"/>
        </w:rPr>
        <w:t>Nuclear Security</w:t>
      </w:r>
      <w:r w:rsidR="009E56BB" w:rsidRPr="008E5EBB">
        <w:rPr>
          <w:bCs w:val="0"/>
        </w:rPr>
        <w:t>:</w:t>
      </w:r>
    </w:p>
    <w:p w:rsidR="007D24AD" w:rsidRPr="008E5EBB" w:rsidRDefault="009E56BB" w:rsidP="008E5EBB">
      <w:pPr>
        <w:pStyle w:val="Title"/>
        <w:spacing w:before="120" w:after="120"/>
        <w:rPr>
          <w:bCs w:val="0"/>
        </w:rPr>
      </w:pPr>
      <w:r w:rsidRPr="008E5EBB">
        <w:rPr>
          <w:bCs w:val="0"/>
        </w:rPr>
        <w:t>Commitments and Actions</w:t>
      </w:r>
    </w:p>
    <w:p w:rsidR="00733D7D" w:rsidRPr="00620084" w:rsidRDefault="00733D7D" w:rsidP="00620084">
      <w:pPr>
        <w:pStyle w:val="Subtitle"/>
        <w:spacing w:before="0" w:after="0" w:line="276" w:lineRule="auto"/>
        <w:rPr>
          <w:sz w:val="24"/>
          <w:lang w:val="en-GB"/>
        </w:rPr>
      </w:pPr>
    </w:p>
    <w:p w:rsidR="00E54402" w:rsidRPr="00496659" w:rsidRDefault="00E54402" w:rsidP="00496659">
      <w:pPr>
        <w:overflowPunct/>
        <w:spacing w:line="276" w:lineRule="auto"/>
        <w:jc w:val="center"/>
        <w:textAlignment w:val="auto"/>
        <w:rPr>
          <w:b/>
          <w:bCs/>
          <w:sz w:val="24"/>
          <w:lang w:eastAsia="en-GB"/>
        </w:rPr>
      </w:pPr>
      <w:r w:rsidRPr="00496659">
        <w:rPr>
          <w:b/>
          <w:bCs/>
          <w:sz w:val="24"/>
          <w:szCs w:val="24"/>
          <w:lang w:eastAsia="en-GB"/>
        </w:rPr>
        <w:t>Organized by the</w:t>
      </w:r>
    </w:p>
    <w:p w:rsidR="00E54402" w:rsidRPr="008E5EBB" w:rsidRDefault="00E54402" w:rsidP="00496659">
      <w:pPr>
        <w:pStyle w:val="Subtitle"/>
        <w:spacing w:before="0" w:after="0" w:line="276" w:lineRule="auto"/>
        <w:rPr>
          <w:b w:val="0"/>
          <w:lang w:val="en-GB"/>
        </w:rPr>
      </w:pPr>
      <w:r w:rsidRPr="008E5EBB">
        <w:rPr>
          <w:b w:val="0"/>
          <w:lang w:val="en-GB"/>
        </w:rPr>
        <w:t>International Atomic Energy Agency</w:t>
      </w:r>
    </w:p>
    <w:p w:rsidR="00E54402" w:rsidRPr="00620084" w:rsidRDefault="00E54402" w:rsidP="00620084">
      <w:pPr>
        <w:pStyle w:val="Subtitle"/>
        <w:spacing w:before="0" w:after="0" w:line="276" w:lineRule="auto"/>
        <w:rPr>
          <w:sz w:val="24"/>
          <w:lang w:val="en-GB"/>
        </w:rPr>
      </w:pPr>
    </w:p>
    <w:p w:rsidR="00E54402" w:rsidRPr="00496659" w:rsidRDefault="00E54402" w:rsidP="00496659">
      <w:pPr>
        <w:overflowPunct/>
        <w:spacing w:line="276" w:lineRule="auto"/>
        <w:jc w:val="center"/>
        <w:textAlignment w:val="auto"/>
        <w:rPr>
          <w:b/>
          <w:bCs/>
          <w:sz w:val="24"/>
          <w:lang w:eastAsia="en-GB"/>
        </w:rPr>
      </w:pPr>
      <w:proofErr w:type="gramStart"/>
      <w:r w:rsidRPr="00496659">
        <w:rPr>
          <w:b/>
          <w:bCs/>
          <w:sz w:val="24"/>
          <w:szCs w:val="24"/>
          <w:lang w:eastAsia="en-GB"/>
        </w:rPr>
        <w:t>in</w:t>
      </w:r>
      <w:proofErr w:type="gramEnd"/>
      <w:r w:rsidRPr="00496659">
        <w:rPr>
          <w:b/>
          <w:bCs/>
          <w:sz w:val="24"/>
          <w:szCs w:val="24"/>
          <w:lang w:eastAsia="en-GB"/>
        </w:rPr>
        <w:t xml:space="preserve"> cooperation with</w:t>
      </w:r>
    </w:p>
    <w:p w:rsidR="00E54402" w:rsidRPr="00620084" w:rsidRDefault="00E54402" w:rsidP="00496659">
      <w:pPr>
        <w:pStyle w:val="Subtitle"/>
        <w:spacing w:before="0" w:after="0" w:line="276" w:lineRule="auto"/>
        <w:rPr>
          <w:b w:val="0"/>
          <w:bCs/>
          <w:sz w:val="26"/>
          <w:szCs w:val="26"/>
          <w:lang w:val="en-GB"/>
        </w:rPr>
      </w:pPr>
      <w:r w:rsidRPr="00620084">
        <w:rPr>
          <w:b w:val="0"/>
          <w:bCs/>
          <w:sz w:val="26"/>
          <w:szCs w:val="26"/>
          <w:lang w:val="en-GB"/>
        </w:rPr>
        <w:t>European Police Office (Europol)</w:t>
      </w:r>
    </w:p>
    <w:p w:rsidR="00E54402" w:rsidRPr="00620084" w:rsidRDefault="00E54402" w:rsidP="00496659">
      <w:pPr>
        <w:pStyle w:val="Subtitle"/>
        <w:spacing w:before="0" w:after="0" w:line="276" w:lineRule="auto"/>
        <w:rPr>
          <w:b w:val="0"/>
          <w:bCs/>
          <w:sz w:val="26"/>
          <w:szCs w:val="26"/>
          <w:lang w:val="en-GB"/>
        </w:rPr>
      </w:pPr>
      <w:r w:rsidRPr="00620084">
        <w:rPr>
          <w:b w:val="0"/>
          <w:bCs/>
          <w:sz w:val="26"/>
          <w:szCs w:val="26"/>
          <w:lang w:val="en-GB"/>
        </w:rPr>
        <w:t>European Union (EU)</w:t>
      </w:r>
    </w:p>
    <w:p w:rsidR="00E54402" w:rsidRPr="00620084" w:rsidRDefault="00E54402" w:rsidP="00496659">
      <w:pPr>
        <w:pStyle w:val="Subtitle"/>
        <w:spacing w:before="0" w:after="0" w:line="276" w:lineRule="auto"/>
        <w:rPr>
          <w:b w:val="0"/>
          <w:bCs/>
          <w:sz w:val="26"/>
          <w:szCs w:val="26"/>
          <w:lang w:val="en-GB"/>
        </w:rPr>
      </w:pPr>
      <w:r w:rsidRPr="00620084">
        <w:rPr>
          <w:b w:val="0"/>
          <w:bCs/>
          <w:sz w:val="26"/>
          <w:szCs w:val="26"/>
          <w:lang w:val="en-GB"/>
        </w:rPr>
        <w:t>Global Initiative to Combat Nuclear Terrorism (GICNT)</w:t>
      </w:r>
    </w:p>
    <w:p w:rsidR="00620084" w:rsidRPr="00620084" w:rsidRDefault="00620084" w:rsidP="00C95F12">
      <w:pPr>
        <w:pStyle w:val="Subtitle"/>
        <w:spacing w:before="0" w:after="0" w:line="276" w:lineRule="auto"/>
        <w:rPr>
          <w:b w:val="0"/>
          <w:bCs/>
          <w:sz w:val="26"/>
          <w:szCs w:val="26"/>
          <w:lang w:val="en-GB"/>
        </w:rPr>
      </w:pPr>
      <w:r w:rsidRPr="00620084">
        <w:rPr>
          <w:b w:val="0"/>
          <w:bCs/>
          <w:sz w:val="26"/>
          <w:szCs w:val="26"/>
          <w:lang w:val="en-GB"/>
        </w:rPr>
        <w:t>Institute for Nuclear Material Management (INMM)</w:t>
      </w:r>
    </w:p>
    <w:p w:rsidR="00C95F12" w:rsidRPr="00620084" w:rsidRDefault="00C95F12" w:rsidP="00C95F12">
      <w:pPr>
        <w:pStyle w:val="Subtitle"/>
        <w:spacing w:before="0" w:after="0" w:line="276" w:lineRule="auto"/>
        <w:rPr>
          <w:b w:val="0"/>
          <w:bCs/>
          <w:sz w:val="26"/>
          <w:szCs w:val="26"/>
          <w:lang w:val="en-GB"/>
        </w:rPr>
      </w:pPr>
      <w:r w:rsidRPr="00620084">
        <w:rPr>
          <w:b w:val="0"/>
          <w:bCs/>
          <w:sz w:val="26"/>
          <w:szCs w:val="26"/>
          <w:lang w:val="en-GB"/>
        </w:rPr>
        <w:t>International Criminal Police Organization – INTERPOL</w:t>
      </w:r>
    </w:p>
    <w:p w:rsidR="00E54402" w:rsidRPr="00620084" w:rsidRDefault="00E54402" w:rsidP="00496659">
      <w:pPr>
        <w:pStyle w:val="Subtitle"/>
        <w:spacing w:before="0" w:after="0" w:line="276" w:lineRule="auto"/>
        <w:rPr>
          <w:b w:val="0"/>
          <w:bCs/>
          <w:sz w:val="26"/>
          <w:szCs w:val="26"/>
          <w:lang w:val="en-GB"/>
        </w:rPr>
      </w:pPr>
      <w:r w:rsidRPr="00620084">
        <w:rPr>
          <w:b w:val="0"/>
          <w:bCs/>
          <w:sz w:val="26"/>
          <w:szCs w:val="26"/>
          <w:lang w:val="en-GB"/>
        </w:rPr>
        <w:t xml:space="preserve">International </w:t>
      </w:r>
      <w:proofErr w:type="spellStart"/>
      <w:r w:rsidRPr="00620084">
        <w:rPr>
          <w:b w:val="0"/>
          <w:bCs/>
          <w:sz w:val="26"/>
          <w:szCs w:val="26"/>
          <w:lang w:val="en-GB"/>
        </w:rPr>
        <w:t>Electrotechnical</w:t>
      </w:r>
      <w:proofErr w:type="spellEnd"/>
      <w:r w:rsidRPr="00620084">
        <w:rPr>
          <w:b w:val="0"/>
          <w:bCs/>
          <w:sz w:val="26"/>
          <w:szCs w:val="26"/>
          <w:lang w:val="en-GB"/>
        </w:rPr>
        <w:t xml:space="preserve"> Commission (IEC)</w:t>
      </w:r>
    </w:p>
    <w:p w:rsidR="00E54402" w:rsidRPr="00620084" w:rsidRDefault="00E54402" w:rsidP="00496659">
      <w:pPr>
        <w:pStyle w:val="Subtitle"/>
        <w:spacing w:before="0" w:after="0" w:line="276" w:lineRule="auto"/>
        <w:rPr>
          <w:b w:val="0"/>
          <w:bCs/>
          <w:sz w:val="26"/>
          <w:szCs w:val="26"/>
          <w:lang w:val="en-GB"/>
        </w:rPr>
      </w:pPr>
      <w:r w:rsidRPr="00620084">
        <w:rPr>
          <w:b w:val="0"/>
          <w:bCs/>
          <w:sz w:val="26"/>
          <w:szCs w:val="26"/>
          <w:lang w:val="en-GB"/>
        </w:rPr>
        <w:t>International Telecommunication Union (ITU)</w:t>
      </w:r>
    </w:p>
    <w:p w:rsidR="00E54402" w:rsidRPr="00620084" w:rsidRDefault="00E54402" w:rsidP="00496659">
      <w:pPr>
        <w:pStyle w:val="Subtitle"/>
        <w:spacing w:before="0" w:after="0" w:line="276" w:lineRule="auto"/>
        <w:rPr>
          <w:b w:val="0"/>
          <w:bCs/>
          <w:sz w:val="26"/>
          <w:szCs w:val="26"/>
          <w:lang w:val="en-GB"/>
        </w:rPr>
      </w:pPr>
      <w:r w:rsidRPr="00620084">
        <w:rPr>
          <w:b w:val="0"/>
          <w:bCs/>
          <w:sz w:val="26"/>
          <w:szCs w:val="26"/>
          <w:lang w:val="en-GB"/>
        </w:rPr>
        <w:t>Nuclear Forensics International Technical Working Group (ITWG)</w:t>
      </w:r>
    </w:p>
    <w:p w:rsidR="00620084" w:rsidRPr="00620084" w:rsidRDefault="00620084" w:rsidP="00496659">
      <w:pPr>
        <w:pStyle w:val="Subtitle"/>
        <w:spacing w:before="0" w:after="0" w:line="276" w:lineRule="auto"/>
        <w:rPr>
          <w:b w:val="0"/>
          <w:bCs/>
          <w:sz w:val="26"/>
          <w:szCs w:val="26"/>
          <w:lang w:val="en-GB"/>
        </w:rPr>
      </w:pPr>
      <w:r w:rsidRPr="00620084">
        <w:rPr>
          <w:b w:val="0"/>
          <w:bCs/>
          <w:sz w:val="26"/>
          <w:szCs w:val="26"/>
          <w:lang w:val="en-GB"/>
        </w:rPr>
        <w:t>Nuclear Threat Initiative (NTI)</w:t>
      </w:r>
    </w:p>
    <w:p w:rsidR="00E54402" w:rsidRPr="00620084" w:rsidRDefault="00E54402" w:rsidP="00496659">
      <w:pPr>
        <w:pStyle w:val="Subtitle"/>
        <w:spacing w:before="0" w:after="0" w:line="276" w:lineRule="auto"/>
        <w:rPr>
          <w:b w:val="0"/>
          <w:bCs/>
          <w:sz w:val="26"/>
          <w:szCs w:val="26"/>
          <w:lang w:val="en-GB"/>
        </w:rPr>
      </w:pPr>
      <w:r w:rsidRPr="00620084">
        <w:rPr>
          <w:b w:val="0"/>
          <w:bCs/>
          <w:sz w:val="26"/>
          <w:szCs w:val="26"/>
          <w:lang w:val="en-GB"/>
        </w:rPr>
        <w:t>Organization for Security and Cooperation in Europe (OSCE)</w:t>
      </w:r>
    </w:p>
    <w:p w:rsidR="00E54402" w:rsidRPr="00620084" w:rsidRDefault="00E54402" w:rsidP="00E54402">
      <w:pPr>
        <w:pStyle w:val="Subtitle"/>
        <w:spacing w:before="0" w:after="0" w:line="276" w:lineRule="auto"/>
        <w:rPr>
          <w:b w:val="0"/>
          <w:bCs/>
          <w:sz w:val="26"/>
          <w:szCs w:val="26"/>
          <w:lang w:val="en-GB"/>
        </w:rPr>
      </w:pPr>
      <w:r w:rsidRPr="00620084">
        <w:rPr>
          <w:b w:val="0"/>
          <w:bCs/>
          <w:sz w:val="26"/>
          <w:szCs w:val="26"/>
          <w:lang w:val="en-GB"/>
        </w:rPr>
        <w:t>Police Community of the Americas (AMERIPOL)</w:t>
      </w:r>
    </w:p>
    <w:p w:rsidR="00E54402" w:rsidRPr="00620084" w:rsidRDefault="00E54402" w:rsidP="00496659">
      <w:pPr>
        <w:pStyle w:val="Subtitle"/>
        <w:spacing w:before="0" w:after="0" w:line="276" w:lineRule="auto"/>
        <w:rPr>
          <w:b w:val="0"/>
          <w:bCs/>
          <w:sz w:val="26"/>
          <w:szCs w:val="26"/>
          <w:lang w:val="en-GB"/>
        </w:rPr>
      </w:pPr>
      <w:r w:rsidRPr="00620084">
        <w:rPr>
          <w:b w:val="0"/>
          <w:bCs/>
          <w:sz w:val="26"/>
          <w:szCs w:val="26"/>
          <w:lang w:val="en-GB"/>
        </w:rPr>
        <w:t>United Nations Office of Disarmament Affairs (UNODA)</w:t>
      </w:r>
    </w:p>
    <w:p w:rsidR="00E54402" w:rsidRPr="00620084" w:rsidRDefault="00E54402" w:rsidP="00496659">
      <w:pPr>
        <w:pStyle w:val="Subtitle"/>
        <w:spacing w:before="0" w:after="0" w:line="276" w:lineRule="auto"/>
        <w:rPr>
          <w:b w:val="0"/>
          <w:bCs/>
          <w:sz w:val="26"/>
          <w:szCs w:val="26"/>
          <w:lang w:val="en-GB"/>
        </w:rPr>
      </w:pPr>
      <w:r w:rsidRPr="00620084">
        <w:rPr>
          <w:b w:val="0"/>
          <w:bCs/>
          <w:sz w:val="26"/>
          <w:szCs w:val="26"/>
          <w:lang w:val="en-GB"/>
        </w:rPr>
        <w:t>United Nations Office o</w:t>
      </w:r>
      <w:r w:rsidR="00ED2CAD" w:rsidRPr="00620084">
        <w:rPr>
          <w:b w:val="0"/>
          <w:bCs/>
          <w:sz w:val="26"/>
          <w:szCs w:val="26"/>
          <w:lang w:val="en-GB"/>
        </w:rPr>
        <w:t>n</w:t>
      </w:r>
      <w:r w:rsidRPr="00620084">
        <w:rPr>
          <w:b w:val="0"/>
          <w:bCs/>
          <w:sz w:val="26"/>
          <w:szCs w:val="26"/>
          <w:lang w:val="en-GB"/>
        </w:rPr>
        <w:t xml:space="preserve"> Drugs and Crime (UNODC)</w:t>
      </w:r>
    </w:p>
    <w:p w:rsidR="00537DD2" w:rsidRPr="00620084" w:rsidRDefault="00537DD2" w:rsidP="00496659">
      <w:pPr>
        <w:pStyle w:val="Subtitle"/>
        <w:spacing w:before="0" w:after="0" w:line="276" w:lineRule="auto"/>
        <w:rPr>
          <w:b w:val="0"/>
          <w:bCs/>
          <w:sz w:val="26"/>
          <w:szCs w:val="26"/>
          <w:lang w:val="en-GB"/>
        </w:rPr>
      </w:pPr>
      <w:r w:rsidRPr="00620084">
        <w:rPr>
          <w:b w:val="0"/>
          <w:bCs/>
          <w:sz w:val="26"/>
          <w:szCs w:val="26"/>
          <w:lang w:val="en-GB"/>
        </w:rPr>
        <w:t>UNSCR1540 Committee</w:t>
      </w:r>
    </w:p>
    <w:p w:rsidR="00E54402" w:rsidRPr="00620084" w:rsidRDefault="00E54402" w:rsidP="00496659">
      <w:pPr>
        <w:pStyle w:val="Subtitle"/>
        <w:spacing w:before="0" w:after="0" w:line="276" w:lineRule="auto"/>
        <w:rPr>
          <w:b w:val="0"/>
          <w:bCs/>
          <w:sz w:val="26"/>
          <w:szCs w:val="26"/>
          <w:lang w:val="en-GB"/>
        </w:rPr>
      </w:pPr>
      <w:r w:rsidRPr="00620084">
        <w:rPr>
          <w:b w:val="0"/>
          <w:bCs/>
          <w:sz w:val="26"/>
          <w:szCs w:val="26"/>
          <w:lang w:val="en-GB"/>
        </w:rPr>
        <w:t>World Customs Organization (WCO)</w:t>
      </w:r>
    </w:p>
    <w:p w:rsidR="00E54402" w:rsidRPr="00620084" w:rsidRDefault="00E54402" w:rsidP="00496659">
      <w:pPr>
        <w:pStyle w:val="Subtitle"/>
        <w:spacing w:before="0" w:after="0" w:line="276" w:lineRule="auto"/>
        <w:rPr>
          <w:b w:val="0"/>
          <w:bCs/>
          <w:sz w:val="26"/>
          <w:szCs w:val="26"/>
          <w:lang w:val="en-GB"/>
        </w:rPr>
      </w:pPr>
      <w:r w:rsidRPr="00620084">
        <w:rPr>
          <w:b w:val="0"/>
          <w:bCs/>
          <w:sz w:val="26"/>
          <w:szCs w:val="26"/>
          <w:lang w:val="en-GB"/>
        </w:rPr>
        <w:t>World Nuclear Transport Institute (WNTI)</w:t>
      </w:r>
    </w:p>
    <w:p w:rsidR="00E54402" w:rsidRPr="00620084" w:rsidRDefault="00E54402" w:rsidP="00253BFC">
      <w:pPr>
        <w:pStyle w:val="BodyText"/>
        <w:jc w:val="center"/>
        <w:rPr>
          <w:iCs/>
          <w:sz w:val="24"/>
          <w:szCs w:val="24"/>
        </w:rPr>
      </w:pPr>
    </w:p>
    <w:p w:rsidR="008E5EBB" w:rsidRPr="00496659" w:rsidRDefault="008E5EBB" w:rsidP="00496659">
      <w:pPr>
        <w:pStyle w:val="Subtitle"/>
        <w:spacing w:before="0" w:after="0" w:line="276" w:lineRule="auto"/>
      </w:pPr>
      <w:r w:rsidRPr="00496659">
        <w:rPr>
          <w:lang w:val="en-GB"/>
        </w:rPr>
        <w:t>IAEA Headquarters</w:t>
      </w:r>
    </w:p>
    <w:p w:rsidR="00E448E2" w:rsidRPr="008E5EBB" w:rsidRDefault="007229F8" w:rsidP="00496659">
      <w:pPr>
        <w:pStyle w:val="Subtitle"/>
        <w:spacing w:before="0" w:after="0" w:line="276" w:lineRule="auto"/>
        <w:rPr>
          <w:lang w:val="en-GB"/>
        </w:rPr>
      </w:pPr>
      <w:r w:rsidRPr="008E5EBB">
        <w:rPr>
          <w:lang w:val="en-GB"/>
        </w:rPr>
        <w:t>Vienna, Austria</w:t>
      </w:r>
    </w:p>
    <w:p w:rsidR="008E5EBB" w:rsidRPr="00620084" w:rsidRDefault="008E5EBB" w:rsidP="00496659">
      <w:pPr>
        <w:pStyle w:val="Subtitle"/>
        <w:spacing w:before="0" w:after="0" w:line="276" w:lineRule="auto"/>
        <w:rPr>
          <w:sz w:val="24"/>
          <w:lang w:val="en-GB"/>
        </w:rPr>
      </w:pPr>
    </w:p>
    <w:p w:rsidR="00733D7D" w:rsidRPr="008E5EBB" w:rsidRDefault="009E56BB" w:rsidP="00496659">
      <w:pPr>
        <w:pStyle w:val="Subtitle"/>
        <w:spacing w:before="0" w:after="0" w:line="276" w:lineRule="auto"/>
        <w:rPr>
          <w:lang w:val="en-GB"/>
        </w:rPr>
      </w:pPr>
      <w:r w:rsidRPr="008E5EBB">
        <w:rPr>
          <w:lang w:val="en-GB"/>
        </w:rPr>
        <w:t>5</w:t>
      </w:r>
      <w:r w:rsidR="00C6195D" w:rsidRPr="008E5EBB">
        <w:rPr>
          <w:lang w:val="en-GB"/>
        </w:rPr>
        <w:t>–</w:t>
      </w:r>
      <w:r w:rsidRPr="008E5EBB">
        <w:rPr>
          <w:lang w:val="en-GB"/>
        </w:rPr>
        <w:t>9 December 2016</w:t>
      </w:r>
    </w:p>
    <w:p w:rsidR="00A63C62" w:rsidRPr="00620084" w:rsidRDefault="00A63C62" w:rsidP="00496659">
      <w:pPr>
        <w:pStyle w:val="Subtitle"/>
        <w:spacing w:before="0" w:after="0" w:line="276" w:lineRule="auto"/>
        <w:rPr>
          <w:sz w:val="24"/>
          <w:lang w:val="en-GB"/>
        </w:rPr>
      </w:pPr>
    </w:p>
    <w:p w:rsidR="00A63C62" w:rsidRPr="00496659" w:rsidRDefault="00A63C62" w:rsidP="00496659">
      <w:pPr>
        <w:pStyle w:val="Subtitle"/>
        <w:spacing w:before="0" w:after="0" w:line="276" w:lineRule="auto"/>
        <w:rPr>
          <w:sz w:val="24"/>
          <w:lang w:val="en-GB"/>
        </w:rPr>
      </w:pPr>
      <w:r w:rsidRPr="00496659">
        <w:rPr>
          <w:sz w:val="24"/>
          <w:lang w:val="en-GB"/>
        </w:rPr>
        <w:t>Ministerial Segment</w:t>
      </w:r>
    </w:p>
    <w:p w:rsidR="00A63C62" w:rsidRDefault="00A63C62" w:rsidP="00496659">
      <w:pPr>
        <w:pStyle w:val="Subtitle"/>
        <w:spacing w:before="0" w:after="0" w:line="276" w:lineRule="auto"/>
        <w:rPr>
          <w:sz w:val="24"/>
          <w:lang w:val="en-GB"/>
        </w:rPr>
      </w:pPr>
      <w:r w:rsidRPr="00496659">
        <w:rPr>
          <w:sz w:val="24"/>
          <w:lang w:val="en-GB"/>
        </w:rPr>
        <w:t>5 December 2016</w:t>
      </w:r>
    </w:p>
    <w:p w:rsidR="00620084" w:rsidRPr="00496659" w:rsidRDefault="00620084" w:rsidP="00496659">
      <w:pPr>
        <w:pStyle w:val="Subtitle"/>
        <w:spacing w:before="0" w:after="0" w:line="276" w:lineRule="auto"/>
        <w:rPr>
          <w:sz w:val="24"/>
          <w:lang w:val="en-GB"/>
        </w:rPr>
      </w:pPr>
    </w:p>
    <w:p w:rsidR="00733D7D" w:rsidRPr="008E5EBB" w:rsidRDefault="00733D7D" w:rsidP="00733D7D">
      <w:pPr>
        <w:pStyle w:val="Subtitle"/>
        <w:rPr>
          <w:sz w:val="4"/>
          <w:szCs w:val="4"/>
          <w:lang w:val="en-GB"/>
        </w:rPr>
      </w:pPr>
      <w:r w:rsidRPr="008E5EBB">
        <w:rPr>
          <w:sz w:val="40"/>
          <w:szCs w:val="40"/>
          <w:lang w:val="en-GB"/>
        </w:rPr>
        <w:t>Announcement and Call for Papers</w:t>
      </w:r>
      <w:r w:rsidR="00AF50D5" w:rsidRPr="008E5EBB">
        <w:rPr>
          <w:sz w:val="40"/>
          <w:szCs w:val="40"/>
          <w:lang w:val="en-GB"/>
        </w:rPr>
        <w:br w:type="page"/>
      </w:r>
    </w:p>
    <w:p w:rsidR="00C36BBE" w:rsidRPr="008E5EBB" w:rsidRDefault="00733D7D" w:rsidP="005137FE">
      <w:pPr>
        <w:pStyle w:val="Heading1"/>
        <w:spacing w:before="0" w:after="360"/>
      </w:pPr>
      <w:r w:rsidRPr="008E5EBB">
        <w:lastRenderedPageBreak/>
        <w:t>Introduction</w:t>
      </w:r>
    </w:p>
    <w:p w:rsidR="00811E58" w:rsidRPr="008E5EBB" w:rsidRDefault="00811E58" w:rsidP="00496659">
      <w:pPr>
        <w:pStyle w:val="Default"/>
        <w:spacing w:after="170" w:line="280" w:lineRule="atLeast"/>
        <w:jc w:val="both"/>
        <w:rPr>
          <w:sz w:val="22"/>
          <w:szCs w:val="22"/>
        </w:rPr>
      </w:pPr>
      <w:r w:rsidRPr="008E5EBB">
        <w:rPr>
          <w:sz w:val="22"/>
          <w:szCs w:val="22"/>
        </w:rPr>
        <w:t xml:space="preserve">Following the successful International </w:t>
      </w:r>
      <w:r w:rsidR="00ED2CAD" w:rsidRPr="008E5EBB">
        <w:rPr>
          <w:sz w:val="22"/>
          <w:szCs w:val="22"/>
        </w:rPr>
        <w:t xml:space="preserve">Conference on </w:t>
      </w:r>
      <w:r w:rsidRPr="008E5EBB">
        <w:rPr>
          <w:sz w:val="22"/>
          <w:szCs w:val="22"/>
        </w:rPr>
        <w:t>Nuclear Security: Enhancing Global Efforts held in Vienna</w:t>
      </w:r>
      <w:r w:rsidR="00ED2CAD" w:rsidRPr="008E5EBB">
        <w:rPr>
          <w:sz w:val="22"/>
          <w:szCs w:val="22"/>
        </w:rPr>
        <w:t>, Austria,</w:t>
      </w:r>
      <w:r w:rsidRPr="008E5EBB">
        <w:rPr>
          <w:sz w:val="22"/>
          <w:szCs w:val="22"/>
        </w:rPr>
        <w:t xml:space="preserve"> in </w:t>
      </w:r>
      <w:r w:rsidR="00ED2CAD" w:rsidRPr="008E5EBB">
        <w:rPr>
          <w:sz w:val="22"/>
          <w:szCs w:val="22"/>
        </w:rPr>
        <w:t xml:space="preserve">July </w:t>
      </w:r>
      <w:r w:rsidRPr="008E5EBB">
        <w:rPr>
          <w:sz w:val="22"/>
          <w:szCs w:val="22"/>
        </w:rPr>
        <w:t xml:space="preserve">2013, the International Atomic Energy Agency </w:t>
      </w:r>
      <w:r w:rsidR="00E448E2" w:rsidRPr="008E5EBB">
        <w:rPr>
          <w:sz w:val="22"/>
          <w:szCs w:val="22"/>
        </w:rPr>
        <w:t xml:space="preserve">(IAEA) </w:t>
      </w:r>
      <w:r w:rsidRPr="008E5EBB">
        <w:rPr>
          <w:sz w:val="22"/>
          <w:szCs w:val="22"/>
        </w:rPr>
        <w:t xml:space="preserve">is organizing </w:t>
      </w:r>
      <w:r w:rsidR="00ED2CAD" w:rsidRPr="008E5EBB">
        <w:rPr>
          <w:sz w:val="22"/>
          <w:szCs w:val="22"/>
        </w:rPr>
        <w:t xml:space="preserve">a </w:t>
      </w:r>
      <w:r w:rsidRPr="008E5EBB">
        <w:rPr>
          <w:sz w:val="22"/>
          <w:szCs w:val="22"/>
        </w:rPr>
        <w:t>second</w:t>
      </w:r>
      <w:r w:rsidR="00ED2CAD" w:rsidRPr="008E5EBB">
        <w:rPr>
          <w:sz w:val="22"/>
          <w:szCs w:val="22"/>
        </w:rPr>
        <w:t xml:space="preserve"> conference in this area — the</w:t>
      </w:r>
      <w:r w:rsidRPr="008E5EBB">
        <w:rPr>
          <w:sz w:val="22"/>
          <w:szCs w:val="22"/>
        </w:rPr>
        <w:t xml:space="preserve"> International </w:t>
      </w:r>
      <w:r w:rsidR="00ED2CAD" w:rsidRPr="008E5EBB">
        <w:rPr>
          <w:sz w:val="22"/>
          <w:szCs w:val="22"/>
        </w:rPr>
        <w:t xml:space="preserve">Conference on </w:t>
      </w:r>
      <w:r w:rsidRPr="008E5EBB">
        <w:rPr>
          <w:sz w:val="22"/>
          <w:szCs w:val="22"/>
        </w:rPr>
        <w:t>Nuclear Security: Commitments and Actions</w:t>
      </w:r>
      <w:r w:rsidR="00ED2CAD" w:rsidRPr="008E5EBB">
        <w:rPr>
          <w:sz w:val="22"/>
          <w:szCs w:val="22"/>
        </w:rPr>
        <w:t xml:space="preserve"> — at its Headquarters</w:t>
      </w:r>
      <w:r w:rsidRPr="008E5EBB">
        <w:rPr>
          <w:sz w:val="22"/>
          <w:szCs w:val="22"/>
        </w:rPr>
        <w:t xml:space="preserve"> in Vienna, Austria, from 5</w:t>
      </w:r>
      <w:r w:rsidR="00ED2CAD" w:rsidRPr="008E5EBB">
        <w:rPr>
          <w:sz w:val="22"/>
          <w:szCs w:val="22"/>
        </w:rPr>
        <w:t xml:space="preserve"> to </w:t>
      </w:r>
      <w:r w:rsidRPr="008E5EBB">
        <w:rPr>
          <w:sz w:val="22"/>
          <w:szCs w:val="22"/>
        </w:rPr>
        <w:t xml:space="preserve">9 December 2016. The 2013 </w:t>
      </w:r>
      <w:r w:rsidR="00ED2CAD" w:rsidRPr="008E5EBB">
        <w:rPr>
          <w:sz w:val="22"/>
          <w:szCs w:val="22"/>
        </w:rPr>
        <w:t>c</w:t>
      </w:r>
      <w:r w:rsidRPr="008E5EBB">
        <w:rPr>
          <w:sz w:val="22"/>
          <w:szCs w:val="22"/>
        </w:rPr>
        <w:t xml:space="preserve">onference attracted more than 1300 </w:t>
      </w:r>
      <w:r w:rsidR="001622F6">
        <w:rPr>
          <w:sz w:val="22"/>
          <w:szCs w:val="22"/>
        </w:rPr>
        <w:t>registered participants from 125 Member States, 34 of which were represented at ministerial level, and 21 intergovernmental and non-governmental organizations</w:t>
      </w:r>
      <w:r w:rsidRPr="008E5EBB">
        <w:rPr>
          <w:sz w:val="22"/>
          <w:szCs w:val="22"/>
        </w:rPr>
        <w:t xml:space="preserve">. The 2016 </w:t>
      </w:r>
      <w:r w:rsidR="00ED2CAD" w:rsidRPr="008E5EBB">
        <w:rPr>
          <w:sz w:val="22"/>
          <w:szCs w:val="22"/>
        </w:rPr>
        <w:t>c</w:t>
      </w:r>
      <w:r w:rsidRPr="008E5EBB">
        <w:rPr>
          <w:sz w:val="22"/>
          <w:szCs w:val="22"/>
        </w:rPr>
        <w:t>onference is expected to engender an even greater level of interest.</w:t>
      </w:r>
    </w:p>
    <w:p w:rsidR="00811E58" w:rsidRPr="008E5EBB" w:rsidRDefault="00811E58" w:rsidP="00496659">
      <w:pPr>
        <w:pStyle w:val="Default"/>
        <w:spacing w:after="170" w:line="280" w:lineRule="atLeast"/>
        <w:jc w:val="both"/>
        <w:rPr>
          <w:color w:val="auto"/>
          <w:sz w:val="22"/>
          <w:szCs w:val="22"/>
        </w:rPr>
      </w:pPr>
      <w:r w:rsidRPr="008E5EBB">
        <w:rPr>
          <w:color w:val="auto"/>
          <w:sz w:val="22"/>
          <w:szCs w:val="22"/>
        </w:rPr>
        <w:t xml:space="preserve">The Ministerial Declaration made </w:t>
      </w:r>
      <w:r w:rsidR="00ED2CAD" w:rsidRPr="008E5EBB">
        <w:rPr>
          <w:color w:val="auto"/>
          <w:sz w:val="22"/>
          <w:szCs w:val="22"/>
        </w:rPr>
        <w:t>at</w:t>
      </w:r>
      <w:r w:rsidRPr="008E5EBB">
        <w:rPr>
          <w:color w:val="auto"/>
          <w:sz w:val="22"/>
          <w:szCs w:val="22"/>
        </w:rPr>
        <w:t xml:space="preserve"> the 2013 </w:t>
      </w:r>
      <w:r w:rsidR="00ED2CAD" w:rsidRPr="008E5EBB">
        <w:rPr>
          <w:color w:val="auto"/>
          <w:sz w:val="22"/>
          <w:szCs w:val="22"/>
        </w:rPr>
        <w:t>c</w:t>
      </w:r>
      <w:r w:rsidRPr="008E5EBB">
        <w:rPr>
          <w:color w:val="auto"/>
          <w:sz w:val="22"/>
          <w:szCs w:val="22"/>
        </w:rPr>
        <w:t xml:space="preserve">onference called on the IAEA to consider organizing international conferences on nuclear security every three years. </w:t>
      </w:r>
      <w:r w:rsidR="00ED2CAD" w:rsidRPr="008E5EBB">
        <w:rPr>
          <w:color w:val="auto"/>
          <w:sz w:val="22"/>
          <w:szCs w:val="22"/>
        </w:rPr>
        <w:t>Similarly, t</w:t>
      </w:r>
      <w:r w:rsidRPr="008E5EBB">
        <w:rPr>
          <w:color w:val="auto"/>
          <w:sz w:val="22"/>
          <w:szCs w:val="22"/>
        </w:rPr>
        <w:t xml:space="preserve">he </w:t>
      </w:r>
      <w:r w:rsidR="00ED2CAD" w:rsidRPr="008E5EBB">
        <w:rPr>
          <w:color w:val="auto"/>
          <w:sz w:val="22"/>
          <w:szCs w:val="22"/>
        </w:rPr>
        <w:t>resolution on n</w:t>
      </w:r>
      <w:r w:rsidRPr="008E5EBB">
        <w:rPr>
          <w:color w:val="auto"/>
          <w:sz w:val="22"/>
          <w:szCs w:val="22"/>
        </w:rPr>
        <w:t xml:space="preserve">uclear </w:t>
      </w:r>
      <w:r w:rsidR="00ED2CAD" w:rsidRPr="008E5EBB">
        <w:rPr>
          <w:color w:val="auto"/>
          <w:sz w:val="22"/>
          <w:szCs w:val="22"/>
        </w:rPr>
        <w:t>s</w:t>
      </w:r>
      <w:r w:rsidRPr="008E5EBB">
        <w:rPr>
          <w:color w:val="auto"/>
          <w:sz w:val="22"/>
          <w:szCs w:val="22"/>
        </w:rPr>
        <w:t xml:space="preserve">ecurity </w:t>
      </w:r>
      <w:r w:rsidR="00ED2CAD" w:rsidRPr="008E5EBB">
        <w:rPr>
          <w:color w:val="auto"/>
          <w:sz w:val="22"/>
          <w:szCs w:val="22"/>
        </w:rPr>
        <w:t xml:space="preserve">(GC(59)/RES/10) </w:t>
      </w:r>
      <w:r w:rsidRPr="008E5EBB">
        <w:rPr>
          <w:color w:val="auto"/>
          <w:sz w:val="22"/>
          <w:szCs w:val="22"/>
        </w:rPr>
        <w:t>adopted at the 59</w:t>
      </w:r>
      <w:r w:rsidRPr="00496659">
        <w:rPr>
          <w:color w:val="auto"/>
          <w:sz w:val="22"/>
          <w:szCs w:val="22"/>
        </w:rPr>
        <w:t>th</w:t>
      </w:r>
      <w:r w:rsidRPr="008E5EBB">
        <w:rPr>
          <w:color w:val="auto"/>
          <w:sz w:val="22"/>
          <w:szCs w:val="22"/>
        </w:rPr>
        <w:t xml:space="preserve"> </w:t>
      </w:r>
      <w:r w:rsidR="00ED2CAD" w:rsidRPr="008E5EBB">
        <w:rPr>
          <w:color w:val="auto"/>
          <w:sz w:val="22"/>
          <w:szCs w:val="22"/>
        </w:rPr>
        <w:t xml:space="preserve">regular session of the IAEA </w:t>
      </w:r>
      <w:r w:rsidRPr="008E5EBB">
        <w:rPr>
          <w:color w:val="auto"/>
          <w:sz w:val="22"/>
          <w:szCs w:val="22"/>
        </w:rPr>
        <w:t xml:space="preserve">General Conference </w:t>
      </w:r>
      <w:r w:rsidR="00ED2CAD" w:rsidRPr="008E5EBB">
        <w:rPr>
          <w:color w:val="auto"/>
          <w:sz w:val="22"/>
          <w:szCs w:val="22"/>
        </w:rPr>
        <w:t>in September 2015</w:t>
      </w:r>
      <w:r w:rsidRPr="008E5EBB">
        <w:rPr>
          <w:color w:val="auto"/>
          <w:sz w:val="22"/>
          <w:szCs w:val="22"/>
        </w:rPr>
        <w:t xml:space="preserve"> called upon the Secretariat to continue to organize </w:t>
      </w:r>
      <w:r w:rsidR="00ED2CAD" w:rsidRPr="008E5EBB">
        <w:rPr>
          <w:color w:val="auto"/>
          <w:sz w:val="22"/>
          <w:szCs w:val="22"/>
        </w:rPr>
        <w:t>such</w:t>
      </w:r>
      <w:r w:rsidRPr="008E5EBB">
        <w:rPr>
          <w:color w:val="auto"/>
          <w:sz w:val="22"/>
          <w:szCs w:val="22"/>
        </w:rPr>
        <w:t xml:space="preserve"> </w:t>
      </w:r>
      <w:r w:rsidR="00ED2CAD" w:rsidRPr="008E5EBB">
        <w:rPr>
          <w:color w:val="auto"/>
          <w:sz w:val="22"/>
          <w:szCs w:val="22"/>
        </w:rPr>
        <w:t>c</w:t>
      </w:r>
      <w:r w:rsidRPr="008E5EBB">
        <w:rPr>
          <w:color w:val="auto"/>
          <w:sz w:val="22"/>
          <w:szCs w:val="22"/>
        </w:rPr>
        <w:t>onferences every three years and encouraged all States to participate at a high level. In this regard</w:t>
      </w:r>
      <w:r w:rsidR="00ED2CAD" w:rsidRPr="008E5EBB">
        <w:rPr>
          <w:color w:val="auto"/>
          <w:sz w:val="22"/>
          <w:szCs w:val="22"/>
        </w:rPr>
        <w:t>,</w:t>
      </w:r>
      <w:r w:rsidRPr="008E5EBB">
        <w:rPr>
          <w:color w:val="auto"/>
          <w:sz w:val="22"/>
          <w:szCs w:val="22"/>
        </w:rPr>
        <w:t xml:space="preserve"> the IAEA expects </w:t>
      </w:r>
      <w:r w:rsidR="008E5EBB" w:rsidRPr="008E5EBB">
        <w:rPr>
          <w:color w:val="auto"/>
          <w:sz w:val="22"/>
          <w:szCs w:val="22"/>
        </w:rPr>
        <w:t xml:space="preserve">ministerial level </w:t>
      </w:r>
      <w:r w:rsidRPr="008E5EBB">
        <w:rPr>
          <w:color w:val="auto"/>
          <w:sz w:val="22"/>
          <w:szCs w:val="22"/>
        </w:rPr>
        <w:t xml:space="preserve">participation </w:t>
      </w:r>
      <w:r w:rsidR="00ED2CAD" w:rsidRPr="008E5EBB">
        <w:rPr>
          <w:color w:val="auto"/>
          <w:sz w:val="22"/>
          <w:szCs w:val="22"/>
        </w:rPr>
        <w:t xml:space="preserve">in the 2016 conference, </w:t>
      </w:r>
      <w:r w:rsidRPr="008E5EBB">
        <w:rPr>
          <w:color w:val="auto"/>
          <w:sz w:val="22"/>
          <w:szCs w:val="22"/>
        </w:rPr>
        <w:t>as well as the involvement of policymakers and legal, regulatory and technical experts.</w:t>
      </w:r>
    </w:p>
    <w:p w:rsidR="00811E58" w:rsidRPr="008E5EBB" w:rsidRDefault="00811E58" w:rsidP="00496659">
      <w:pPr>
        <w:spacing w:after="170" w:line="280" w:lineRule="atLeast"/>
        <w:jc w:val="both"/>
      </w:pPr>
      <w:r w:rsidRPr="008E5EBB">
        <w:t xml:space="preserve">The 2016 </w:t>
      </w:r>
      <w:r w:rsidR="008E5EBB" w:rsidRPr="008E5EBB">
        <w:t>c</w:t>
      </w:r>
      <w:r w:rsidRPr="008E5EBB">
        <w:t>onference will have two main parts:</w:t>
      </w:r>
    </w:p>
    <w:p w:rsidR="00811E58" w:rsidRPr="00496659" w:rsidRDefault="00811E58" w:rsidP="00496659">
      <w:pPr>
        <w:pStyle w:val="ListParagraph"/>
        <w:numPr>
          <w:ilvl w:val="0"/>
          <w:numId w:val="11"/>
        </w:numPr>
        <w:spacing w:after="170" w:line="280" w:lineRule="atLeast"/>
        <w:contextualSpacing w:val="0"/>
        <w:jc w:val="both"/>
        <w:rPr>
          <w:rFonts w:ascii="Times New Roman" w:hAnsi="Times New Roman" w:cs="Times New Roman"/>
          <w:lang w:val="en-GB"/>
        </w:rPr>
      </w:pPr>
      <w:r w:rsidRPr="00496659">
        <w:rPr>
          <w:rFonts w:ascii="Times New Roman" w:hAnsi="Times New Roman" w:cs="Times New Roman"/>
          <w:lang w:val="en-GB"/>
        </w:rPr>
        <w:t xml:space="preserve">A </w:t>
      </w:r>
      <w:r w:rsidR="008E5EBB" w:rsidRPr="00496659">
        <w:rPr>
          <w:rFonts w:ascii="Times New Roman" w:hAnsi="Times New Roman" w:cs="Times New Roman"/>
          <w:lang w:val="en-GB"/>
        </w:rPr>
        <w:t>m</w:t>
      </w:r>
      <w:r w:rsidRPr="00496659">
        <w:rPr>
          <w:rFonts w:ascii="Times New Roman" w:hAnsi="Times New Roman" w:cs="Times New Roman"/>
          <w:lang w:val="en-GB"/>
        </w:rPr>
        <w:t xml:space="preserve">inisterial segment which will provide an opportunity for </w:t>
      </w:r>
      <w:r w:rsidR="008E5EBB" w:rsidRPr="00496659">
        <w:rPr>
          <w:rFonts w:ascii="Times New Roman" w:hAnsi="Times New Roman" w:cs="Times New Roman"/>
          <w:lang w:val="en-GB"/>
        </w:rPr>
        <w:t>m</w:t>
      </w:r>
      <w:r w:rsidRPr="00496659">
        <w:rPr>
          <w:rFonts w:ascii="Times New Roman" w:hAnsi="Times New Roman" w:cs="Times New Roman"/>
          <w:lang w:val="en-GB"/>
        </w:rPr>
        <w:t>inisters to deliver messages on achievements, commitments and actions, and adopt a Ministerial Declaration;</w:t>
      </w:r>
      <w:r w:rsidR="008E5EBB" w:rsidRPr="00496659">
        <w:rPr>
          <w:rFonts w:ascii="Times New Roman" w:hAnsi="Times New Roman" w:cs="Times New Roman"/>
          <w:lang w:val="en-GB"/>
        </w:rPr>
        <w:t xml:space="preserve"> and</w:t>
      </w:r>
    </w:p>
    <w:p w:rsidR="00811E58" w:rsidRPr="00496659" w:rsidRDefault="00811E58" w:rsidP="00496659">
      <w:pPr>
        <w:pStyle w:val="ListParagraph"/>
        <w:numPr>
          <w:ilvl w:val="0"/>
          <w:numId w:val="11"/>
        </w:numPr>
        <w:spacing w:after="170" w:line="280" w:lineRule="atLeast"/>
        <w:contextualSpacing w:val="0"/>
        <w:jc w:val="both"/>
        <w:rPr>
          <w:rFonts w:ascii="Times New Roman" w:hAnsi="Times New Roman" w:cs="Times New Roman"/>
          <w:lang w:val="en-GB"/>
        </w:rPr>
      </w:pPr>
      <w:r w:rsidRPr="00496659">
        <w:rPr>
          <w:rFonts w:ascii="Times New Roman" w:hAnsi="Times New Roman" w:cs="Times New Roman"/>
          <w:lang w:val="en-GB"/>
        </w:rPr>
        <w:t xml:space="preserve">A </w:t>
      </w:r>
      <w:r w:rsidR="008E5EBB" w:rsidRPr="00496659">
        <w:rPr>
          <w:rFonts w:ascii="Times New Roman" w:hAnsi="Times New Roman" w:cs="Times New Roman"/>
          <w:lang w:val="en-GB"/>
        </w:rPr>
        <w:t>s</w:t>
      </w:r>
      <w:r w:rsidRPr="00496659">
        <w:rPr>
          <w:rFonts w:ascii="Times New Roman" w:hAnsi="Times New Roman" w:cs="Times New Roman"/>
          <w:lang w:val="en-GB"/>
        </w:rPr>
        <w:t xml:space="preserve">cientific and </w:t>
      </w:r>
      <w:r w:rsidR="008E5EBB" w:rsidRPr="00496659">
        <w:rPr>
          <w:rFonts w:ascii="Times New Roman" w:hAnsi="Times New Roman" w:cs="Times New Roman"/>
          <w:lang w:val="en-GB"/>
        </w:rPr>
        <w:t>t</w:t>
      </w:r>
      <w:r w:rsidRPr="00496659">
        <w:rPr>
          <w:rFonts w:ascii="Times New Roman" w:hAnsi="Times New Roman" w:cs="Times New Roman"/>
          <w:lang w:val="en-GB"/>
        </w:rPr>
        <w:t xml:space="preserve">echnical </w:t>
      </w:r>
      <w:r w:rsidR="008E5EBB" w:rsidRPr="00496659">
        <w:rPr>
          <w:rFonts w:ascii="Times New Roman" w:hAnsi="Times New Roman" w:cs="Times New Roman"/>
          <w:lang w:val="en-GB"/>
        </w:rPr>
        <w:t>p</w:t>
      </w:r>
      <w:r w:rsidRPr="00496659">
        <w:rPr>
          <w:rFonts w:ascii="Times New Roman" w:hAnsi="Times New Roman" w:cs="Times New Roman"/>
          <w:lang w:val="en-GB"/>
        </w:rPr>
        <w:t xml:space="preserve">rogramme comprising high level policy </w:t>
      </w:r>
      <w:r w:rsidR="008E5EBB">
        <w:rPr>
          <w:rFonts w:ascii="Times New Roman" w:hAnsi="Times New Roman" w:cs="Times New Roman"/>
          <w:lang w:val="en-GB"/>
        </w:rPr>
        <w:t>discussions</w:t>
      </w:r>
      <w:r w:rsidR="008E5EBB" w:rsidRPr="00496659">
        <w:rPr>
          <w:rFonts w:ascii="Times New Roman" w:hAnsi="Times New Roman" w:cs="Times New Roman"/>
          <w:lang w:val="en-GB"/>
        </w:rPr>
        <w:t xml:space="preserve"> </w:t>
      </w:r>
      <w:r w:rsidRPr="00496659">
        <w:rPr>
          <w:rFonts w:ascii="Times New Roman" w:hAnsi="Times New Roman" w:cs="Times New Roman"/>
          <w:lang w:val="en-GB"/>
        </w:rPr>
        <w:t>on six broad themes central to nuclear security and parallel technical sessions on specialized scientific</w:t>
      </w:r>
      <w:r w:rsidR="00E448E2" w:rsidRPr="00496659">
        <w:rPr>
          <w:rFonts w:ascii="Times New Roman" w:hAnsi="Times New Roman" w:cs="Times New Roman"/>
          <w:lang w:val="en-GB"/>
        </w:rPr>
        <w:t xml:space="preserve"> technical, </w:t>
      </w:r>
      <w:r w:rsidRPr="00496659">
        <w:rPr>
          <w:rFonts w:ascii="Times New Roman" w:hAnsi="Times New Roman" w:cs="Times New Roman"/>
          <w:lang w:val="en-GB"/>
        </w:rPr>
        <w:t xml:space="preserve">legal </w:t>
      </w:r>
      <w:r w:rsidR="00E448E2" w:rsidRPr="00496659">
        <w:rPr>
          <w:rFonts w:ascii="Times New Roman" w:hAnsi="Times New Roman" w:cs="Times New Roman"/>
          <w:lang w:val="en-GB"/>
        </w:rPr>
        <w:t xml:space="preserve">and regulatory </w:t>
      </w:r>
      <w:r w:rsidRPr="00496659">
        <w:rPr>
          <w:rFonts w:ascii="Times New Roman" w:hAnsi="Times New Roman" w:cs="Times New Roman"/>
          <w:lang w:val="en-GB"/>
        </w:rPr>
        <w:t>issues concerning nuclear security.</w:t>
      </w:r>
    </w:p>
    <w:p w:rsidR="00811E58" w:rsidRPr="008E5EBB" w:rsidRDefault="00811E58" w:rsidP="00496659">
      <w:pPr>
        <w:pStyle w:val="Default"/>
        <w:spacing w:after="170" w:line="280" w:lineRule="atLeast"/>
        <w:jc w:val="both"/>
        <w:rPr>
          <w:sz w:val="22"/>
          <w:szCs w:val="22"/>
        </w:rPr>
      </w:pPr>
      <w:r w:rsidRPr="008E5EBB">
        <w:rPr>
          <w:sz w:val="22"/>
          <w:szCs w:val="22"/>
        </w:rPr>
        <w:t>The IAEA has provided assistance to States</w:t>
      </w:r>
      <w:r w:rsidR="00E448E2" w:rsidRPr="008E5EBB">
        <w:rPr>
          <w:sz w:val="22"/>
          <w:szCs w:val="22"/>
        </w:rPr>
        <w:t>,</w:t>
      </w:r>
      <w:r w:rsidRPr="008E5EBB">
        <w:rPr>
          <w:sz w:val="22"/>
          <w:szCs w:val="22"/>
        </w:rPr>
        <w:t xml:space="preserve"> upon request</w:t>
      </w:r>
      <w:r w:rsidR="00E448E2" w:rsidRPr="008E5EBB">
        <w:rPr>
          <w:sz w:val="22"/>
          <w:szCs w:val="22"/>
        </w:rPr>
        <w:t>,</w:t>
      </w:r>
      <w:r w:rsidRPr="008E5EBB">
        <w:rPr>
          <w:sz w:val="22"/>
          <w:szCs w:val="22"/>
        </w:rPr>
        <w:t xml:space="preserve"> and supported national efforts to establish and improve nuclear security since the early 1970s</w:t>
      </w:r>
      <w:r w:rsidR="008E5EBB">
        <w:rPr>
          <w:sz w:val="22"/>
          <w:szCs w:val="22"/>
        </w:rPr>
        <w:t>,</w:t>
      </w:r>
      <w:r w:rsidRPr="008E5EBB">
        <w:rPr>
          <w:sz w:val="22"/>
          <w:szCs w:val="22"/>
        </w:rPr>
        <w:t xml:space="preserve"> when it began providing ad hoc training in physical protection. Following the tragic events of </w:t>
      </w:r>
      <w:r w:rsidR="008E5EBB">
        <w:rPr>
          <w:sz w:val="22"/>
          <w:szCs w:val="22"/>
        </w:rPr>
        <w:t>September 20</w:t>
      </w:r>
      <w:r w:rsidR="00305AE3">
        <w:rPr>
          <w:sz w:val="22"/>
          <w:szCs w:val="22"/>
        </w:rPr>
        <w:t>0</w:t>
      </w:r>
      <w:r w:rsidRPr="008E5EBB">
        <w:rPr>
          <w:sz w:val="22"/>
          <w:szCs w:val="22"/>
        </w:rPr>
        <w:t>1 in the United States</w:t>
      </w:r>
      <w:r w:rsidR="008E5EBB">
        <w:rPr>
          <w:sz w:val="22"/>
          <w:szCs w:val="22"/>
        </w:rPr>
        <w:t xml:space="preserve"> of America</w:t>
      </w:r>
      <w:r w:rsidRPr="008E5EBB">
        <w:rPr>
          <w:sz w:val="22"/>
          <w:szCs w:val="22"/>
        </w:rPr>
        <w:t>, the IAEA’s first comprehensive action plan to protect against nuclear terrorism was approved in March 2002 by its Board of Governors, and three further Nuclear Security Plans were approved in 2005, 2009 and 2013</w:t>
      </w:r>
      <w:r w:rsidR="00305AE3">
        <w:rPr>
          <w:sz w:val="22"/>
          <w:szCs w:val="22"/>
        </w:rPr>
        <w:t>,</w:t>
      </w:r>
      <w:r w:rsidRPr="008E5EBB">
        <w:rPr>
          <w:sz w:val="22"/>
          <w:szCs w:val="22"/>
        </w:rPr>
        <w:t xml:space="preserve"> respectively.</w:t>
      </w:r>
    </w:p>
    <w:p w:rsidR="00811E58" w:rsidRPr="008E5EBB" w:rsidRDefault="00811E58" w:rsidP="00496659">
      <w:pPr>
        <w:pStyle w:val="Default"/>
        <w:spacing w:after="170" w:line="280" w:lineRule="atLeast"/>
        <w:jc w:val="both"/>
        <w:rPr>
          <w:sz w:val="22"/>
          <w:szCs w:val="22"/>
        </w:rPr>
      </w:pPr>
      <w:r w:rsidRPr="008E5EBB">
        <w:rPr>
          <w:sz w:val="22"/>
          <w:szCs w:val="22"/>
        </w:rPr>
        <w:t>The objective of the current IAEA Nuclear Security Plan</w:t>
      </w:r>
      <w:r w:rsidR="001622F6">
        <w:rPr>
          <w:sz w:val="22"/>
          <w:szCs w:val="22"/>
        </w:rPr>
        <w:t xml:space="preserve"> (</w:t>
      </w:r>
      <w:r w:rsidR="001622F6" w:rsidRPr="001622F6">
        <w:rPr>
          <w:sz w:val="22"/>
          <w:szCs w:val="22"/>
        </w:rPr>
        <w:t>GOV/2013/42-</w:t>
      </w:r>
      <w:proofErr w:type="gramStart"/>
      <w:r w:rsidR="001622F6" w:rsidRPr="001622F6">
        <w:rPr>
          <w:sz w:val="22"/>
          <w:szCs w:val="22"/>
        </w:rPr>
        <w:t>GC(</w:t>
      </w:r>
      <w:proofErr w:type="gramEnd"/>
      <w:r w:rsidR="001622F6" w:rsidRPr="001622F6">
        <w:rPr>
          <w:sz w:val="22"/>
          <w:szCs w:val="22"/>
        </w:rPr>
        <w:t>57)/19</w:t>
      </w:r>
      <w:r w:rsidR="001622F6">
        <w:rPr>
          <w:sz w:val="22"/>
          <w:szCs w:val="22"/>
        </w:rPr>
        <w:t>)</w:t>
      </w:r>
      <w:r w:rsidRPr="008E5EBB">
        <w:rPr>
          <w:sz w:val="22"/>
          <w:szCs w:val="22"/>
        </w:rPr>
        <w:t xml:space="preserve">, </w:t>
      </w:r>
      <w:r w:rsidR="00305AE3">
        <w:rPr>
          <w:sz w:val="22"/>
          <w:szCs w:val="22"/>
        </w:rPr>
        <w:t xml:space="preserve">which covers the period </w:t>
      </w:r>
      <w:r w:rsidRPr="008E5EBB">
        <w:rPr>
          <w:sz w:val="22"/>
          <w:szCs w:val="22"/>
        </w:rPr>
        <w:t>2014</w:t>
      </w:r>
      <w:r w:rsidR="00305AE3">
        <w:rPr>
          <w:sz w:val="22"/>
          <w:szCs w:val="22"/>
        </w:rPr>
        <w:t>–</w:t>
      </w:r>
      <w:r w:rsidRPr="008E5EBB">
        <w:rPr>
          <w:sz w:val="22"/>
          <w:szCs w:val="22"/>
        </w:rPr>
        <w:t>2017, is:</w:t>
      </w:r>
    </w:p>
    <w:p w:rsidR="00811E58" w:rsidRPr="008E5EBB" w:rsidRDefault="00811E58" w:rsidP="00496659">
      <w:pPr>
        <w:pStyle w:val="Default"/>
        <w:spacing w:after="170" w:line="280" w:lineRule="atLeast"/>
        <w:ind w:left="360"/>
        <w:jc w:val="both"/>
        <w:rPr>
          <w:sz w:val="22"/>
          <w:szCs w:val="22"/>
        </w:rPr>
      </w:pPr>
      <w:r w:rsidRPr="008E5EBB">
        <w:rPr>
          <w:sz w:val="22"/>
          <w:szCs w:val="22"/>
        </w:rPr>
        <w:t xml:space="preserve"> “</w:t>
      </w:r>
      <w:r w:rsidR="00305AE3">
        <w:rPr>
          <w:sz w:val="22"/>
          <w:szCs w:val="22"/>
        </w:rPr>
        <w:t>[T]</w:t>
      </w:r>
      <w:r w:rsidRPr="00496659">
        <w:rPr>
          <w:sz w:val="22"/>
          <w:szCs w:val="22"/>
        </w:rPr>
        <w:t xml:space="preserve">o contribute to global efforts to achieve effective security wherever nuclear and other radioactive material is in use, storage and/or transport, and of associated facilities by supporting States, upon request, in their efforts to meet their national responsibilities and international obligations, to reduce risks and to respond appropriately to threats. </w:t>
      </w:r>
      <w:r w:rsidRPr="008E5EBB">
        <w:rPr>
          <w:sz w:val="22"/>
          <w:szCs w:val="22"/>
        </w:rPr>
        <w:t>In achieving this objective, the Agency will:</w:t>
      </w:r>
    </w:p>
    <w:p w:rsidR="00811E58" w:rsidRPr="00496659" w:rsidRDefault="00811E58" w:rsidP="00496659">
      <w:pPr>
        <w:pStyle w:val="ListParagraph"/>
        <w:numPr>
          <w:ilvl w:val="0"/>
          <w:numId w:val="10"/>
        </w:numPr>
        <w:autoSpaceDE w:val="0"/>
        <w:autoSpaceDN w:val="0"/>
        <w:adjustRightInd w:val="0"/>
        <w:spacing w:after="170" w:line="280" w:lineRule="atLeast"/>
        <w:ind w:left="1080"/>
        <w:contextualSpacing w:val="0"/>
        <w:jc w:val="both"/>
        <w:rPr>
          <w:rFonts w:ascii="Times New Roman" w:hAnsi="Times New Roman" w:cs="Times New Roman"/>
          <w:lang w:val="en-GB"/>
        </w:rPr>
      </w:pPr>
      <w:r w:rsidRPr="00496659">
        <w:rPr>
          <w:rFonts w:ascii="Times New Roman" w:hAnsi="Times New Roman" w:cs="Times New Roman"/>
          <w:lang w:val="en-GB"/>
        </w:rPr>
        <w:t>Assist States, upon request, in their efforts to establish effective and sustainable national nuclear security regimes;</w:t>
      </w:r>
    </w:p>
    <w:p w:rsidR="00811E58" w:rsidRPr="00496659" w:rsidRDefault="00811E58" w:rsidP="00496659">
      <w:pPr>
        <w:pStyle w:val="ListParagraph"/>
        <w:numPr>
          <w:ilvl w:val="0"/>
          <w:numId w:val="10"/>
        </w:numPr>
        <w:autoSpaceDE w:val="0"/>
        <w:autoSpaceDN w:val="0"/>
        <w:adjustRightInd w:val="0"/>
        <w:spacing w:after="170" w:line="280" w:lineRule="atLeast"/>
        <w:ind w:left="1080"/>
        <w:contextualSpacing w:val="0"/>
        <w:jc w:val="both"/>
        <w:rPr>
          <w:rFonts w:ascii="Times New Roman" w:hAnsi="Times New Roman" w:cs="Times New Roman"/>
          <w:lang w:val="en-GB"/>
        </w:rPr>
      </w:pPr>
      <w:r w:rsidRPr="00496659">
        <w:rPr>
          <w:rFonts w:ascii="Times New Roman" w:hAnsi="Times New Roman" w:cs="Times New Roman"/>
          <w:lang w:val="en-GB"/>
        </w:rPr>
        <w:t>Serve as the focal point for strengthening international cooperation, and for coordination of nuclear security assistance given through regional and bilateral programmes and other international initiatives;</w:t>
      </w:r>
    </w:p>
    <w:p w:rsidR="00811E58" w:rsidRPr="00496659" w:rsidRDefault="00811E58" w:rsidP="00496659">
      <w:pPr>
        <w:pStyle w:val="ListParagraph"/>
        <w:numPr>
          <w:ilvl w:val="0"/>
          <w:numId w:val="10"/>
        </w:numPr>
        <w:autoSpaceDE w:val="0"/>
        <w:autoSpaceDN w:val="0"/>
        <w:adjustRightInd w:val="0"/>
        <w:spacing w:after="170" w:line="280" w:lineRule="atLeast"/>
        <w:ind w:left="1080"/>
        <w:contextualSpacing w:val="0"/>
        <w:jc w:val="both"/>
        <w:rPr>
          <w:rFonts w:ascii="Times New Roman" w:hAnsi="Times New Roman" w:cs="Times New Roman"/>
          <w:lang w:val="en-GB"/>
        </w:rPr>
      </w:pPr>
      <w:r w:rsidRPr="00496659">
        <w:rPr>
          <w:rFonts w:ascii="Times New Roman" w:hAnsi="Times New Roman" w:cs="Times New Roman"/>
          <w:lang w:val="en-GB"/>
        </w:rPr>
        <w:t>Enhance global nuclear security efforts by completing international guidance in the Nuclear Security Series and, upon request, supporting its implementation by States;</w:t>
      </w:r>
    </w:p>
    <w:p w:rsidR="00811E58" w:rsidRPr="00496659" w:rsidRDefault="00811E58" w:rsidP="00496659">
      <w:pPr>
        <w:pStyle w:val="ListParagraph"/>
        <w:numPr>
          <w:ilvl w:val="0"/>
          <w:numId w:val="10"/>
        </w:numPr>
        <w:autoSpaceDE w:val="0"/>
        <w:autoSpaceDN w:val="0"/>
        <w:adjustRightInd w:val="0"/>
        <w:spacing w:after="170" w:line="280" w:lineRule="atLeast"/>
        <w:ind w:left="1080"/>
        <w:contextualSpacing w:val="0"/>
        <w:jc w:val="both"/>
        <w:rPr>
          <w:rFonts w:ascii="Times New Roman" w:hAnsi="Times New Roman" w:cs="Times New Roman"/>
          <w:lang w:val="en-GB"/>
        </w:rPr>
      </w:pPr>
      <w:r w:rsidRPr="00496659">
        <w:rPr>
          <w:rFonts w:ascii="Times New Roman" w:hAnsi="Times New Roman" w:cs="Times New Roman"/>
          <w:lang w:val="en-GB"/>
        </w:rPr>
        <w:lastRenderedPageBreak/>
        <w:t>Encourage and assist States to adhere to relevant international instruments and support States, upon request, in their efforts to adopt implementing national legislation;</w:t>
      </w:r>
    </w:p>
    <w:p w:rsidR="00811E58" w:rsidRPr="00496659" w:rsidRDefault="00811E58" w:rsidP="00496659">
      <w:pPr>
        <w:pStyle w:val="ListParagraph"/>
        <w:numPr>
          <w:ilvl w:val="0"/>
          <w:numId w:val="10"/>
        </w:numPr>
        <w:autoSpaceDE w:val="0"/>
        <w:autoSpaceDN w:val="0"/>
        <w:adjustRightInd w:val="0"/>
        <w:spacing w:after="170" w:line="280" w:lineRule="atLeast"/>
        <w:ind w:left="1080"/>
        <w:contextualSpacing w:val="0"/>
        <w:jc w:val="both"/>
        <w:rPr>
          <w:lang w:val="en-GB"/>
        </w:rPr>
      </w:pPr>
      <w:r w:rsidRPr="00496659">
        <w:rPr>
          <w:rFonts w:ascii="Times New Roman" w:hAnsi="Times New Roman" w:cs="Times New Roman"/>
          <w:lang w:val="en-GB"/>
        </w:rPr>
        <w:t>Build on the progress made during the implementation of the first three Nuclear Security Plans to help States sustain and further improve their national nuclear security regimes.”</w:t>
      </w:r>
    </w:p>
    <w:p w:rsidR="00811E58" w:rsidRPr="008E5EBB" w:rsidRDefault="00811E58" w:rsidP="00496659">
      <w:pPr>
        <w:pStyle w:val="Default"/>
        <w:spacing w:after="170" w:line="280" w:lineRule="atLeast"/>
        <w:jc w:val="both"/>
        <w:rPr>
          <w:color w:val="auto"/>
          <w:sz w:val="22"/>
          <w:szCs w:val="22"/>
        </w:rPr>
      </w:pPr>
      <w:r w:rsidRPr="008E5EBB">
        <w:rPr>
          <w:color w:val="auto"/>
          <w:sz w:val="22"/>
          <w:szCs w:val="22"/>
        </w:rPr>
        <w:t>At the 59</w:t>
      </w:r>
      <w:r w:rsidRPr="00496659">
        <w:rPr>
          <w:color w:val="auto"/>
          <w:sz w:val="22"/>
          <w:szCs w:val="22"/>
        </w:rPr>
        <w:t>th</w:t>
      </w:r>
      <w:r w:rsidRPr="008E5EBB">
        <w:rPr>
          <w:color w:val="auto"/>
          <w:sz w:val="22"/>
          <w:szCs w:val="22"/>
        </w:rPr>
        <w:t xml:space="preserve"> </w:t>
      </w:r>
      <w:r w:rsidR="00305AE3">
        <w:rPr>
          <w:color w:val="auto"/>
          <w:sz w:val="22"/>
          <w:szCs w:val="22"/>
        </w:rPr>
        <w:t xml:space="preserve">regular session </w:t>
      </w:r>
      <w:r w:rsidR="00305AE3" w:rsidRPr="008E5EBB">
        <w:rPr>
          <w:color w:val="auto"/>
          <w:sz w:val="22"/>
          <w:szCs w:val="22"/>
        </w:rPr>
        <w:t>of the IAEA</w:t>
      </w:r>
      <w:r w:rsidR="00305AE3">
        <w:rPr>
          <w:color w:val="auto"/>
          <w:sz w:val="22"/>
          <w:szCs w:val="22"/>
        </w:rPr>
        <w:t xml:space="preserve"> </w:t>
      </w:r>
      <w:r w:rsidRPr="008E5EBB">
        <w:rPr>
          <w:color w:val="auto"/>
          <w:sz w:val="22"/>
          <w:szCs w:val="22"/>
        </w:rPr>
        <w:t xml:space="preserve">General Conference </w:t>
      </w:r>
      <w:r w:rsidR="00305AE3">
        <w:rPr>
          <w:color w:val="auto"/>
          <w:sz w:val="22"/>
          <w:szCs w:val="22"/>
        </w:rPr>
        <w:t>in September 2015</w:t>
      </w:r>
      <w:r w:rsidRPr="008E5EBB">
        <w:rPr>
          <w:color w:val="auto"/>
          <w:sz w:val="22"/>
          <w:szCs w:val="22"/>
        </w:rPr>
        <w:t xml:space="preserve">, Member States reaffirmed the central role of the </w:t>
      </w:r>
      <w:r w:rsidR="00305AE3">
        <w:rPr>
          <w:color w:val="auto"/>
          <w:sz w:val="22"/>
          <w:szCs w:val="22"/>
        </w:rPr>
        <w:t>IAEA</w:t>
      </w:r>
      <w:r w:rsidR="00305AE3" w:rsidRPr="008E5EBB">
        <w:rPr>
          <w:color w:val="auto"/>
          <w:sz w:val="22"/>
          <w:szCs w:val="22"/>
        </w:rPr>
        <w:t xml:space="preserve"> </w:t>
      </w:r>
      <w:r w:rsidRPr="008E5EBB">
        <w:rPr>
          <w:color w:val="auto"/>
          <w:sz w:val="22"/>
          <w:szCs w:val="22"/>
        </w:rPr>
        <w:t xml:space="preserve">in strengthening the nuclear security framework globally and </w:t>
      </w:r>
      <w:r w:rsidR="00305AE3">
        <w:rPr>
          <w:color w:val="auto"/>
          <w:sz w:val="22"/>
          <w:szCs w:val="22"/>
        </w:rPr>
        <w:t xml:space="preserve">in </w:t>
      </w:r>
      <w:r w:rsidRPr="008E5EBB">
        <w:rPr>
          <w:color w:val="auto"/>
          <w:sz w:val="22"/>
          <w:szCs w:val="22"/>
        </w:rPr>
        <w:t>coordinating international activities in the field of nuclear security, while avoiding duplication and overlap.</w:t>
      </w:r>
    </w:p>
    <w:p w:rsidR="00811E58" w:rsidRPr="008E5EBB" w:rsidRDefault="00811E58" w:rsidP="00496659">
      <w:pPr>
        <w:pStyle w:val="Default"/>
        <w:spacing w:after="170" w:line="280" w:lineRule="atLeast"/>
        <w:jc w:val="both"/>
        <w:rPr>
          <w:color w:val="auto"/>
          <w:sz w:val="22"/>
          <w:szCs w:val="22"/>
        </w:rPr>
      </w:pPr>
      <w:r w:rsidRPr="008E5EBB">
        <w:rPr>
          <w:color w:val="auto"/>
          <w:sz w:val="22"/>
          <w:szCs w:val="22"/>
        </w:rPr>
        <w:t xml:space="preserve">This second </w:t>
      </w:r>
      <w:r w:rsidR="00305AE3">
        <w:rPr>
          <w:color w:val="auto"/>
          <w:sz w:val="22"/>
          <w:szCs w:val="22"/>
        </w:rPr>
        <w:t>i</w:t>
      </w:r>
      <w:r w:rsidRPr="008E5EBB">
        <w:rPr>
          <w:color w:val="auto"/>
          <w:sz w:val="22"/>
          <w:szCs w:val="22"/>
        </w:rPr>
        <w:t xml:space="preserve">nternational </w:t>
      </w:r>
      <w:r w:rsidR="00305AE3">
        <w:rPr>
          <w:color w:val="auto"/>
          <w:sz w:val="22"/>
          <w:szCs w:val="22"/>
        </w:rPr>
        <w:t>c</w:t>
      </w:r>
      <w:r w:rsidR="00305AE3" w:rsidRPr="008E5EBB">
        <w:rPr>
          <w:color w:val="auto"/>
          <w:sz w:val="22"/>
          <w:szCs w:val="22"/>
        </w:rPr>
        <w:t>onference</w:t>
      </w:r>
      <w:r w:rsidR="00305AE3">
        <w:rPr>
          <w:color w:val="auto"/>
          <w:sz w:val="22"/>
          <w:szCs w:val="22"/>
        </w:rPr>
        <w:t xml:space="preserve"> on n</w:t>
      </w:r>
      <w:r w:rsidRPr="008E5EBB">
        <w:rPr>
          <w:color w:val="auto"/>
          <w:sz w:val="22"/>
          <w:szCs w:val="22"/>
        </w:rPr>
        <w:t xml:space="preserve">uclear </w:t>
      </w:r>
      <w:r w:rsidR="00305AE3">
        <w:rPr>
          <w:color w:val="auto"/>
          <w:sz w:val="22"/>
          <w:szCs w:val="22"/>
        </w:rPr>
        <w:t>s</w:t>
      </w:r>
      <w:r w:rsidRPr="008E5EBB">
        <w:rPr>
          <w:color w:val="auto"/>
          <w:sz w:val="22"/>
          <w:szCs w:val="22"/>
        </w:rPr>
        <w:t>ecurity will not only provide a timely global forum in which the progress made in strengthening nuclear security worldwide can be reviewed and future developments discussed</w:t>
      </w:r>
      <w:r w:rsidR="00E81A58">
        <w:rPr>
          <w:color w:val="auto"/>
          <w:sz w:val="22"/>
          <w:szCs w:val="22"/>
        </w:rPr>
        <w:t>;</w:t>
      </w:r>
      <w:r w:rsidRPr="008E5EBB">
        <w:rPr>
          <w:color w:val="auto"/>
          <w:sz w:val="22"/>
          <w:szCs w:val="22"/>
        </w:rPr>
        <w:t xml:space="preserve"> its results will also serve as important input </w:t>
      </w:r>
      <w:r w:rsidR="00E81A58">
        <w:rPr>
          <w:color w:val="auto"/>
          <w:sz w:val="22"/>
          <w:szCs w:val="22"/>
        </w:rPr>
        <w:t>for</w:t>
      </w:r>
      <w:r w:rsidR="00E81A58" w:rsidRPr="008E5EBB">
        <w:rPr>
          <w:color w:val="auto"/>
          <w:sz w:val="22"/>
          <w:szCs w:val="22"/>
        </w:rPr>
        <w:t xml:space="preserve"> </w:t>
      </w:r>
      <w:r w:rsidRPr="008E5EBB">
        <w:rPr>
          <w:color w:val="auto"/>
          <w:sz w:val="22"/>
          <w:szCs w:val="22"/>
        </w:rPr>
        <w:t>the preparation of the IAEA’s next Nuclear Security Plan</w:t>
      </w:r>
      <w:r w:rsidR="00E81A58">
        <w:rPr>
          <w:color w:val="auto"/>
          <w:sz w:val="22"/>
          <w:szCs w:val="22"/>
        </w:rPr>
        <w:t>,</w:t>
      </w:r>
      <w:r w:rsidRPr="008E5EBB">
        <w:rPr>
          <w:color w:val="auto"/>
          <w:sz w:val="22"/>
          <w:szCs w:val="22"/>
        </w:rPr>
        <w:t xml:space="preserve"> which will cover the period 2018</w:t>
      </w:r>
      <w:r w:rsidR="00E81A58">
        <w:rPr>
          <w:color w:val="auto"/>
          <w:sz w:val="22"/>
          <w:szCs w:val="22"/>
        </w:rPr>
        <w:t>–</w:t>
      </w:r>
      <w:r w:rsidRPr="008E5EBB">
        <w:rPr>
          <w:color w:val="auto"/>
          <w:sz w:val="22"/>
          <w:szCs w:val="22"/>
        </w:rPr>
        <w:t>2021.</w:t>
      </w:r>
    </w:p>
    <w:p w:rsidR="00733D7D" w:rsidRPr="008E5EBB" w:rsidRDefault="006B2825" w:rsidP="00917F5D">
      <w:pPr>
        <w:pStyle w:val="Heading1"/>
        <w:spacing w:before="840" w:after="360"/>
        <w:jc w:val="both"/>
      </w:pPr>
      <w:r w:rsidRPr="008E5EBB">
        <w:t xml:space="preserve">Purpose and </w:t>
      </w:r>
      <w:r w:rsidR="00733D7D" w:rsidRPr="008E5EBB">
        <w:t>Objective</w:t>
      </w:r>
      <w:r w:rsidR="00AD20E1" w:rsidRPr="008E5EBB">
        <w:t>s</w:t>
      </w:r>
    </w:p>
    <w:p w:rsidR="00811E58" w:rsidRPr="008E5EBB" w:rsidRDefault="00811E58" w:rsidP="00496659">
      <w:pPr>
        <w:pStyle w:val="Default"/>
        <w:spacing w:after="170" w:line="280" w:lineRule="atLeast"/>
        <w:jc w:val="both"/>
        <w:rPr>
          <w:color w:val="auto"/>
          <w:sz w:val="22"/>
          <w:szCs w:val="22"/>
        </w:rPr>
      </w:pPr>
      <w:bookmarkStart w:id="1" w:name="_Ref388617221"/>
      <w:r w:rsidRPr="008E5EBB">
        <w:rPr>
          <w:color w:val="auto"/>
          <w:sz w:val="22"/>
          <w:szCs w:val="22"/>
        </w:rPr>
        <w:t xml:space="preserve">The </w:t>
      </w:r>
      <w:r w:rsidR="00E81A58">
        <w:rPr>
          <w:color w:val="auto"/>
          <w:sz w:val="22"/>
          <w:szCs w:val="22"/>
        </w:rPr>
        <w:t>c</w:t>
      </w:r>
      <w:r w:rsidRPr="008E5EBB">
        <w:rPr>
          <w:color w:val="auto"/>
          <w:sz w:val="22"/>
          <w:szCs w:val="22"/>
        </w:rPr>
        <w:t>onference is being convened to discuss the national and international community’s experiences and achievements to date in strengthening nuclear security; to enhance understanding of current approaches to nuclear security worldwide; to identify trends</w:t>
      </w:r>
      <w:r w:rsidR="00E81A58">
        <w:rPr>
          <w:color w:val="auto"/>
          <w:sz w:val="22"/>
          <w:szCs w:val="22"/>
        </w:rPr>
        <w:t>;</w:t>
      </w:r>
      <w:r w:rsidRPr="008E5EBB">
        <w:rPr>
          <w:color w:val="auto"/>
          <w:sz w:val="22"/>
          <w:szCs w:val="22"/>
        </w:rPr>
        <w:t xml:space="preserve"> and to provide an inclusive forum </w:t>
      </w:r>
      <w:r w:rsidR="00E81A58">
        <w:rPr>
          <w:color w:val="auto"/>
          <w:sz w:val="22"/>
          <w:szCs w:val="22"/>
        </w:rPr>
        <w:t>at which</w:t>
      </w:r>
      <w:r w:rsidR="00E81A58" w:rsidRPr="008E5EBB">
        <w:rPr>
          <w:color w:val="auto"/>
          <w:sz w:val="22"/>
          <w:szCs w:val="22"/>
        </w:rPr>
        <w:t xml:space="preserve"> </w:t>
      </w:r>
      <w:r w:rsidRPr="008E5EBB">
        <w:rPr>
          <w:color w:val="auto"/>
          <w:sz w:val="22"/>
          <w:szCs w:val="22"/>
        </w:rPr>
        <w:t xml:space="preserve">ministers, policymakers, senior officials and nuclear security experts </w:t>
      </w:r>
      <w:r w:rsidR="00E81A58">
        <w:rPr>
          <w:color w:val="auto"/>
          <w:sz w:val="22"/>
          <w:szCs w:val="22"/>
        </w:rPr>
        <w:t>can</w:t>
      </w:r>
      <w:r w:rsidRPr="008E5EBB">
        <w:rPr>
          <w:color w:val="auto"/>
          <w:sz w:val="22"/>
          <w:szCs w:val="22"/>
        </w:rPr>
        <w:t xml:space="preserve"> formulate </w:t>
      </w:r>
      <w:r w:rsidR="00E81A58">
        <w:rPr>
          <w:color w:val="auto"/>
          <w:sz w:val="22"/>
          <w:szCs w:val="22"/>
        </w:rPr>
        <w:t xml:space="preserve">and exchange </w:t>
      </w:r>
      <w:r w:rsidRPr="008E5EBB">
        <w:rPr>
          <w:color w:val="auto"/>
          <w:sz w:val="22"/>
          <w:szCs w:val="22"/>
        </w:rPr>
        <w:t>views on future directions and priorities for nuclear security and how these may evolve.</w:t>
      </w:r>
    </w:p>
    <w:p w:rsidR="00811E58" w:rsidRPr="008E5EBB" w:rsidRDefault="00811E58" w:rsidP="00496659">
      <w:pPr>
        <w:pStyle w:val="Default"/>
        <w:spacing w:after="170" w:line="280" w:lineRule="atLeast"/>
        <w:jc w:val="both"/>
        <w:rPr>
          <w:color w:val="auto"/>
          <w:sz w:val="22"/>
          <w:szCs w:val="22"/>
        </w:rPr>
      </w:pPr>
      <w:r w:rsidRPr="008E5EBB">
        <w:rPr>
          <w:color w:val="auto"/>
          <w:sz w:val="22"/>
          <w:szCs w:val="22"/>
        </w:rPr>
        <w:t xml:space="preserve">The </w:t>
      </w:r>
      <w:r w:rsidR="00E81A58">
        <w:rPr>
          <w:color w:val="auto"/>
          <w:sz w:val="22"/>
          <w:szCs w:val="22"/>
        </w:rPr>
        <w:t>c</w:t>
      </w:r>
      <w:r w:rsidRPr="008E5EBB">
        <w:rPr>
          <w:color w:val="auto"/>
          <w:sz w:val="22"/>
          <w:szCs w:val="22"/>
        </w:rPr>
        <w:t xml:space="preserve">onference </w:t>
      </w:r>
      <w:r w:rsidR="00E81A58">
        <w:rPr>
          <w:color w:val="auto"/>
          <w:sz w:val="22"/>
          <w:szCs w:val="22"/>
        </w:rPr>
        <w:t>will be</w:t>
      </w:r>
      <w:r w:rsidR="00E81A58" w:rsidRPr="008E5EBB">
        <w:rPr>
          <w:color w:val="auto"/>
          <w:sz w:val="22"/>
          <w:szCs w:val="22"/>
        </w:rPr>
        <w:t xml:space="preserve"> </w:t>
      </w:r>
      <w:r w:rsidRPr="008E5EBB">
        <w:rPr>
          <w:color w:val="auto"/>
          <w:sz w:val="22"/>
          <w:szCs w:val="22"/>
        </w:rPr>
        <w:t>the ideal forum to:</w:t>
      </w:r>
    </w:p>
    <w:p w:rsidR="00811E58" w:rsidRPr="00496659" w:rsidRDefault="00E81A58" w:rsidP="00496659">
      <w:pPr>
        <w:pStyle w:val="ListParagraph"/>
        <w:numPr>
          <w:ilvl w:val="0"/>
          <w:numId w:val="12"/>
        </w:numPr>
        <w:autoSpaceDE w:val="0"/>
        <w:autoSpaceDN w:val="0"/>
        <w:adjustRightInd w:val="0"/>
        <w:spacing w:after="170" w:line="280" w:lineRule="atLeast"/>
        <w:contextualSpacing w:val="0"/>
        <w:jc w:val="both"/>
        <w:rPr>
          <w:rFonts w:ascii="Times New Roman" w:hAnsi="Times New Roman" w:cs="Times New Roman"/>
          <w:lang w:val="en-GB"/>
        </w:rPr>
      </w:pPr>
      <w:r>
        <w:rPr>
          <w:rFonts w:ascii="Times New Roman" w:hAnsi="Times New Roman" w:cs="Times New Roman"/>
          <w:lang w:val="en-GB"/>
        </w:rPr>
        <w:t>R</w:t>
      </w:r>
      <w:r w:rsidR="00811E58" w:rsidRPr="00496659">
        <w:rPr>
          <w:rFonts w:ascii="Times New Roman" w:hAnsi="Times New Roman" w:cs="Times New Roman"/>
          <w:lang w:val="en-GB"/>
        </w:rPr>
        <w:t>aise awareness of nuclear security;</w:t>
      </w:r>
    </w:p>
    <w:p w:rsidR="00811E58" w:rsidRPr="00496659" w:rsidRDefault="00E81A58" w:rsidP="00496659">
      <w:pPr>
        <w:pStyle w:val="ListParagraph"/>
        <w:numPr>
          <w:ilvl w:val="0"/>
          <w:numId w:val="12"/>
        </w:numPr>
        <w:spacing w:after="170" w:line="280" w:lineRule="atLeast"/>
        <w:contextualSpacing w:val="0"/>
        <w:jc w:val="both"/>
        <w:rPr>
          <w:rFonts w:ascii="Times New Roman" w:hAnsi="Times New Roman" w:cs="Times New Roman"/>
          <w:lang w:val="en-GB"/>
        </w:rPr>
      </w:pPr>
      <w:r>
        <w:rPr>
          <w:rFonts w:ascii="Times New Roman" w:hAnsi="Times New Roman" w:cs="Times New Roman"/>
          <w:lang w:val="en-GB"/>
        </w:rPr>
        <w:t>R</w:t>
      </w:r>
      <w:r w:rsidR="00811E58" w:rsidRPr="00496659">
        <w:rPr>
          <w:rFonts w:ascii="Times New Roman" w:hAnsi="Times New Roman" w:cs="Times New Roman"/>
          <w:lang w:val="en-GB"/>
        </w:rPr>
        <w:t>eview the current status of nuclear security efforts and existing approaches, emerging trends and areas that may still need to be addressed;</w:t>
      </w:r>
    </w:p>
    <w:p w:rsidR="00811E58" w:rsidRPr="00496659" w:rsidRDefault="00E81A58" w:rsidP="00496659">
      <w:pPr>
        <w:pStyle w:val="ListParagraph"/>
        <w:numPr>
          <w:ilvl w:val="0"/>
          <w:numId w:val="12"/>
        </w:numPr>
        <w:spacing w:after="170" w:line="280" w:lineRule="atLeast"/>
        <w:contextualSpacing w:val="0"/>
        <w:jc w:val="both"/>
        <w:rPr>
          <w:rFonts w:ascii="Times New Roman" w:hAnsi="Times New Roman" w:cs="Times New Roman"/>
          <w:lang w:val="en-GB"/>
        </w:rPr>
      </w:pPr>
      <w:r>
        <w:rPr>
          <w:rFonts w:ascii="Times New Roman" w:hAnsi="Times New Roman" w:cs="Times New Roman"/>
          <w:lang w:val="en-GB"/>
        </w:rPr>
        <w:t>C</w:t>
      </w:r>
      <w:r w:rsidR="00811E58" w:rsidRPr="00496659">
        <w:rPr>
          <w:rFonts w:ascii="Times New Roman" w:hAnsi="Times New Roman" w:cs="Times New Roman"/>
          <w:lang w:val="en-GB"/>
        </w:rPr>
        <w:t>onsider the medium and long term objectives and priorities for nuclear security and how current approaches may evolve to address these and to meet future challenges;</w:t>
      </w:r>
    </w:p>
    <w:p w:rsidR="00811E58" w:rsidRPr="00496659" w:rsidRDefault="00E81A58" w:rsidP="00496659">
      <w:pPr>
        <w:pStyle w:val="ListParagraph"/>
        <w:numPr>
          <w:ilvl w:val="0"/>
          <w:numId w:val="12"/>
        </w:numPr>
        <w:spacing w:after="170" w:line="280" w:lineRule="atLeast"/>
        <w:contextualSpacing w:val="0"/>
        <w:jc w:val="both"/>
        <w:rPr>
          <w:rFonts w:ascii="Times New Roman" w:hAnsi="Times New Roman" w:cs="Times New Roman"/>
          <w:lang w:val="en-GB"/>
        </w:rPr>
      </w:pPr>
      <w:r>
        <w:rPr>
          <w:rFonts w:ascii="Times New Roman" w:hAnsi="Times New Roman" w:cs="Times New Roman"/>
          <w:lang w:val="en-GB"/>
        </w:rPr>
        <w:t>P</w:t>
      </w:r>
      <w:r w:rsidR="00811E58" w:rsidRPr="00496659">
        <w:rPr>
          <w:rFonts w:ascii="Times New Roman" w:hAnsi="Times New Roman" w:cs="Times New Roman"/>
          <w:lang w:val="en-GB"/>
        </w:rPr>
        <w:t>romote universalization of the key international legal instruments for nuclear security;</w:t>
      </w:r>
    </w:p>
    <w:p w:rsidR="00811E58" w:rsidRPr="00496659" w:rsidRDefault="00E81A58" w:rsidP="00496659">
      <w:pPr>
        <w:pStyle w:val="ListParagraph"/>
        <w:numPr>
          <w:ilvl w:val="0"/>
          <w:numId w:val="12"/>
        </w:numPr>
        <w:spacing w:after="170" w:line="280" w:lineRule="atLeast"/>
        <w:contextualSpacing w:val="0"/>
        <w:jc w:val="both"/>
        <w:rPr>
          <w:rFonts w:ascii="Times New Roman" w:hAnsi="Times New Roman" w:cs="Times New Roman"/>
          <w:lang w:val="en-GB"/>
        </w:rPr>
      </w:pPr>
      <w:r>
        <w:rPr>
          <w:rFonts w:ascii="Times New Roman" w:hAnsi="Times New Roman" w:cs="Times New Roman"/>
          <w:lang w:val="en-GB"/>
        </w:rPr>
        <w:t>P</w:t>
      </w:r>
      <w:r w:rsidR="00811E58" w:rsidRPr="00496659">
        <w:rPr>
          <w:rFonts w:ascii="Times New Roman" w:hAnsi="Times New Roman" w:cs="Times New Roman"/>
          <w:lang w:val="en-GB"/>
        </w:rPr>
        <w:t>romote international nuclear security guidance and its use by States;</w:t>
      </w:r>
    </w:p>
    <w:p w:rsidR="00811E58" w:rsidRPr="00496659" w:rsidRDefault="00E81A58" w:rsidP="00496659">
      <w:pPr>
        <w:pStyle w:val="ListParagraph"/>
        <w:numPr>
          <w:ilvl w:val="0"/>
          <w:numId w:val="12"/>
        </w:numPr>
        <w:spacing w:after="170" w:line="280" w:lineRule="atLeast"/>
        <w:contextualSpacing w:val="0"/>
        <w:jc w:val="both"/>
        <w:rPr>
          <w:rFonts w:ascii="Times New Roman" w:hAnsi="Times New Roman" w:cs="Times New Roman"/>
          <w:lang w:val="en-GB"/>
        </w:rPr>
      </w:pPr>
      <w:r>
        <w:rPr>
          <w:rFonts w:ascii="Times New Roman" w:hAnsi="Times New Roman" w:cs="Times New Roman"/>
          <w:lang w:val="en-GB"/>
        </w:rPr>
        <w:t>R</w:t>
      </w:r>
      <w:r w:rsidR="00811E58" w:rsidRPr="00496659">
        <w:rPr>
          <w:rFonts w:ascii="Times New Roman" w:hAnsi="Times New Roman" w:cs="Times New Roman"/>
          <w:lang w:val="en-GB"/>
        </w:rPr>
        <w:t>eview technological developments in nuclear security;</w:t>
      </w:r>
    </w:p>
    <w:p w:rsidR="00811E58" w:rsidRPr="00496659" w:rsidRDefault="00E81A58" w:rsidP="00496659">
      <w:pPr>
        <w:pStyle w:val="ListParagraph"/>
        <w:numPr>
          <w:ilvl w:val="0"/>
          <w:numId w:val="12"/>
        </w:numPr>
        <w:spacing w:after="170" w:line="280" w:lineRule="atLeast"/>
        <w:contextualSpacing w:val="0"/>
        <w:jc w:val="both"/>
        <w:rPr>
          <w:rFonts w:ascii="Times New Roman" w:hAnsi="Times New Roman" w:cs="Times New Roman"/>
          <w:lang w:val="en-GB"/>
        </w:rPr>
      </w:pPr>
      <w:r>
        <w:rPr>
          <w:rFonts w:ascii="Times New Roman" w:hAnsi="Times New Roman" w:cs="Times New Roman"/>
          <w:lang w:val="en-GB"/>
        </w:rPr>
        <w:t>P</w:t>
      </w:r>
      <w:r w:rsidR="00811E58" w:rsidRPr="00496659">
        <w:rPr>
          <w:rFonts w:ascii="Times New Roman" w:hAnsi="Times New Roman" w:cs="Times New Roman"/>
          <w:lang w:val="en-GB"/>
        </w:rPr>
        <w:t>romote sharing of information and good practices in nuclear security, with due regard to the protection of sensitive information;</w:t>
      </w:r>
    </w:p>
    <w:p w:rsidR="00811E58" w:rsidRPr="00496659" w:rsidRDefault="00E81A58" w:rsidP="00496659">
      <w:pPr>
        <w:pStyle w:val="ListParagraph"/>
        <w:numPr>
          <w:ilvl w:val="0"/>
          <w:numId w:val="12"/>
        </w:numPr>
        <w:spacing w:after="170" w:line="280" w:lineRule="atLeast"/>
        <w:contextualSpacing w:val="0"/>
        <w:jc w:val="both"/>
        <w:rPr>
          <w:rFonts w:ascii="Times New Roman" w:hAnsi="Times New Roman" w:cs="Times New Roman"/>
          <w:lang w:val="en-GB"/>
        </w:rPr>
      </w:pPr>
      <w:r>
        <w:rPr>
          <w:rFonts w:ascii="Times New Roman" w:hAnsi="Times New Roman" w:cs="Times New Roman"/>
          <w:lang w:val="en-GB"/>
        </w:rPr>
        <w:t>P</w:t>
      </w:r>
      <w:r w:rsidR="00811E58" w:rsidRPr="00496659">
        <w:rPr>
          <w:rFonts w:ascii="Times New Roman" w:hAnsi="Times New Roman" w:cs="Times New Roman"/>
          <w:lang w:val="en-GB"/>
        </w:rPr>
        <w:t>romote stronger nuclear security culture;</w:t>
      </w:r>
    </w:p>
    <w:p w:rsidR="00811E58" w:rsidRPr="00496659" w:rsidRDefault="00E81A58" w:rsidP="00496659">
      <w:pPr>
        <w:pStyle w:val="ListParagraph"/>
        <w:numPr>
          <w:ilvl w:val="0"/>
          <w:numId w:val="12"/>
        </w:numPr>
        <w:spacing w:after="170" w:line="280" w:lineRule="atLeast"/>
        <w:contextualSpacing w:val="0"/>
        <w:jc w:val="both"/>
        <w:rPr>
          <w:rFonts w:ascii="Times New Roman" w:hAnsi="Times New Roman" w:cs="Times New Roman"/>
          <w:lang w:val="en-GB"/>
        </w:rPr>
      </w:pPr>
      <w:r>
        <w:rPr>
          <w:rFonts w:ascii="Times New Roman" w:hAnsi="Times New Roman" w:cs="Times New Roman"/>
          <w:lang w:val="en-GB"/>
        </w:rPr>
        <w:t>S</w:t>
      </w:r>
      <w:r w:rsidR="00811E58" w:rsidRPr="00496659">
        <w:rPr>
          <w:rFonts w:ascii="Times New Roman" w:hAnsi="Times New Roman" w:cs="Times New Roman"/>
          <w:lang w:val="en-GB"/>
        </w:rPr>
        <w:t>upport capacity building to help sustain national nuclear security regimes;</w:t>
      </w:r>
    </w:p>
    <w:p w:rsidR="00811E58" w:rsidRPr="00496659" w:rsidRDefault="00E81A58" w:rsidP="00496659">
      <w:pPr>
        <w:pStyle w:val="ListParagraph"/>
        <w:numPr>
          <w:ilvl w:val="0"/>
          <w:numId w:val="12"/>
        </w:numPr>
        <w:spacing w:after="170" w:line="280" w:lineRule="atLeast"/>
        <w:contextualSpacing w:val="0"/>
        <w:jc w:val="both"/>
        <w:rPr>
          <w:rFonts w:ascii="Times New Roman" w:hAnsi="Times New Roman" w:cs="Times New Roman"/>
          <w:lang w:val="en-GB"/>
        </w:rPr>
      </w:pPr>
      <w:r>
        <w:rPr>
          <w:rFonts w:ascii="Times New Roman" w:hAnsi="Times New Roman" w:cs="Times New Roman"/>
          <w:lang w:val="en-GB"/>
        </w:rPr>
        <w:t>E</w:t>
      </w:r>
      <w:r w:rsidR="00811E58" w:rsidRPr="00496659">
        <w:rPr>
          <w:rFonts w:ascii="Times New Roman" w:hAnsi="Times New Roman" w:cs="Times New Roman"/>
          <w:lang w:val="en-GB"/>
        </w:rPr>
        <w:t xml:space="preserve">ncourage diverse participation in </w:t>
      </w:r>
      <w:r>
        <w:rPr>
          <w:rFonts w:ascii="Times New Roman" w:hAnsi="Times New Roman" w:cs="Times New Roman"/>
          <w:lang w:val="en-GB"/>
        </w:rPr>
        <w:t>such</w:t>
      </w:r>
      <w:r w:rsidRPr="00496659">
        <w:rPr>
          <w:rFonts w:ascii="Times New Roman" w:hAnsi="Times New Roman" w:cs="Times New Roman"/>
          <w:lang w:val="en-GB"/>
        </w:rPr>
        <w:t xml:space="preserve"> </w:t>
      </w:r>
      <w:r w:rsidR="00811E58" w:rsidRPr="00496659">
        <w:rPr>
          <w:rFonts w:ascii="Times New Roman" w:hAnsi="Times New Roman" w:cs="Times New Roman"/>
          <w:lang w:val="en-GB"/>
        </w:rPr>
        <w:t>conference</w:t>
      </w:r>
      <w:r>
        <w:rPr>
          <w:rFonts w:ascii="Times New Roman" w:hAnsi="Times New Roman" w:cs="Times New Roman"/>
          <w:lang w:val="en-GB"/>
        </w:rPr>
        <w:t>s</w:t>
      </w:r>
      <w:r w:rsidR="00811E58" w:rsidRPr="00496659">
        <w:rPr>
          <w:rFonts w:ascii="Times New Roman" w:hAnsi="Times New Roman" w:cs="Times New Roman"/>
          <w:lang w:val="en-GB"/>
        </w:rPr>
        <w:t>, including increased representation of women, early career professionals and individuals from developing countries; and</w:t>
      </w:r>
    </w:p>
    <w:p w:rsidR="00811E58" w:rsidRPr="00496659" w:rsidRDefault="00E81A58" w:rsidP="00496659">
      <w:pPr>
        <w:pStyle w:val="ListParagraph"/>
        <w:numPr>
          <w:ilvl w:val="0"/>
          <w:numId w:val="12"/>
        </w:numPr>
        <w:spacing w:after="170" w:line="280" w:lineRule="atLeast"/>
        <w:contextualSpacing w:val="0"/>
        <w:jc w:val="both"/>
        <w:rPr>
          <w:rFonts w:ascii="Times New Roman" w:hAnsi="Times New Roman" w:cs="Times New Roman"/>
          <w:lang w:val="en-GB"/>
        </w:rPr>
      </w:pPr>
      <w:r>
        <w:rPr>
          <w:rFonts w:ascii="Times New Roman" w:hAnsi="Times New Roman" w:cs="Times New Roman"/>
          <w:lang w:val="en-GB"/>
        </w:rPr>
        <w:lastRenderedPageBreak/>
        <w:t>R</w:t>
      </w:r>
      <w:r w:rsidR="00811E58" w:rsidRPr="00496659">
        <w:rPr>
          <w:rFonts w:ascii="Times New Roman" w:hAnsi="Times New Roman" w:cs="Times New Roman"/>
          <w:lang w:val="en-GB"/>
        </w:rPr>
        <w:t>eaffirm and support the central role of the IAEA in strengthening the nuclear security framework globally and leading the coordination of international activities in the field of nuclear security, whilst avoiding duplication and overlap.</w:t>
      </w:r>
    </w:p>
    <w:p w:rsidR="00733D7D" w:rsidRPr="008E5EBB" w:rsidRDefault="00AE19FA" w:rsidP="00917F5D">
      <w:pPr>
        <w:pStyle w:val="Heading1"/>
        <w:spacing w:before="840" w:after="360"/>
        <w:jc w:val="both"/>
      </w:pPr>
      <w:bookmarkStart w:id="2" w:name="_Ref435194730"/>
      <w:r w:rsidRPr="008E5EBB">
        <w:t xml:space="preserve">List of </w:t>
      </w:r>
      <w:r w:rsidR="00733D7D" w:rsidRPr="008E5EBB">
        <w:t>Topics</w:t>
      </w:r>
      <w:bookmarkEnd w:id="1"/>
      <w:bookmarkEnd w:id="2"/>
    </w:p>
    <w:p w:rsidR="00811E58" w:rsidRPr="008E5EBB" w:rsidRDefault="00811E58" w:rsidP="00496659">
      <w:pPr>
        <w:pStyle w:val="Default"/>
        <w:spacing w:after="170" w:line="280" w:lineRule="atLeast"/>
        <w:jc w:val="both"/>
        <w:rPr>
          <w:color w:val="auto"/>
          <w:sz w:val="22"/>
          <w:szCs w:val="22"/>
        </w:rPr>
      </w:pPr>
      <w:r w:rsidRPr="008E5EBB">
        <w:rPr>
          <w:color w:val="auto"/>
          <w:sz w:val="22"/>
          <w:szCs w:val="22"/>
        </w:rPr>
        <w:t xml:space="preserve">Consistent with the objectives set out above, the overall themes for the </w:t>
      </w:r>
      <w:r w:rsidR="00E81A58">
        <w:rPr>
          <w:color w:val="auto"/>
          <w:sz w:val="22"/>
          <w:szCs w:val="22"/>
        </w:rPr>
        <w:t>c</w:t>
      </w:r>
      <w:r w:rsidRPr="008E5EBB">
        <w:rPr>
          <w:color w:val="auto"/>
          <w:sz w:val="22"/>
          <w:szCs w:val="22"/>
        </w:rPr>
        <w:t xml:space="preserve">onference will be the future of nuclear security worldwide having </w:t>
      </w:r>
      <w:proofErr w:type="gramStart"/>
      <w:r w:rsidRPr="008E5EBB">
        <w:rPr>
          <w:color w:val="auto"/>
          <w:sz w:val="22"/>
          <w:szCs w:val="22"/>
        </w:rPr>
        <w:t>regard</w:t>
      </w:r>
      <w:proofErr w:type="gramEnd"/>
      <w:r w:rsidRPr="008E5EBB">
        <w:rPr>
          <w:color w:val="auto"/>
          <w:sz w:val="22"/>
          <w:szCs w:val="22"/>
        </w:rPr>
        <w:t xml:space="preserve"> to:</w:t>
      </w:r>
    </w:p>
    <w:p w:rsidR="00811E58" w:rsidRPr="00496659" w:rsidRDefault="00811E58" w:rsidP="00496659">
      <w:pPr>
        <w:pStyle w:val="ListParagraph"/>
        <w:numPr>
          <w:ilvl w:val="0"/>
          <w:numId w:val="14"/>
        </w:numPr>
        <w:spacing w:after="170" w:line="280" w:lineRule="atLeast"/>
        <w:contextualSpacing w:val="0"/>
        <w:jc w:val="both"/>
        <w:rPr>
          <w:rFonts w:ascii="Times New Roman" w:hAnsi="Times New Roman" w:cs="Times New Roman"/>
          <w:lang w:val="en-GB"/>
        </w:rPr>
      </w:pPr>
      <w:r w:rsidRPr="00496659">
        <w:rPr>
          <w:rFonts w:ascii="Times New Roman" w:hAnsi="Times New Roman" w:cs="Times New Roman"/>
          <w:lang w:val="en-GB"/>
        </w:rPr>
        <w:t xml:space="preserve">International legal instruments for nuclear security: </w:t>
      </w:r>
      <w:r w:rsidR="00E81A58">
        <w:rPr>
          <w:rFonts w:ascii="Times New Roman" w:hAnsi="Times New Roman" w:cs="Times New Roman"/>
          <w:lang w:val="en-GB"/>
        </w:rPr>
        <w:t>u</w:t>
      </w:r>
      <w:r w:rsidRPr="00496659">
        <w:rPr>
          <w:rFonts w:ascii="Times New Roman" w:hAnsi="Times New Roman" w:cs="Times New Roman"/>
          <w:lang w:val="en-GB"/>
        </w:rPr>
        <w:t>niversalization and implementation of binding international legal instruments;</w:t>
      </w:r>
    </w:p>
    <w:p w:rsidR="00811E58" w:rsidRPr="00496659" w:rsidRDefault="00811E58" w:rsidP="00496659">
      <w:pPr>
        <w:pStyle w:val="ListParagraph"/>
        <w:numPr>
          <w:ilvl w:val="0"/>
          <w:numId w:val="14"/>
        </w:numPr>
        <w:spacing w:after="170" w:line="280" w:lineRule="atLeast"/>
        <w:contextualSpacing w:val="0"/>
        <w:jc w:val="both"/>
        <w:rPr>
          <w:rFonts w:ascii="Times New Roman" w:hAnsi="Times New Roman" w:cs="Times New Roman"/>
          <w:lang w:val="en-GB"/>
        </w:rPr>
      </w:pPr>
      <w:r w:rsidRPr="00496659">
        <w:rPr>
          <w:rFonts w:ascii="Times New Roman" w:hAnsi="Times New Roman" w:cs="Times New Roman"/>
          <w:lang w:val="en-GB"/>
        </w:rPr>
        <w:t xml:space="preserve">International bodies and initiatives for nuclear security: </w:t>
      </w:r>
      <w:r w:rsidR="00E81A58">
        <w:rPr>
          <w:rFonts w:ascii="Times New Roman" w:hAnsi="Times New Roman" w:cs="Times New Roman"/>
          <w:lang w:val="en-GB"/>
        </w:rPr>
        <w:t>r</w:t>
      </w:r>
      <w:r w:rsidRPr="00496659">
        <w:rPr>
          <w:rFonts w:ascii="Times New Roman" w:hAnsi="Times New Roman" w:cs="Times New Roman"/>
          <w:lang w:val="en-GB"/>
        </w:rPr>
        <w:t>ole of the IAEA in coordinating international efforts;</w:t>
      </w:r>
    </w:p>
    <w:p w:rsidR="00811E58" w:rsidRPr="00496659" w:rsidRDefault="00811E58" w:rsidP="00496659">
      <w:pPr>
        <w:pStyle w:val="ListParagraph"/>
        <w:numPr>
          <w:ilvl w:val="0"/>
          <w:numId w:val="14"/>
        </w:numPr>
        <w:spacing w:after="170" w:line="280" w:lineRule="atLeast"/>
        <w:contextualSpacing w:val="0"/>
        <w:jc w:val="both"/>
        <w:rPr>
          <w:rFonts w:ascii="Times New Roman" w:hAnsi="Times New Roman" w:cs="Times New Roman"/>
          <w:lang w:val="en-GB"/>
        </w:rPr>
      </w:pPr>
      <w:r w:rsidRPr="00496659">
        <w:rPr>
          <w:rFonts w:ascii="Times New Roman" w:hAnsi="Times New Roman" w:cs="Times New Roman"/>
          <w:lang w:val="en-GB"/>
        </w:rPr>
        <w:t xml:space="preserve">Nuclear </w:t>
      </w:r>
      <w:r w:rsidR="00E81A58">
        <w:rPr>
          <w:rFonts w:ascii="Times New Roman" w:hAnsi="Times New Roman" w:cs="Times New Roman"/>
          <w:lang w:val="en-GB"/>
        </w:rPr>
        <w:t>m</w:t>
      </w:r>
      <w:r w:rsidRPr="00496659">
        <w:rPr>
          <w:rFonts w:ascii="Times New Roman" w:hAnsi="Times New Roman" w:cs="Times New Roman"/>
          <w:lang w:val="en-GB"/>
        </w:rPr>
        <w:t xml:space="preserve">aterial and </w:t>
      </w:r>
      <w:r w:rsidR="00E81A58">
        <w:rPr>
          <w:rFonts w:ascii="Times New Roman" w:hAnsi="Times New Roman" w:cs="Times New Roman"/>
          <w:lang w:val="en-GB"/>
        </w:rPr>
        <w:t>n</w:t>
      </w:r>
      <w:r w:rsidRPr="00496659">
        <w:rPr>
          <w:rFonts w:ascii="Times New Roman" w:hAnsi="Times New Roman" w:cs="Times New Roman"/>
          <w:lang w:val="en-GB"/>
        </w:rPr>
        <w:t xml:space="preserve">uclear </w:t>
      </w:r>
      <w:r w:rsidR="00E81A58">
        <w:rPr>
          <w:rFonts w:ascii="Times New Roman" w:hAnsi="Times New Roman" w:cs="Times New Roman"/>
          <w:lang w:val="en-GB"/>
        </w:rPr>
        <w:t>f</w:t>
      </w:r>
      <w:r w:rsidRPr="00496659">
        <w:rPr>
          <w:rFonts w:ascii="Times New Roman" w:hAnsi="Times New Roman" w:cs="Times New Roman"/>
          <w:lang w:val="en-GB"/>
        </w:rPr>
        <w:t xml:space="preserve">acilities: </w:t>
      </w:r>
      <w:r w:rsidR="00E81A58">
        <w:rPr>
          <w:rFonts w:ascii="Times New Roman" w:hAnsi="Times New Roman" w:cs="Times New Roman"/>
          <w:lang w:val="en-GB"/>
        </w:rPr>
        <w:t>n</w:t>
      </w:r>
      <w:r w:rsidRPr="00496659">
        <w:rPr>
          <w:rFonts w:ascii="Times New Roman" w:hAnsi="Times New Roman" w:cs="Times New Roman"/>
          <w:lang w:val="en-GB"/>
        </w:rPr>
        <w:t>ational approaches, emerging trends and areas to be addressed;</w:t>
      </w:r>
    </w:p>
    <w:p w:rsidR="00811E58" w:rsidRPr="00496659" w:rsidRDefault="00811E58" w:rsidP="00496659">
      <w:pPr>
        <w:pStyle w:val="ListParagraph"/>
        <w:numPr>
          <w:ilvl w:val="0"/>
          <w:numId w:val="14"/>
        </w:numPr>
        <w:spacing w:after="170" w:line="280" w:lineRule="atLeast"/>
        <w:contextualSpacing w:val="0"/>
        <w:jc w:val="both"/>
        <w:rPr>
          <w:rFonts w:ascii="Times New Roman" w:hAnsi="Times New Roman" w:cs="Times New Roman"/>
          <w:lang w:val="en-GB"/>
        </w:rPr>
      </w:pPr>
      <w:r w:rsidRPr="00496659">
        <w:rPr>
          <w:rFonts w:ascii="Times New Roman" w:hAnsi="Times New Roman" w:cs="Times New Roman"/>
          <w:lang w:val="en-GB"/>
        </w:rPr>
        <w:t xml:space="preserve">Radioactive </w:t>
      </w:r>
      <w:r w:rsidR="00E81A58">
        <w:rPr>
          <w:rFonts w:ascii="Times New Roman" w:hAnsi="Times New Roman" w:cs="Times New Roman"/>
          <w:lang w:val="en-GB"/>
        </w:rPr>
        <w:t>m</w:t>
      </w:r>
      <w:r w:rsidRPr="00496659">
        <w:rPr>
          <w:rFonts w:ascii="Times New Roman" w:hAnsi="Times New Roman" w:cs="Times New Roman"/>
          <w:lang w:val="en-GB"/>
        </w:rPr>
        <w:t xml:space="preserve">aterial and </w:t>
      </w:r>
      <w:r w:rsidR="00E81A58">
        <w:rPr>
          <w:rFonts w:ascii="Times New Roman" w:hAnsi="Times New Roman" w:cs="Times New Roman"/>
          <w:lang w:val="en-GB"/>
        </w:rPr>
        <w:t>a</w:t>
      </w:r>
      <w:r w:rsidRPr="00496659">
        <w:rPr>
          <w:rFonts w:ascii="Times New Roman" w:hAnsi="Times New Roman" w:cs="Times New Roman"/>
          <w:lang w:val="en-GB"/>
        </w:rPr>
        <w:t xml:space="preserve">ssociated </w:t>
      </w:r>
      <w:r w:rsidR="00E81A58">
        <w:rPr>
          <w:rFonts w:ascii="Times New Roman" w:hAnsi="Times New Roman" w:cs="Times New Roman"/>
          <w:lang w:val="en-GB"/>
        </w:rPr>
        <w:t>f</w:t>
      </w:r>
      <w:r w:rsidRPr="00496659">
        <w:rPr>
          <w:rFonts w:ascii="Times New Roman" w:hAnsi="Times New Roman" w:cs="Times New Roman"/>
          <w:lang w:val="en-GB"/>
        </w:rPr>
        <w:t xml:space="preserve">acilities: </w:t>
      </w:r>
      <w:r w:rsidR="00E81A58">
        <w:rPr>
          <w:rFonts w:ascii="Times New Roman" w:hAnsi="Times New Roman" w:cs="Times New Roman"/>
          <w:lang w:val="en-GB"/>
        </w:rPr>
        <w:t>n</w:t>
      </w:r>
      <w:r w:rsidRPr="00496659">
        <w:rPr>
          <w:rFonts w:ascii="Times New Roman" w:hAnsi="Times New Roman" w:cs="Times New Roman"/>
          <w:lang w:val="en-GB"/>
        </w:rPr>
        <w:t>ational approaches, emerging trends and areas to be addressed;</w:t>
      </w:r>
    </w:p>
    <w:p w:rsidR="00811E58" w:rsidRPr="00496659" w:rsidRDefault="00811E58" w:rsidP="00496659">
      <w:pPr>
        <w:pStyle w:val="ListParagraph"/>
        <w:numPr>
          <w:ilvl w:val="0"/>
          <w:numId w:val="14"/>
        </w:numPr>
        <w:spacing w:after="170" w:line="280" w:lineRule="atLeast"/>
        <w:contextualSpacing w:val="0"/>
        <w:jc w:val="both"/>
        <w:rPr>
          <w:rFonts w:ascii="Times New Roman" w:hAnsi="Times New Roman" w:cs="Times New Roman"/>
          <w:lang w:val="en-GB"/>
        </w:rPr>
      </w:pPr>
      <w:r w:rsidRPr="00496659">
        <w:rPr>
          <w:rFonts w:ascii="Times New Roman" w:hAnsi="Times New Roman" w:cs="Times New Roman"/>
          <w:lang w:val="en-GB"/>
        </w:rPr>
        <w:t xml:space="preserve">Nuclear and </w:t>
      </w:r>
      <w:r w:rsidR="00E81A58">
        <w:rPr>
          <w:rFonts w:ascii="Times New Roman" w:hAnsi="Times New Roman" w:cs="Times New Roman"/>
          <w:lang w:val="en-GB"/>
        </w:rPr>
        <w:t>o</w:t>
      </w:r>
      <w:r w:rsidRPr="00496659">
        <w:rPr>
          <w:rFonts w:ascii="Times New Roman" w:hAnsi="Times New Roman" w:cs="Times New Roman"/>
          <w:lang w:val="en-GB"/>
        </w:rPr>
        <w:t xml:space="preserve">ther </w:t>
      </w:r>
      <w:r w:rsidR="00E81A58">
        <w:rPr>
          <w:rFonts w:ascii="Times New Roman" w:hAnsi="Times New Roman" w:cs="Times New Roman"/>
          <w:lang w:val="en-GB"/>
        </w:rPr>
        <w:t>r</w:t>
      </w:r>
      <w:r w:rsidRPr="00496659">
        <w:rPr>
          <w:rFonts w:ascii="Times New Roman" w:hAnsi="Times New Roman" w:cs="Times New Roman"/>
          <w:lang w:val="en-GB"/>
        </w:rPr>
        <w:t xml:space="preserve">adioactive </w:t>
      </w:r>
      <w:r w:rsidR="00E81A58">
        <w:rPr>
          <w:rFonts w:ascii="Times New Roman" w:hAnsi="Times New Roman" w:cs="Times New Roman"/>
          <w:lang w:val="en-GB"/>
        </w:rPr>
        <w:t>m</w:t>
      </w:r>
      <w:r w:rsidRPr="00496659">
        <w:rPr>
          <w:rFonts w:ascii="Times New Roman" w:hAnsi="Times New Roman" w:cs="Times New Roman"/>
          <w:lang w:val="en-GB"/>
        </w:rPr>
        <w:t xml:space="preserve">aterial </w:t>
      </w:r>
      <w:r w:rsidR="00E81A58">
        <w:rPr>
          <w:rFonts w:ascii="Times New Roman" w:hAnsi="Times New Roman" w:cs="Times New Roman"/>
          <w:lang w:val="en-GB"/>
        </w:rPr>
        <w:t>o</w:t>
      </w:r>
      <w:r w:rsidRPr="00496659">
        <w:rPr>
          <w:rFonts w:ascii="Times New Roman" w:hAnsi="Times New Roman" w:cs="Times New Roman"/>
          <w:lang w:val="en-GB"/>
        </w:rPr>
        <w:t xml:space="preserve">ut of </w:t>
      </w:r>
      <w:r w:rsidR="00E81A58">
        <w:rPr>
          <w:rFonts w:ascii="Times New Roman" w:hAnsi="Times New Roman" w:cs="Times New Roman"/>
          <w:lang w:val="en-GB"/>
        </w:rPr>
        <w:t>r</w:t>
      </w:r>
      <w:r w:rsidRPr="00496659">
        <w:rPr>
          <w:rFonts w:ascii="Times New Roman" w:hAnsi="Times New Roman" w:cs="Times New Roman"/>
          <w:lang w:val="en-GB"/>
        </w:rPr>
        <w:t xml:space="preserve">egulatory </w:t>
      </w:r>
      <w:r w:rsidR="00E81A58">
        <w:rPr>
          <w:rFonts w:ascii="Times New Roman" w:hAnsi="Times New Roman" w:cs="Times New Roman"/>
          <w:lang w:val="en-GB"/>
        </w:rPr>
        <w:t>c</w:t>
      </w:r>
      <w:r w:rsidRPr="00496659">
        <w:rPr>
          <w:rFonts w:ascii="Times New Roman" w:hAnsi="Times New Roman" w:cs="Times New Roman"/>
          <w:lang w:val="en-GB"/>
        </w:rPr>
        <w:t xml:space="preserve">ontrol: </w:t>
      </w:r>
      <w:r w:rsidR="00E81A58">
        <w:rPr>
          <w:rFonts w:ascii="Times New Roman" w:hAnsi="Times New Roman" w:cs="Times New Roman"/>
          <w:lang w:val="en-GB"/>
        </w:rPr>
        <w:t>e</w:t>
      </w:r>
      <w:r w:rsidRPr="00496659">
        <w:rPr>
          <w:rFonts w:ascii="Times New Roman" w:hAnsi="Times New Roman" w:cs="Times New Roman"/>
          <w:lang w:val="en-GB"/>
        </w:rPr>
        <w:t>xisting approaches, emerging trends and areas to be addressed;</w:t>
      </w:r>
      <w:r w:rsidR="00E81A58">
        <w:rPr>
          <w:rFonts w:ascii="Times New Roman" w:hAnsi="Times New Roman" w:cs="Times New Roman"/>
          <w:lang w:val="en-GB"/>
        </w:rPr>
        <w:t xml:space="preserve"> and</w:t>
      </w:r>
    </w:p>
    <w:p w:rsidR="00811E58" w:rsidRPr="00496659" w:rsidRDefault="00811E58" w:rsidP="00496659">
      <w:pPr>
        <w:pStyle w:val="ListParagraph"/>
        <w:numPr>
          <w:ilvl w:val="0"/>
          <w:numId w:val="14"/>
        </w:numPr>
        <w:spacing w:after="170" w:line="280" w:lineRule="atLeast"/>
        <w:contextualSpacing w:val="0"/>
        <w:jc w:val="both"/>
        <w:rPr>
          <w:rFonts w:ascii="Times New Roman" w:hAnsi="Times New Roman" w:cs="Times New Roman"/>
          <w:b/>
          <w:lang w:val="en-GB"/>
        </w:rPr>
      </w:pPr>
      <w:r w:rsidRPr="00496659">
        <w:rPr>
          <w:rFonts w:ascii="Times New Roman" w:hAnsi="Times New Roman" w:cs="Times New Roman"/>
          <w:lang w:val="en-GB"/>
        </w:rPr>
        <w:t xml:space="preserve">National </w:t>
      </w:r>
      <w:r w:rsidR="00E81A58">
        <w:rPr>
          <w:rFonts w:ascii="Times New Roman" w:hAnsi="Times New Roman" w:cs="Times New Roman"/>
          <w:lang w:val="en-GB"/>
        </w:rPr>
        <w:t>n</w:t>
      </w:r>
      <w:r w:rsidRPr="00496659">
        <w:rPr>
          <w:rFonts w:ascii="Times New Roman" w:hAnsi="Times New Roman" w:cs="Times New Roman"/>
          <w:lang w:val="en-GB"/>
        </w:rPr>
        <w:t xml:space="preserve">uclear </w:t>
      </w:r>
      <w:r w:rsidR="00E81A58">
        <w:rPr>
          <w:rFonts w:ascii="Times New Roman" w:hAnsi="Times New Roman" w:cs="Times New Roman"/>
          <w:lang w:val="en-GB"/>
        </w:rPr>
        <w:t>s</w:t>
      </w:r>
      <w:r w:rsidRPr="00496659">
        <w:rPr>
          <w:rFonts w:ascii="Times New Roman" w:hAnsi="Times New Roman" w:cs="Times New Roman"/>
          <w:lang w:val="en-GB"/>
        </w:rPr>
        <w:t xml:space="preserve">ecurity </w:t>
      </w:r>
      <w:r w:rsidR="00E81A58">
        <w:rPr>
          <w:rFonts w:ascii="Times New Roman" w:hAnsi="Times New Roman" w:cs="Times New Roman"/>
          <w:lang w:val="en-GB"/>
        </w:rPr>
        <w:t>r</w:t>
      </w:r>
      <w:r w:rsidRPr="00496659">
        <w:rPr>
          <w:rFonts w:ascii="Times New Roman" w:hAnsi="Times New Roman" w:cs="Times New Roman"/>
          <w:lang w:val="en-GB"/>
        </w:rPr>
        <w:t>egime</w:t>
      </w:r>
      <w:r w:rsidR="00E81A58">
        <w:rPr>
          <w:rFonts w:ascii="Times New Roman" w:hAnsi="Times New Roman" w:cs="Times New Roman"/>
          <w:lang w:val="en-GB"/>
        </w:rPr>
        <w:t>s</w:t>
      </w:r>
      <w:r w:rsidRPr="00496659">
        <w:rPr>
          <w:rFonts w:ascii="Times New Roman" w:hAnsi="Times New Roman" w:cs="Times New Roman"/>
          <w:lang w:val="en-GB"/>
        </w:rPr>
        <w:t xml:space="preserve">: </w:t>
      </w:r>
      <w:r w:rsidR="00E81A58">
        <w:rPr>
          <w:rFonts w:ascii="Times New Roman" w:hAnsi="Times New Roman" w:cs="Times New Roman"/>
          <w:lang w:val="en-GB"/>
        </w:rPr>
        <w:t>e</w:t>
      </w:r>
      <w:r w:rsidRPr="00496659">
        <w:rPr>
          <w:rFonts w:ascii="Times New Roman" w:hAnsi="Times New Roman" w:cs="Times New Roman"/>
          <w:lang w:val="en-GB"/>
        </w:rPr>
        <w:t>xisting approaches, emerging trends and areas to be addressed.</w:t>
      </w:r>
    </w:p>
    <w:p w:rsidR="00811E58" w:rsidRPr="008E5EBB" w:rsidRDefault="00811E58" w:rsidP="00496659">
      <w:pPr>
        <w:pStyle w:val="Default"/>
        <w:spacing w:after="170" w:line="280" w:lineRule="atLeast"/>
        <w:jc w:val="both"/>
        <w:rPr>
          <w:color w:val="auto"/>
          <w:sz w:val="22"/>
          <w:szCs w:val="22"/>
        </w:rPr>
      </w:pPr>
      <w:r w:rsidRPr="008E5EBB">
        <w:rPr>
          <w:color w:val="auto"/>
          <w:sz w:val="22"/>
          <w:szCs w:val="22"/>
        </w:rPr>
        <w:t xml:space="preserve">These themes will be discussed during the high level policy sessions of the </w:t>
      </w:r>
      <w:r w:rsidR="00E81A58">
        <w:rPr>
          <w:color w:val="auto"/>
          <w:sz w:val="22"/>
          <w:szCs w:val="22"/>
        </w:rPr>
        <w:t>c</w:t>
      </w:r>
      <w:r w:rsidRPr="008E5EBB">
        <w:rPr>
          <w:color w:val="auto"/>
          <w:sz w:val="22"/>
          <w:szCs w:val="22"/>
        </w:rPr>
        <w:t>onference.</w:t>
      </w:r>
    </w:p>
    <w:p w:rsidR="00811E58" w:rsidRPr="008E5EBB" w:rsidRDefault="00811E58" w:rsidP="00496659">
      <w:pPr>
        <w:pStyle w:val="Default"/>
        <w:spacing w:after="170" w:line="280" w:lineRule="atLeast"/>
        <w:jc w:val="both"/>
        <w:rPr>
          <w:color w:val="auto"/>
          <w:sz w:val="22"/>
          <w:szCs w:val="22"/>
        </w:rPr>
      </w:pPr>
      <w:r w:rsidRPr="008E5EBB">
        <w:rPr>
          <w:color w:val="auto"/>
          <w:sz w:val="22"/>
          <w:szCs w:val="22"/>
        </w:rPr>
        <w:t>While the final determination of the number and scope of the technical sessions will be based on the nature and number of abstracts received, it is anticipated that the technical sessions may deal with subjects as diverse as the following:</w:t>
      </w:r>
    </w:p>
    <w:p w:rsidR="00811E58" w:rsidRPr="00496659" w:rsidRDefault="00811E58" w:rsidP="00496659">
      <w:pPr>
        <w:pStyle w:val="ListParagraph"/>
        <w:numPr>
          <w:ilvl w:val="0"/>
          <w:numId w:val="13"/>
        </w:numPr>
        <w:spacing w:after="170" w:line="280" w:lineRule="atLeast"/>
        <w:contextualSpacing w:val="0"/>
        <w:jc w:val="both"/>
        <w:rPr>
          <w:rFonts w:ascii="Times New Roman" w:hAnsi="Times New Roman" w:cs="Times New Roman"/>
          <w:lang w:val="en-GB"/>
        </w:rPr>
      </w:pPr>
      <w:r w:rsidRPr="00496659">
        <w:rPr>
          <w:rFonts w:ascii="Times New Roman" w:hAnsi="Times New Roman" w:cs="Times New Roman"/>
          <w:lang w:val="en-GB"/>
        </w:rPr>
        <w:t>National legislative and regulatory framework for nuclear security;</w:t>
      </w:r>
    </w:p>
    <w:p w:rsidR="00811E58" w:rsidRPr="00496659" w:rsidRDefault="00811E58" w:rsidP="00496659">
      <w:pPr>
        <w:pStyle w:val="ListParagraph"/>
        <w:numPr>
          <w:ilvl w:val="0"/>
          <w:numId w:val="13"/>
        </w:numPr>
        <w:spacing w:after="170" w:line="280" w:lineRule="atLeast"/>
        <w:contextualSpacing w:val="0"/>
        <w:jc w:val="both"/>
        <w:rPr>
          <w:rFonts w:ascii="Times New Roman" w:hAnsi="Times New Roman" w:cs="Times New Roman"/>
          <w:lang w:val="en-GB"/>
        </w:rPr>
      </w:pPr>
      <w:r w:rsidRPr="00496659">
        <w:rPr>
          <w:rFonts w:ascii="Times New Roman" w:hAnsi="Times New Roman" w:cs="Times New Roman"/>
          <w:lang w:val="en-GB"/>
        </w:rPr>
        <w:t>Regulatory oversight for nuclear security;</w:t>
      </w:r>
    </w:p>
    <w:p w:rsidR="00811E58" w:rsidRPr="00496659" w:rsidRDefault="00811E58" w:rsidP="00496659">
      <w:pPr>
        <w:pStyle w:val="ListParagraph"/>
        <w:numPr>
          <w:ilvl w:val="0"/>
          <w:numId w:val="13"/>
        </w:numPr>
        <w:spacing w:after="170" w:line="280" w:lineRule="atLeast"/>
        <w:contextualSpacing w:val="0"/>
        <w:jc w:val="both"/>
        <w:rPr>
          <w:rFonts w:ascii="Times New Roman" w:hAnsi="Times New Roman" w:cs="Times New Roman"/>
          <w:lang w:val="en-GB"/>
        </w:rPr>
      </w:pPr>
      <w:r w:rsidRPr="00496659">
        <w:rPr>
          <w:rFonts w:ascii="Times New Roman" w:hAnsi="Times New Roman" w:cs="Times New Roman"/>
          <w:lang w:val="en-GB"/>
        </w:rPr>
        <w:t>Threat and risk assessment;</w:t>
      </w:r>
    </w:p>
    <w:p w:rsidR="00811E58" w:rsidRPr="00496659" w:rsidRDefault="00811E58" w:rsidP="00496659">
      <w:pPr>
        <w:pStyle w:val="ListParagraph"/>
        <w:numPr>
          <w:ilvl w:val="0"/>
          <w:numId w:val="13"/>
        </w:numPr>
        <w:spacing w:after="170" w:line="280" w:lineRule="atLeast"/>
        <w:contextualSpacing w:val="0"/>
        <w:jc w:val="both"/>
        <w:rPr>
          <w:rFonts w:ascii="Times New Roman" w:hAnsi="Times New Roman" w:cs="Times New Roman"/>
          <w:lang w:val="en-GB"/>
        </w:rPr>
      </w:pPr>
      <w:r w:rsidRPr="00496659">
        <w:rPr>
          <w:rFonts w:ascii="Times New Roman" w:hAnsi="Times New Roman" w:cs="Times New Roman"/>
          <w:lang w:val="en-GB"/>
        </w:rPr>
        <w:t>Insider threat</w:t>
      </w:r>
      <w:r w:rsidR="00E81A58">
        <w:rPr>
          <w:rFonts w:ascii="Times New Roman" w:hAnsi="Times New Roman" w:cs="Times New Roman"/>
          <w:lang w:val="en-GB"/>
        </w:rPr>
        <w:t>s</w:t>
      </w:r>
      <w:r w:rsidRPr="00496659">
        <w:rPr>
          <w:rFonts w:ascii="Times New Roman" w:hAnsi="Times New Roman" w:cs="Times New Roman"/>
          <w:lang w:val="en-GB"/>
        </w:rPr>
        <w:t>;</w:t>
      </w:r>
    </w:p>
    <w:p w:rsidR="00811E58" w:rsidRPr="00496659" w:rsidRDefault="00811E58" w:rsidP="00496659">
      <w:pPr>
        <w:pStyle w:val="ListParagraph"/>
        <w:numPr>
          <w:ilvl w:val="0"/>
          <w:numId w:val="13"/>
        </w:numPr>
        <w:spacing w:after="170" w:line="280" w:lineRule="atLeast"/>
        <w:contextualSpacing w:val="0"/>
        <w:jc w:val="both"/>
        <w:rPr>
          <w:rFonts w:ascii="Times New Roman" w:hAnsi="Times New Roman" w:cs="Times New Roman"/>
          <w:lang w:val="en-GB"/>
        </w:rPr>
      </w:pPr>
      <w:r w:rsidRPr="00496659">
        <w:rPr>
          <w:rFonts w:ascii="Times New Roman" w:hAnsi="Times New Roman" w:cs="Times New Roman"/>
          <w:lang w:val="en-GB"/>
        </w:rPr>
        <w:t>Physical protection of nuclear material and nuclear facilities;</w:t>
      </w:r>
    </w:p>
    <w:p w:rsidR="00811E58" w:rsidRPr="00496659" w:rsidRDefault="00811E58" w:rsidP="00496659">
      <w:pPr>
        <w:pStyle w:val="ListParagraph"/>
        <w:numPr>
          <w:ilvl w:val="0"/>
          <w:numId w:val="13"/>
        </w:numPr>
        <w:spacing w:after="170" w:line="280" w:lineRule="atLeast"/>
        <w:contextualSpacing w:val="0"/>
        <w:jc w:val="both"/>
        <w:rPr>
          <w:rFonts w:ascii="Times New Roman" w:hAnsi="Times New Roman" w:cs="Times New Roman"/>
          <w:lang w:val="en-GB"/>
        </w:rPr>
      </w:pPr>
      <w:r w:rsidRPr="00496659">
        <w:rPr>
          <w:rFonts w:ascii="Times New Roman" w:hAnsi="Times New Roman" w:cs="Times New Roman"/>
          <w:lang w:val="en-GB"/>
        </w:rPr>
        <w:t>Security of radioactive material and associated facilities;</w:t>
      </w:r>
    </w:p>
    <w:p w:rsidR="00811E58" w:rsidRPr="00496659" w:rsidRDefault="00811E58" w:rsidP="00496659">
      <w:pPr>
        <w:pStyle w:val="ListParagraph"/>
        <w:numPr>
          <w:ilvl w:val="0"/>
          <w:numId w:val="13"/>
        </w:numPr>
        <w:spacing w:after="170" w:line="280" w:lineRule="atLeast"/>
        <w:contextualSpacing w:val="0"/>
        <w:jc w:val="both"/>
        <w:rPr>
          <w:rFonts w:ascii="Times New Roman" w:hAnsi="Times New Roman" w:cs="Times New Roman"/>
          <w:lang w:val="en-GB"/>
        </w:rPr>
      </w:pPr>
      <w:r w:rsidRPr="00496659">
        <w:rPr>
          <w:rFonts w:ascii="Times New Roman" w:hAnsi="Times New Roman" w:cs="Times New Roman"/>
          <w:lang w:val="en-GB"/>
        </w:rPr>
        <w:t>Security of nuclear and other radioactive material in transport;</w:t>
      </w:r>
    </w:p>
    <w:p w:rsidR="00811E58" w:rsidRPr="00496659" w:rsidRDefault="00811E58" w:rsidP="00496659">
      <w:pPr>
        <w:pStyle w:val="ListParagraph"/>
        <w:numPr>
          <w:ilvl w:val="0"/>
          <w:numId w:val="13"/>
        </w:numPr>
        <w:spacing w:after="170" w:line="280" w:lineRule="atLeast"/>
        <w:contextualSpacing w:val="0"/>
        <w:jc w:val="both"/>
        <w:rPr>
          <w:rFonts w:ascii="Times New Roman" w:hAnsi="Times New Roman" w:cs="Times New Roman"/>
          <w:lang w:val="en-GB"/>
        </w:rPr>
      </w:pPr>
      <w:r w:rsidRPr="00496659">
        <w:rPr>
          <w:rFonts w:ascii="Times New Roman" w:hAnsi="Times New Roman" w:cs="Times New Roman"/>
          <w:lang w:val="en-GB"/>
        </w:rPr>
        <w:t>Nuclear security culture;</w:t>
      </w:r>
    </w:p>
    <w:p w:rsidR="00811E58" w:rsidRPr="00496659" w:rsidRDefault="00811E58" w:rsidP="00496659">
      <w:pPr>
        <w:pStyle w:val="ListParagraph"/>
        <w:numPr>
          <w:ilvl w:val="0"/>
          <w:numId w:val="13"/>
        </w:numPr>
        <w:spacing w:after="170" w:line="280" w:lineRule="atLeast"/>
        <w:contextualSpacing w:val="0"/>
        <w:jc w:val="both"/>
        <w:rPr>
          <w:rFonts w:ascii="Times New Roman" w:hAnsi="Times New Roman" w:cs="Times New Roman"/>
          <w:lang w:val="en-GB"/>
        </w:rPr>
      </w:pPr>
      <w:r w:rsidRPr="00496659">
        <w:rPr>
          <w:rFonts w:ascii="Times New Roman" w:hAnsi="Times New Roman" w:cs="Times New Roman"/>
          <w:lang w:val="en-GB"/>
        </w:rPr>
        <w:t>Information security and computer security;</w:t>
      </w:r>
    </w:p>
    <w:p w:rsidR="00811E58" w:rsidRPr="00496659" w:rsidRDefault="00811E58" w:rsidP="00496659">
      <w:pPr>
        <w:pStyle w:val="ListParagraph"/>
        <w:numPr>
          <w:ilvl w:val="0"/>
          <w:numId w:val="13"/>
        </w:numPr>
        <w:spacing w:after="170" w:line="280" w:lineRule="atLeast"/>
        <w:contextualSpacing w:val="0"/>
        <w:jc w:val="both"/>
        <w:rPr>
          <w:rFonts w:ascii="Times New Roman" w:hAnsi="Times New Roman" w:cs="Times New Roman"/>
          <w:lang w:val="en-GB"/>
        </w:rPr>
      </w:pPr>
      <w:r w:rsidRPr="00496659">
        <w:rPr>
          <w:rFonts w:ascii="Times New Roman" w:hAnsi="Times New Roman" w:cs="Times New Roman"/>
          <w:lang w:val="en-GB"/>
        </w:rPr>
        <w:t>Detection systems and measures for nuclear and other radioactive material out of regulatory control;</w:t>
      </w:r>
    </w:p>
    <w:p w:rsidR="00811E58" w:rsidRPr="00496659" w:rsidRDefault="00811E58" w:rsidP="00496659">
      <w:pPr>
        <w:pStyle w:val="ListParagraph"/>
        <w:numPr>
          <w:ilvl w:val="0"/>
          <w:numId w:val="13"/>
        </w:numPr>
        <w:spacing w:after="170" w:line="280" w:lineRule="atLeast"/>
        <w:contextualSpacing w:val="0"/>
        <w:jc w:val="both"/>
        <w:rPr>
          <w:rFonts w:ascii="Times New Roman" w:hAnsi="Times New Roman" w:cs="Times New Roman"/>
          <w:lang w:val="en-GB"/>
        </w:rPr>
      </w:pPr>
      <w:r w:rsidRPr="00496659">
        <w:rPr>
          <w:rFonts w:ascii="Times New Roman" w:hAnsi="Times New Roman" w:cs="Times New Roman"/>
          <w:lang w:val="en-GB"/>
        </w:rPr>
        <w:lastRenderedPageBreak/>
        <w:t>Nuclear forensics;</w:t>
      </w:r>
    </w:p>
    <w:p w:rsidR="00811E58" w:rsidRPr="00496659" w:rsidRDefault="00811E58" w:rsidP="00496659">
      <w:pPr>
        <w:pStyle w:val="ListParagraph"/>
        <w:numPr>
          <w:ilvl w:val="0"/>
          <w:numId w:val="13"/>
        </w:numPr>
        <w:spacing w:after="170" w:line="280" w:lineRule="atLeast"/>
        <w:contextualSpacing w:val="0"/>
        <w:jc w:val="both"/>
        <w:rPr>
          <w:rFonts w:ascii="Times New Roman" w:hAnsi="Times New Roman" w:cs="Times New Roman"/>
          <w:lang w:val="en-GB"/>
        </w:rPr>
      </w:pPr>
      <w:r w:rsidRPr="00496659">
        <w:rPr>
          <w:rFonts w:ascii="Times New Roman" w:hAnsi="Times New Roman" w:cs="Times New Roman"/>
          <w:lang w:val="en-GB"/>
        </w:rPr>
        <w:t>Response to nuclear security events;</w:t>
      </w:r>
    </w:p>
    <w:p w:rsidR="00811E58" w:rsidRPr="00496659" w:rsidRDefault="00811E58" w:rsidP="00496659">
      <w:pPr>
        <w:pStyle w:val="ListParagraph"/>
        <w:numPr>
          <w:ilvl w:val="0"/>
          <w:numId w:val="13"/>
        </w:numPr>
        <w:spacing w:after="170" w:line="280" w:lineRule="atLeast"/>
        <w:contextualSpacing w:val="0"/>
        <w:jc w:val="both"/>
        <w:rPr>
          <w:rFonts w:ascii="Times New Roman" w:hAnsi="Times New Roman" w:cs="Times New Roman"/>
          <w:lang w:val="en-GB"/>
        </w:rPr>
      </w:pPr>
      <w:r w:rsidRPr="00496659">
        <w:rPr>
          <w:rFonts w:ascii="Times New Roman" w:hAnsi="Times New Roman" w:cs="Times New Roman"/>
          <w:lang w:val="en-GB"/>
        </w:rPr>
        <w:t>Enhancing skills and knowledge of nuclear security personnel;</w:t>
      </w:r>
    </w:p>
    <w:p w:rsidR="00811E58" w:rsidRPr="00496659" w:rsidRDefault="00811E58" w:rsidP="00496659">
      <w:pPr>
        <w:pStyle w:val="ListParagraph"/>
        <w:numPr>
          <w:ilvl w:val="0"/>
          <w:numId w:val="13"/>
        </w:numPr>
        <w:spacing w:after="170" w:line="280" w:lineRule="atLeast"/>
        <w:contextualSpacing w:val="0"/>
        <w:jc w:val="both"/>
        <w:rPr>
          <w:rFonts w:ascii="Times New Roman" w:hAnsi="Times New Roman" w:cs="Times New Roman"/>
          <w:lang w:val="en-GB"/>
        </w:rPr>
      </w:pPr>
      <w:r w:rsidRPr="00496659">
        <w:rPr>
          <w:rFonts w:ascii="Times New Roman" w:hAnsi="Times New Roman" w:cs="Times New Roman"/>
          <w:lang w:val="en-GB"/>
        </w:rPr>
        <w:t>Human and organizational factors in nuclear security;</w:t>
      </w:r>
    </w:p>
    <w:p w:rsidR="00811E58" w:rsidRPr="00496659" w:rsidRDefault="00811E58" w:rsidP="00496659">
      <w:pPr>
        <w:pStyle w:val="ListParagraph"/>
        <w:numPr>
          <w:ilvl w:val="0"/>
          <w:numId w:val="13"/>
        </w:numPr>
        <w:spacing w:after="170" w:line="280" w:lineRule="atLeast"/>
        <w:contextualSpacing w:val="0"/>
        <w:jc w:val="both"/>
        <w:rPr>
          <w:rFonts w:ascii="Times New Roman" w:hAnsi="Times New Roman" w:cs="Times New Roman"/>
          <w:lang w:val="en-GB"/>
        </w:rPr>
      </w:pPr>
      <w:r w:rsidRPr="00496659">
        <w:rPr>
          <w:rFonts w:ascii="Times New Roman" w:hAnsi="Times New Roman" w:cs="Times New Roman"/>
          <w:lang w:val="en-GB"/>
        </w:rPr>
        <w:t>Strengthening nuclear security networks;</w:t>
      </w:r>
    </w:p>
    <w:p w:rsidR="00811E58" w:rsidRPr="00496659" w:rsidRDefault="00811E58" w:rsidP="00496659">
      <w:pPr>
        <w:pStyle w:val="ListParagraph"/>
        <w:numPr>
          <w:ilvl w:val="0"/>
          <w:numId w:val="13"/>
        </w:numPr>
        <w:spacing w:after="170" w:line="280" w:lineRule="atLeast"/>
        <w:contextualSpacing w:val="0"/>
        <w:jc w:val="both"/>
        <w:rPr>
          <w:rFonts w:ascii="Times New Roman" w:hAnsi="Times New Roman" w:cs="Times New Roman"/>
          <w:lang w:val="en-GB"/>
        </w:rPr>
      </w:pPr>
      <w:r w:rsidRPr="00496659">
        <w:rPr>
          <w:rFonts w:ascii="Times New Roman" w:hAnsi="Times New Roman" w:cs="Times New Roman"/>
          <w:lang w:val="en-GB"/>
        </w:rPr>
        <w:t>Enhancing international and regional cooperation and assistance for nuclear security;</w:t>
      </w:r>
    </w:p>
    <w:p w:rsidR="00811E58" w:rsidRPr="00496659" w:rsidRDefault="00E81A58" w:rsidP="00496659">
      <w:pPr>
        <w:pStyle w:val="ListParagraph"/>
        <w:numPr>
          <w:ilvl w:val="0"/>
          <w:numId w:val="13"/>
        </w:numPr>
        <w:spacing w:after="170" w:line="280" w:lineRule="atLeast"/>
        <w:contextualSpacing w:val="0"/>
        <w:jc w:val="both"/>
        <w:rPr>
          <w:rFonts w:ascii="Times New Roman" w:hAnsi="Times New Roman" w:cs="Times New Roman"/>
          <w:lang w:val="en-GB"/>
        </w:rPr>
      </w:pPr>
      <w:r>
        <w:rPr>
          <w:rFonts w:ascii="Times New Roman" w:hAnsi="Times New Roman" w:cs="Times New Roman"/>
          <w:lang w:val="en-GB"/>
        </w:rPr>
        <w:t>IAEA c</w:t>
      </w:r>
      <w:r w:rsidR="00811E58" w:rsidRPr="00496659">
        <w:rPr>
          <w:rFonts w:ascii="Times New Roman" w:hAnsi="Times New Roman" w:cs="Times New Roman"/>
          <w:lang w:val="en-GB"/>
        </w:rPr>
        <w:t xml:space="preserve">oordinated </w:t>
      </w:r>
      <w:r>
        <w:rPr>
          <w:rFonts w:ascii="Times New Roman" w:hAnsi="Times New Roman" w:cs="Times New Roman"/>
          <w:lang w:val="en-GB"/>
        </w:rPr>
        <w:t>r</w:t>
      </w:r>
      <w:r w:rsidR="00811E58" w:rsidRPr="00496659">
        <w:rPr>
          <w:rFonts w:ascii="Times New Roman" w:hAnsi="Times New Roman" w:cs="Times New Roman"/>
          <w:lang w:val="en-GB"/>
        </w:rPr>
        <w:t xml:space="preserve">esearch </w:t>
      </w:r>
      <w:r>
        <w:rPr>
          <w:rFonts w:ascii="Times New Roman" w:hAnsi="Times New Roman" w:cs="Times New Roman"/>
          <w:lang w:val="en-GB"/>
        </w:rPr>
        <w:t>p</w:t>
      </w:r>
      <w:r w:rsidR="00811E58" w:rsidRPr="00496659">
        <w:rPr>
          <w:rFonts w:ascii="Times New Roman" w:hAnsi="Times New Roman" w:cs="Times New Roman"/>
          <w:lang w:val="en-GB"/>
        </w:rPr>
        <w:t xml:space="preserve">rojects </w:t>
      </w:r>
      <w:r>
        <w:rPr>
          <w:rFonts w:ascii="Times New Roman" w:hAnsi="Times New Roman" w:cs="Times New Roman"/>
          <w:lang w:val="en-GB"/>
        </w:rPr>
        <w:t>—</w:t>
      </w:r>
      <w:r w:rsidRPr="00496659">
        <w:rPr>
          <w:rFonts w:ascii="Times New Roman" w:hAnsi="Times New Roman" w:cs="Times New Roman"/>
          <w:lang w:val="en-GB"/>
        </w:rPr>
        <w:t xml:space="preserve"> </w:t>
      </w:r>
      <w:r>
        <w:rPr>
          <w:rFonts w:ascii="Times New Roman" w:hAnsi="Times New Roman" w:cs="Times New Roman"/>
          <w:lang w:val="en-GB"/>
        </w:rPr>
        <w:t>r</w:t>
      </w:r>
      <w:r w:rsidR="00811E58" w:rsidRPr="00496659">
        <w:rPr>
          <w:rFonts w:ascii="Times New Roman" w:hAnsi="Times New Roman" w:cs="Times New Roman"/>
          <w:lang w:val="en-GB"/>
        </w:rPr>
        <w:t>esearch and development in nuclear security;</w:t>
      </w:r>
    </w:p>
    <w:p w:rsidR="00811E58" w:rsidRPr="00496659" w:rsidRDefault="00811E58" w:rsidP="00496659">
      <w:pPr>
        <w:pStyle w:val="ListParagraph"/>
        <w:numPr>
          <w:ilvl w:val="0"/>
          <w:numId w:val="13"/>
        </w:numPr>
        <w:spacing w:after="170" w:line="280" w:lineRule="atLeast"/>
        <w:contextualSpacing w:val="0"/>
        <w:jc w:val="both"/>
        <w:rPr>
          <w:rFonts w:ascii="Times New Roman" w:hAnsi="Times New Roman" w:cs="Times New Roman"/>
          <w:lang w:val="en-GB"/>
        </w:rPr>
      </w:pPr>
      <w:r w:rsidRPr="00496659">
        <w:rPr>
          <w:rFonts w:ascii="Times New Roman" w:hAnsi="Times New Roman" w:cs="Times New Roman"/>
          <w:lang w:val="en-GB"/>
        </w:rPr>
        <w:t>Technological developments in nuclear security with the objective of risk reduction;</w:t>
      </w:r>
    </w:p>
    <w:p w:rsidR="00811E58" w:rsidRPr="00496659" w:rsidRDefault="00811E58" w:rsidP="00496659">
      <w:pPr>
        <w:pStyle w:val="ListParagraph"/>
        <w:numPr>
          <w:ilvl w:val="0"/>
          <w:numId w:val="13"/>
        </w:numPr>
        <w:spacing w:after="170" w:line="280" w:lineRule="atLeast"/>
        <w:contextualSpacing w:val="0"/>
        <w:jc w:val="both"/>
        <w:rPr>
          <w:rFonts w:ascii="Times New Roman" w:hAnsi="Times New Roman" w:cs="Times New Roman"/>
          <w:lang w:val="en-GB"/>
        </w:rPr>
      </w:pPr>
      <w:r w:rsidRPr="00496659">
        <w:rPr>
          <w:rFonts w:ascii="Times New Roman" w:hAnsi="Times New Roman" w:cs="Times New Roman"/>
          <w:lang w:val="en-GB"/>
        </w:rPr>
        <w:t>Public messaging, communication about nuclear security</w:t>
      </w:r>
      <w:r w:rsidR="00E81A58">
        <w:rPr>
          <w:rFonts w:ascii="Times New Roman" w:hAnsi="Times New Roman" w:cs="Times New Roman"/>
          <w:lang w:val="en-GB"/>
        </w:rPr>
        <w:t>,</w:t>
      </w:r>
      <w:r w:rsidRPr="00496659">
        <w:rPr>
          <w:rFonts w:ascii="Times New Roman" w:hAnsi="Times New Roman" w:cs="Times New Roman"/>
          <w:lang w:val="en-GB"/>
        </w:rPr>
        <w:t xml:space="preserve"> including considerations for </w:t>
      </w:r>
      <w:r w:rsidR="00E81A58">
        <w:rPr>
          <w:rFonts w:ascii="Times New Roman" w:hAnsi="Times New Roman" w:cs="Times New Roman"/>
          <w:lang w:val="en-GB"/>
        </w:rPr>
        <w:t xml:space="preserve">the </w:t>
      </w:r>
      <w:r w:rsidRPr="00496659">
        <w:rPr>
          <w:rFonts w:ascii="Times New Roman" w:hAnsi="Times New Roman" w:cs="Times New Roman"/>
          <w:lang w:val="en-GB"/>
        </w:rPr>
        <w:t>protection of sensitive information;</w:t>
      </w:r>
    </w:p>
    <w:p w:rsidR="00811E58" w:rsidRPr="00496659" w:rsidRDefault="00811E58" w:rsidP="00496659">
      <w:pPr>
        <w:pStyle w:val="ListParagraph"/>
        <w:numPr>
          <w:ilvl w:val="0"/>
          <w:numId w:val="13"/>
        </w:numPr>
        <w:spacing w:after="170" w:line="280" w:lineRule="atLeast"/>
        <w:contextualSpacing w:val="0"/>
        <w:jc w:val="both"/>
        <w:rPr>
          <w:rFonts w:ascii="Times New Roman" w:hAnsi="Times New Roman" w:cs="Times New Roman"/>
          <w:lang w:val="en-GB"/>
        </w:rPr>
      </w:pPr>
      <w:r w:rsidRPr="00496659">
        <w:rPr>
          <w:rFonts w:ascii="Times New Roman" w:hAnsi="Times New Roman" w:cs="Times New Roman"/>
          <w:lang w:val="en-GB"/>
        </w:rPr>
        <w:t>Nuclear security exercises;</w:t>
      </w:r>
    </w:p>
    <w:p w:rsidR="00811E58" w:rsidRPr="00496659" w:rsidRDefault="00811E58" w:rsidP="00496659">
      <w:pPr>
        <w:pStyle w:val="ListParagraph"/>
        <w:numPr>
          <w:ilvl w:val="0"/>
          <w:numId w:val="13"/>
        </w:numPr>
        <w:spacing w:after="170" w:line="280" w:lineRule="atLeast"/>
        <w:contextualSpacing w:val="0"/>
        <w:jc w:val="both"/>
        <w:rPr>
          <w:rFonts w:ascii="Times New Roman" w:hAnsi="Times New Roman" w:cs="Times New Roman"/>
          <w:lang w:val="en-GB"/>
        </w:rPr>
      </w:pPr>
      <w:r w:rsidRPr="00496659">
        <w:rPr>
          <w:rFonts w:ascii="Times New Roman" w:hAnsi="Times New Roman" w:cs="Times New Roman"/>
          <w:lang w:val="en-GB"/>
        </w:rPr>
        <w:t>Peer reviews and advisory services;</w:t>
      </w:r>
    </w:p>
    <w:p w:rsidR="00811E58" w:rsidRPr="00496659" w:rsidRDefault="00811E58" w:rsidP="00496659">
      <w:pPr>
        <w:pStyle w:val="ListParagraph"/>
        <w:numPr>
          <w:ilvl w:val="0"/>
          <w:numId w:val="13"/>
        </w:numPr>
        <w:spacing w:after="170" w:line="280" w:lineRule="atLeast"/>
        <w:contextualSpacing w:val="0"/>
        <w:jc w:val="both"/>
        <w:rPr>
          <w:rFonts w:ascii="Times New Roman" w:hAnsi="Times New Roman" w:cs="Times New Roman"/>
          <w:lang w:val="en-GB"/>
        </w:rPr>
      </w:pPr>
      <w:r w:rsidRPr="00496659">
        <w:rPr>
          <w:rFonts w:ascii="Times New Roman" w:hAnsi="Times New Roman" w:cs="Times New Roman"/>
          <w:lang w:val="en-GB"/>
        </w:rPr>
        <w:t>Security aspects of decommissioning and end</w:t>
      </w:r>
      <w:r w:rsidR="00E81A58">
        <w:rPr>
          <w:rFonts w:ascii="Times New Roman" w:hAnsi="Times New Roman" w:cs="Times New Roman"/>
          <w:lang w:val="en-GB"/>
        </w:rPr>
        <w:t>-</w:t>
      </w:r>
      <w:r w:rsidRPr="00496659">
        <w:rPr>
          <w:rFonts w:ascii="Times New Roman" w:hAnsi="Times New Roman" w:cs="Times New Roman"/>
          <w:lang w:val="en-GB"/>
        </w:rPr>
        <w:t>of</w:t>
      </w:r>
      <w:r w:rsidR="00E81A58">
        <w:rPr>
          <w:rFonts w:ascii="Times New Roman" w:hAnsi="Times New Roman" w:cs="Times New Roman"/>
          <w:lang w:val="en-GB"/>
        </w:rPr>
        <w:t>-</w:t>
      </w:r>
      <w:r w:rsidRPr="00496659">
        <w:rPr>
          <w:rFonts w:ascii="Times New Roman" w:hAnsi="Times New Roman" w:cs="Times New Roman"/>
          <w:lang w:val="en-GB"/>
        </w:rPr>
        <w:t>life issues associated with nuclear installations;</w:t>
      </w:r>
      <w:r w:rsidR="00E81A58">
        <w:rPr>
          <w:rFonts w:ascii="Times New Roman" w:hAnsi="Times New Roman" w:cs="Times New Roman"/>
          <w:lang w:val="en-GB"/>
        </w:rPr>
        <w:t xml:space="preserve"> and</w:t>
      </w:r>
    </w:p>
    <w:p w:rsidR="00811E58" w:rsidRPr="00496659" w:rsidRDefault="00811E58" w:rsidP="00496659">
      <w:pPr>
        <w:pStyle w:val="ListParagraph"/>
        <w:numPr>
          <w:ilvl w:val="0"/>
          <w:numId w:val="13"/>
        </w:numPr>
        <w:spacing w:after="170" w:line="280" w:lineRule="atLeast"/>
        <w:contextualSpacing w:val="0"/>
        <w:jc w:val="both"/>
        <w:rPr>
          <w:rFonts w:ascii="Times New Roman" w:hAnsi="Times New Roman" w:cs="Times New Roman"/>
          <w:lang w:val="en-GB"/>
        </w:rPr>
      </w:pPr>
      <w:r w:rsidRPr="00496659">
        <w:rPr>
          <w:rFonts w:ascii="Times New Roman" w:hAnsi="Times New Roman" w:cs="Times New Roman"/>
          <w:lang w:val="en-GB"/>
        </w:rPr>
        <w:t xml:space="preserve">Security challenges arising from </w:t>
      </w:r>
      <w:r w:rsidR="00E81A58">
        <w:rPr>
          <w:rFonts w:ascii="Times New Roman" w:hAnsi="Times New Roman" w:cs="Times New Roman"/>
          <w:lang w:val="en-GB"/>
        </w:rPr>
        <w:t xml:space="preserve">the </w:t>
      </w:r>
      <w:r w:rsidRPr="00496659">
        <w:rPr>
          <w:rFonts w:ascii="Times New Roman" w:hAnsi="Times New Roman" w:cs="Times New Roman"/>
          <w:lang w:val="en-GB"/>
        </w:rPr>
        <w:t>development of new technologies (</w:t>
      </w:r>
      <w:r w:rsidR="00E81A58">
        <w:rPr>
          <w:rFonts w:ascii="Times New Roman" w:hAnsi="Times New Roman" w:cs="Times New Roman"/>
          <w:lang w:val="en-GB"/>
        </w:rPr>
        <w:t>e.g.</w:t>
      </w:r>
      <w:r w:rsidRPr="00496659">
        <w:rPr>
          <w:rFonts w:ascii="Times New Roman" w:hAnsi="Times New Roman" w:cs="Times New Roman"/>
          <w:lang w:val="en-GB"/>
        </w:rPr>
        <w:t xml:space="preserve"> small modular reactors</w:t>
      </w:r>
      <w:r w:rsidR="00E81A58">
        <w:rPr>
          <w:rFonts w:ascii="Times New Roman" w:hAnsi="Times New Roman" w:cs="Times New Roman"/>
          <w:lang w:val="en-GB"/>
        </w:rPr>
        <w:t>,</w:t>
      </w:r>
      <w:r w:rsidRPr="00496659">
        <w:rPr>
          <w:rFonts w:ascii="Times New Roman" w:hAnsi="Times New Roman" w:cs="Times New Roman"/>
          <w:lang w:val="en-GB"/>
        </w:rPr>
        <w:t xml:space="preserve"> unmanned aerial vehicles).</w:t>
      </w:r>
    </w:p>
    <w:p w:rsidR="00733D7D" w:rsidRPr="008E5EBB" w:rsidRDefault="003704BD" w:rsidP="00917F5D">
      <w:pPr>
        <w:pStyle w:val="Heading1"/>
        <w:spacing w:before="840" w:after="360"/>
        <w:jc w:val="both"/>
      </w:pPr>
      <w:r w:rsidRPr="008E5EBB">
        <w:t>Structure</w:t>
      </w:r>
    </w:p>
    <w:p w:rsidR="00811E58" w:rsidRPr="008E5EBB" w:rsidRDefault="00811E58" w:rsidP="00496659">
      <w:pPr>
        <w:pStyle w:val="Default"/>
        <w:spacing w:after="170" w:line="280" w:lineRule="atLeast"/>
        <w:jc w:val="both"/>
        <w:rPr>
          <w:color w:val="auto"/>
          <w:sz w:val="22"/>
          <w:szCs w:val="22"/>
        </w:rPr>
      </w:pPr>
      <w:r w:rsidRPr="008E5EBB">
        <w:rPr>
          <w:color w:val="auto"/>
          <w:sz w:val="22"/>
          <w:szCs w:val="22"/>
        </w:rPr>
        <w:t xml:space="preserve">The conference is aimed at ministers, senior government officials, high level </w:t>
      </w:r>
      <w:r w:rsidR="00E81A58">
        <w:rPr>
          <w:color w:val="auto"/>
          <w:sz w:val="22"/>
          <w:szCs w:val="22"/>
        </w:rPr>
        <w:t>staff</w:t>
      </w:r>
      <w:r w:rsidR="00E81A58" w:rsidRPr="008E5EBB">
        <w:rPr>
          <w:color w:val="auto"/>
          <w:sz w:val="22"/>
          <w:szCs w:val="22"/>
        </w:rPr>
        <w:t xml:space="preserve"> </w:t>
      </w:r>
      <w:r w:rsidRPr="008E5EBB">
        <w:rPr>
          <w:color w:val="auto"/>
          <w:sz w:val="22"/>
          <w:szCs w:val="22"/>
        </w:rPr>
        <w:t>from all of the agencies involved in making policy for, and managing, nuclear security</w:t>
      </w:r>
      <w:r w:rsidR="00E81A58">
        <w:rPr>
          <w:color w:val="auto"/>
          <w:sz w:val="22"/>
          <w:szCs w:val="22"/>
        </w:rPr>
        <w:t>,</w:t>
      </w:r>
      <w:r w:rsidRPr="008E5EBB">
        <w:rPr>
          <w:color w:val="auto"/>
          <w:sz w:val="22"/>
          <w:szCs w:val="22"/>
        </w:rPr>
        <w:t xml:space="preserve"> and</w:t>
      </w:r>
      <w:r w:rsidR="00E81A58">
        <w:rPr>
          <w:color w:val="auto"/>
          <w:sz w:val="22"/>
          <w:szCs w:val="22"/>
        </w:rPr>
        <w:t xml:space="preserve"> at</w:t>
      </w:r>
      <w:r w:rsidRPr="008E5EBB">
        <w:rPr>
          <w:color w:val="auto"/>
          <w:sz w:val="22"/>
          <w:szCs w:val="22"/>
        </w:rPr>
        <w:t xml:space="preserve"> technical and legal experts working in all areas of nuclear security.</w:t>
      </w:r>
    </w:p>
    <w:p w:rsidR="00811E58" w:rsidRPr="008E5EBB" w:rsidRDefault="00811E58" w:rsidP="00496659">
      <w:pPr>
        <w:pStyle w:val="Default"/>
        <w:spacing w:after="170" w:line="280" w:lineRule="atLeast"/>
        <w:jc w:val="both"/>
        <w:rPr>
          <w:color w:val="auto"/>
          <w:sz w:val="22"/>
          <w:szCs w:val="22"/>
        </w:rPr>
      </w:pPr>
      <w:r w:rsidRPr="008E5EBB">
        <w:rPr>
          <w:color w:val="auto"/>
          <w:sz w:val="22"/>
          <w:szCs w:val="22"/>
        </w:rPr>
        <w:t>The conference is intended to attract industry and civil society</w:t>
      </w:r>
      <w:r w:rsidR="00E81A58">
        <w:rPr>
          <w:color w:val="auto"/>
          <w:sz w:val="22"/>
          <w:szCs w:val="22"/>
        </w:rPr>
        <w:t xml:space="preserve"> representatives,</w:t>
      </w:r>
      <w:r w:rsidRPr="008E5EBB">
        <w:rPr>
          <w:color w:val="auto"/>
          <w:sz w:val="22"/>
          <w:szCs w:val="22"/>
        </w:rPr>
        <w:t xml:space="preserve"> including non</w:t>
      </w:r>
      <w:r w:rsidR="00E81A58">
        <w:rPr>
          <w:color w:val="auto"/>
          <w:sz w:val="22"/>
          <w:szCs w:val="22"/>
        </w:rPr>
        <w:noBreakHyphen/>
      </w:r>
      <w:r w:rsidRPr="008E5EBB">
        <w:rPr>
          <w:color w:val="auto"/>
          <w:sz w:val="22"/>
          <w:szCs w:val="22"/>
        </w:rPr>
        <w:t>governmental organizations and academic institutions. The IAEA welcomes and encourages the participation of women, early career professionals and individuals from developing countries.</w:t>
      </w:r>
    </w:p>
    <w:p w:rsidR="00811E58" w:rsidRPr="008E5EBB" w:rsidRDefault="00811E58" w:rsidP="00496659">
      <w:pPr>
        <w:pStyle w:val="Default"/>
        <w:spacing w:after="170" w:line="280" w:lineRule="atLeast"/>
        <w:jc w:val="both"/>
        <w:rPr>
          <w:color w:val="auto"/>
          <w:sz w:val="22"/>
          <w:szCs w:val="22"/>
        </w:rPr>
      </w:pPr>
      <w:r w:rsidRPr="008E5EBB">
        <w:rPr>
          <w:color w:val="auto"/>
          <w:sz w:val="22"/>
          <w:szCs w:val="22"/>
        </w:rPr>
        <w:t xml:space="preserve">The conference programme </w:t>
      </w:r>
      <w:r w:rsidR="00E81A58">
        <w:rPr>
          <w:color w:val="auto"/>
          <w:sz w:val="22"/>
          <w:szCs w:val="22"/>
        </w:rPr>
        <w:t>includes</w:t>
      </w:r>
      <w:r w:rsidRPr="008E5EBB">
        <w:rPr>
          <w:color w:val="auto"/>
          <w:sz w:val="22"/>
          <w:szCs w:val="22"/>
        </w:rPr>
        <w:t xml:space="preserve"> a </w:t>
      </w:r>
      <w:r w:rsidR="00E81A58">
        <w:rPr>
          <w:color w:val="auto"/>
          <w:sz w:val="22"/>
          <w:szCs w:val="22"/>
        </w:rPr>
        <w:t>m</w:t>
      </w:r>
      <w:r w:rsidRPr="008E5EBB">
        <w:rPr>
          <w:color w:val="auto"/>
          <w:sz w:val="22"/>
          <w:szCs w:val="22"/>
        </w:rPr>
        <w:t xml:space="preserve">inisterial </w:t>
      </w:r>
      <w:r w:rsidR="00E81A58">
        <w:rPr>
          <w:color w:val="auto"/>
          <w:sz w:val="22"/>
          <w:szCs w:val="22"/>
        </w:rPr>
        <w:t>s</w:t>
      </w:r>
      <w:r w:rsidRPr="008E5EBB">
        <w:rPr>
          <w:color w:val="auto"/>
          <w:sz w:val="22"/>
          <w:szCs w:val="22"/>
        </w:rPr>
        <w:t xml:space="preserve">egment that will be held </w:t>
      </w:r>
      <w:r w:rsidR="00E81A58">
        <w:rPr>
          <w:color w:val="auto"/>
          <w:sz w:val="22"/>
          <w:szCs w:val="22"/>
        </w:rPr>
        <w:t>on</w:t>
      </w:r>
      <w:r w:rsidR="00E81A58" w:rsidRPr="008E5EBB">
        <w:rPr>
          <w:color w:val="auto"/>
          <w:sz w:val="22"/>
          <w:szCs w:val="22"/>
        </w:rPr>
        <w:t xml:space="preserve"> </w:t>
      </w:r>
      <w:r w:rsidRPr="008E5EBB">
        <w:rPr>
          <w:color w:val="auto"/>
          <w:sz w:val="22"/>
          <w:szCs w:val="22"/>
        </w:rPr>
        <w:t xml:space="preserve">the first day of the conference and will conclude with the adoption of a Ministerial Declaration. The </w:t>
      </w:r>
      <w:r w:rsidR="00E81A58">
        <w:rPr>
          <w:color w:val="auto"/>
          <w:sz w:val="22"/>
          <w:szCs w:val="22"/>
        </w:rPr>
        <w:t>s</w:t>
      </w:r>
      <w:r w:rsidRPr="008E5EBB">
        <w:rPr>
          <w:color w:val="auto"/>
          <w:sz w:val="22"/>
          <w:szCs w:val="22"/>
        </w:rPr>
        <w:t xml:space="preserve">cientific and </w:t>
      </w:r>
      <w:r w:rsidR="00E81A58">
        <w:rPr>
          <w:color w:val="auto"/>
          <w:sz w:val="22"/>
          <w:szCs w:val="22"/>
        </w:rPr>
        <w:t>t</w:t>
      </w:r>
      <w:r w:rsidRPr="008E5EBB">
        <w:rPr>
          <w:color w:val="auto"/>
          <w:sz w:val="22"/>
          <w:szCs w:val="22"/>
        </w:rPr>
        <w:t xml:space="preserve">echnical </w:t>
      </w:r>
      <w:r w:rsidR="00E81A58">
        <w:rPr>
          <w:color w:val="auto"/>
          <w:sz w:val="22"/>
          <w:szCs w:val="22"/>
        </w:rPr>
        <w:t>p</w:t>
      </w:r>
      <w:r w:rsidRPr="008E5EBB">
        <w:rPr>
          <w:color w:val="auto"/>
          <w:sz w:val="22"/>
          <w:szCs w:val="22"/>
        </w:rPr>
        <w:t xml:space="preserve">rogramme will commence on the second day of the conference and will comprise an opening plenary session, six high level discussions, </w:t>
      </w:r>
      <w:r w:rsidR="00E81A58">
        <w:rPr>
          <w:color w:val="auto"/>
          <w:sz w:val="22"/>
          <w:szCs w:val="22"/>
        </w:rPr>
        <w:t>two or three</w:t>
      </w:r>
      <w:r w:rsidRPr="008E5EBB">
        <w:rPr>
          <w:color w:val="auto"/>
          <w:sz w:val="22"/>
          <w:szCs w:val="22"/>
        </w:rPr>
        <w:t xml:space="preserve"> streams of parallel technical sessions</w:t>
      </w:r>
      <w:r w:rsidR="00E81A58">
        <w:rPr>
          <w:color w:val="auto"/>
          <w:sz w:val="22"/>
          <w:szCs w:val="22"/>
        </w:rPr>
        <w:t>,</w:t>
      </w:r>
      <w:r w:rsidRPr="008E5EBB">
        <w:rPr>
          <w:color w:val="auto"/>
          <w:sz w:val="22"/>
          <w:szCs w:val="22"/>
        </w:rPr>
        <w:t xml:space="preserve"> and a concluding plenary session with a report from the President of the </w:t>
      </w:r>
      <w:r w:rsidR="00E81A58">
        <w:rPr>
          <w:color w:val="auto"/>
          <w:sz w:val="22"/>
          <w:szCs w:val="22"/>
        </w:rPr>
        <w:t>c</w:t>
      </w:r>
      <w:r w:rsidRPr="008E5EBB">
        <w:rPr>
          <w:color w:val="auto"/>
          <w:sz w:val="22"/>
          <w:szCs w:val="22"/>
        </w:rPr>
        <w:t>onference.</w:t>
      </w:r>
    </w:p>
    <w:p w:rsidR="00811E58" w:rsidRPr="008E5EBB" w:rsidRDefault="00811E58" w:rsidP="00496659">
      <w:pPr>
        <w:pStyle w:val="Default"/>
        <w:spacing w:after="170" w:line="280" w:lineRule="atLeast"/>
        <w:jc w:val="both"/>
        <w:rPr>
          <w:color w:val="auto"/>
          <w:sz w:val="22"/>
          <w:szCs w:val="22"/>
        </w:rPr>
      </w:pPr>
      <w:r w:rsidRPr="008E5EBB">
        <w:rPr>
          <w:color w:val="auto"/>
          <w:sz w:val="22"/>
          <w:szCs w:val="22"/>
        </w:rPr>
        <w:t>Each high level discussion will be comprised of invited papers and a concluding panel discussion. Each technical session will include presentations by invited speakers on topical areas identified through the submission of abstracts. A panel discussion will also conclude each technical session.</w:t>
      </w:r>
    </w:p>
    <w:p w:rsidR="00811E58" w:rsidRPr="008E5EBB" w:rsidRDefault="00811E58" w:rsidP="00496659">
      <w:pPr>
        <w:pStyle w:val="Default"/>
        <w:spacing w:after="170" w:line="280" w:lineRule="atLeast"/>
        <w:jc w:val="both"/>
        <w:rPr>
          <w:color w:val="auto"/>
          <w:sz w:val="22"/>
          <w:szCs w:val="22"/>
        </w:rPr>
      </w:pPr>
      <w:r w:rsidRPr="008E5EBB">
        <w:rPr>
          <w:color w:val="auto"/>
          <w:sz w:val="22"/>
          <w:szCs w:val="22"/>
        </w:rPr>
        <w:t>The conference programme will also include poster sessions</w:t>
      </w:r>
      <w:r w:rsidR="00E81A58">
        <w:rPr>
          <w:color w:val="auto"/>
          <w:sz w:val="22"/>
          <w:szCs w:val="22"/>
        </w:rPr>
        <w:t>,</w:t>
      </w:r>
      <w:r w:rsidRPr="008E5EBB">
        <w:rPr>
          <w:color w:val="auto"/>
          <w:sz w:val="22"/>
          <w:szCs w:val="22"/>
        </w:rPr>
        <w:t xml:space="preserve"> and sufficient time will be provided </w:t>
      </w:r>
      <w:r w:rsidR="00E81A58">
        <w:rPr>
          <w:color w:val="auto"/>
          <w:sz w:val="22"/>
          <w:szCs w:val="22"/>
        </w:rPr>
        <w:t xml:space="preserve">throughout the conference </w:t>
      </w:r>
      <w:r w:rsidRPr="008E5EBB">
        <w:rPr>
          <w:color w:val="auto"/>
          <w:sz w:val="22"/>
          <w:szCs w:val="22"/>
        </w:rPr>
        <w:t>for discussion and interaction with colleagues.</w:t>
      </w:r>
    </w:p>
    <w:p w:rsidR="00733D7D" w:rsidRPr="008E5EBB" w:rsidRDefault="00B41377" w:rsidP="00917F5D">
      <w:pPr>
        <w:pStyle w:val="Heading1"/>
        <w:jc w:val="both"/>
      </w:pPr>
      <w:r w:rsidRPr="008E5EBB">
        <w:lastRenderedPageBreak/>
        <w:t>Synopses</w:t>
      </w:r>
      <w:r w:rsidR="00D34E35" w:rsidRPr="008E5EBB">
        <w:t>,</w:t>
      </w:r>
      <w:r w:rsidR="00640DC6" w:rsidRPr="008E5EBB">
        <w:t xml:space="preserve"> </w:t>
      </w:r>
      <w:r w:rsidR="00BB7A68" w:rsidRPr="008E5EBB">
        <w:t>P</w:t>
      </w:r>
      <w:r w:rsidR="008B70D1" w:rsidRPr="008E5EBB">
        <w:t>apers</w:t>
      </w:r>
      <w:r w:rsidR="00D34E35" w:rsidRPr="008E5EBB">
        <w:t xml:space="preserve"> and Proceedings</w:t>
      </w:r>
    </w:p>
    <w:p w:rsidR="00907D3D" w:rsidRPr="008E5EBB" w:rsidRDefault="00907D3D" w:rsidP="00E81A58">
      <w:pPr>
        <w:overflowPunct/>
        <w:autoSpaceDE/>
        <w:autoSpaceDN/>
        <w:adjustRightInd/>
        <w:spacing w:after="170" w:line="280" w:lineRule="atLeast"/>
        <w:jc w:val="both"/>
        <w:textAlignment w:val="auto"/>
      </w:pPr>
      <w:r w:rsidRPr="008E5EBB">
        <w:t xml:space="preserve">Concise papers on topics falling within the scope of the conference (see Section </w:t>
      </w:r>
      <w:r w:rsidR="00E81A58">
        <w:fldChar w:fldCharType="begin"/>
      </w:r>
      <w:r w:rsidR="00E81A58">
        <w:instrText xml:space="preserve"> REF _Ref435194730 \r \h </w:instrText>
      </w:r>
      <w:r w:rsidR="00E81A58">
        <w:fldChar w:fldCharType="separate"/>
      </w:r>
      <w:r w:rsidR="008E3E90">
        <w:t>C</w:t>
      </w:r>
      <w:r w:rsidR="00E81A58">
        <w:fldChar w:fldCharType="end"/>
      </w:r>
      <w:r w:rsidRPr="008E5EBB">
        <w:t>) may be submitted as contributions to the conference. All papers, apart from invited papers, must present original work and must not have been published elsewhere.</w:t>
      </w:r>
    </w:p>
    <w:p w:rsidR="002F70C7" w:rsidRPr="008E5EBB" w:rsidRDefault="002F70C7" w:rsidP="00917F5D">
      <w:pPr>
        <w:pStyle w:val="Heading2"/>
        <w:keepNext/>
        <w:keepLines/>
        <w:jc w:val="both"/>
        <w:rPr>
          <w:sz w:val="24"/>
          <w:szCs w:val="24"/>
        </w:rPr>
      </w:pPr>
      <w:r w:rsidRPr="008E5EBB">
        <w:rPr>
          <w:sz w:val="24"/>
          <w:szCs w:val="24"/>
        </w:rPr>
        <w:t xml:space="preserve">Submission of </w:t>
      </w:r>
      <w:r w:rsidR="006B7102" w:rsidRPr="008E5EBB">
        <w:rPr>
          <w:sz w:val="24"/>
          <w:szCs w:val="24"/>
        </w:rPr>
        <w:t>synopses</w:t>
      </w:r>
    </w:p>
    <w:p w:rsidR="002A5BDD" w:rsidRPr="008E5EBB" w:rsidRDefault="002A5BDD" w:rsidP="00E81A58">
      <w:pPr>
        <w:pStyle w:val="BodyText"/>
        <w:keepNext/>
        <w:keepLines/>
      </w:pPr>
      <w:r w:rsidRPr="008E5EBB">
        <w:rPr>
          <w:szCs w:val="22"/>
        </w:rPr>
        <w:t xml:space="preserve">Anyone </w:t>
      </w:r>
      <w:r w:rsidR="00B03DCD" w:rsidRPr="008E5EBB">
        <w:rPr>
          <w:szCs w:val="22"/>
        </w:rPr>
        <w:t>wish</w:t>
      </w:r>
      <w:r w:rsidRPr="008E5EBB">
        <w:rPr>
          <w:szCs w:val="22"/>
        </w:rPr>
        <w:t>ing</w:t>
      </w:r>
      <w:r w:rsidR="00B03DCD" w:rsidRPr="008E5EBB">
        <w:rPr>
          <w:szCs w:val="22"/>
        </w:rPr>
        <w:t xml:space="preserve"> to present a paper </w:t>
      </w:r>
      <w:r w:rsidRPr="008E5EBB">
        <w:rPr>
          <w:szCs w:val="22"/>
        </w:rPr>
        <w:t xml:space="preserve">at the conference </w:t>
      </w:r>
      <w:r w:rsidR="00E81A58">
        <w:rPr>
          <w:szCs w:val="22"/>
        </w:rPr>
        <w:t>—</w:t>
      </w:r>
      <w:r w:rsidR="00E81A58" w:rsidRPr="008E5EBB">
        <w:rPr>
          <w:szCs w:val="22"/>
        </w:rPr>
        <w:t xml:space="preserve"> </w:t>
      </w:r>
      <w:r w:rsidRPr="008E5EBB">
        <w:rPr>
          <w:szCs w:val="22"/>
        </w:rPr>
        <w:t xml:space="preserve">either orally </w:t>
      </w:r>
      <w:r w:rsidR="00B03DCD" w:rsidRPr="008E5EBB">
        <w:rPr>
          <w:szCs w:val="22"/>
        </w:rPr>
        <w:t xml:space="preserve">or </w:t>
      </w:r>
      <w:r w:rsidRPr="008E5EBB">
        <w:rPr>
          <w:szCs w:val="22"/>
        </w:rPr>
        <w:t xml:space="preserve">in the form of a </w:t>
      </w:r>
      <w:r w:rsidR="00B03DCD" w:rsidRPr="008E5EBB">
        <w:rPr>
          <w:szCs w:val="22"/>
        </w:rPr>
        <w:t>poster</w:t>
      </w:r>
      <w:r w:rsidRPr="008E5EBB">
        <w:rPr>
          <w:szCs w:val="22"/>
        </w:rPr>
        <w:t xml:space="preserve"> </w:t>
      </w:r>
      <w:r w:rsidR="00E81A58">
        <w:rPr>
          <w:szCs w:val="22"/>
        </w:rPr>
        <w:t>—</w:t>
      </w:r>
      <w:r w:rsidR="00E81A58" w:rsidRPr="008E5EBB">
        <w:rPr>
          <w:szCs w:val="22"/>
        </w:rPr>
        <w:t xml:space="preserve"> </w:t>
      </w:r>
      <w:r w:rsidRPr="008E5EBB">
        <w:rPr>
          <w:szCs w:val="22"/>
        </w:rPr>
        <w:t>m</w:t>
      </w:r>
      <w:r w:rsidR="00B03DCD" w:rsidRPr="008E5EBB">
        <w:rPr>
          <w:szCs w:val="22"/>
        </w:rPr>
        <w:t>ust submit</w:t>
      </w:r>
      <w:r w:rsidR="00B03DCD" w:rsidRPr="008E5EBB">
        <w:rPr>
          <w:bCs/>
          <w:szCs w:val="22"/>
        </w:rPr>
        <w:t xml:space="preserve"> a synopsis</w:t>
      </w:r>
      <w:r w:rsidRPr="008E5EBB">
        <w:rPr>
          <w:bCs/>
          <w:szCs w:val="22"/>
        </w:rPr>
        <w:t xml:space="preserve"> of between 400 and 800 words</w:t>
      </w:r>
      <w:r w:rsidR="00B03DCD" w:rsidRPr="008E5EBB">
        <w:rPr>
          <w:bCs/>
          <w:szCs w:val="22"/>
        </w:rPr>
        <w:t xml:space="preserve"> </w:t>
      </w:r>
      <w:r w:rsidR="00B03DCD" w:rsidRPr="008E5EBB">
        <w:rPr>
          <w:b/>
          <w:bCs/>
        </w:rPr>
        <w:t>in electronic format</w:t>
      </w:r>
      <w:r w:rsidR="00B03DCD" w:rsidRPr="008E5EBB">
        <w:t xml:space="preserve"> </w:t>
      </w:r>
      <w:r w:rsidRPr="008E5EBB">
        <w:t>through the conference’s web browser-based file submission system (</w:t>
      </w:r>
      <w:r w:rsidR="00B03DCD" w:rsidRPr="008E5EBB">
        <w:t>IAEA-INDICO)</w:t>
      </w:r>
      <w:r w:rsidRPr="008E5EBB">
        <w:t>. Paper copies cannot be accepted.</w:t>
      </w:r>
    </w:p>
    <w:p w:rsidR="00B03DCD" w:rsidRPr="008E5EBB" w:rsidRDefault="002A5BDD" w:rsidP="00496659">
      <w:pPr>
        <w:pStyle w:val="BodyText"/>
        <w:rPr>
          <w:rFonts w:cs="Arial"/>
          <w:szCs w:val="22"/>
          <w:u w:val="single"/>
        </w:rPr>
      </w:pPr>
      <w:r w:rsidRPr="008E5EBB">
        <w:t xml:space="preserve">Instructions on how to upload the synopsis to IAEA-INDICO will be available on the conference web page (see Section </w:t>
      </w:r>
      <w:r w:rsidR="00E81A58">
        <w:fldChar w:fldCharType="begin"/>
      </w:r>
      <w:r w:rsidR="00E81A58">
        <w:instrText xml:space="preserve"> REF _Ref388617255 \r \h </w:instrText>
      </w:r>
      <w:r w:rsidR="00E81A58">
        <w:fldChar w:fldCharType="separate"/>
      </w:r>
      <w:r w:rsidR="008E3E90">
        <w:t>N</w:t>
      </w:r>
      <w:r w:rsidR="00E81A58">
        <w:fldChar w:fldCharType="end"/>
      </w:r>
      <w:r w:rsidRPr="008E5EBB">
        <w:t xml:space="preserve">) as of </w:t>
      </w:r>
      <w:r w:rsidR="00E448E2" w:rsidRPr="008E5EBB">
        <w:t>29 January 2016</w:t>
      </w:r>
      <w:r w:rsidR="00B03DCD" w:rsidRPr="008E5EBB">
        <w:t xml:space="preserve">. The synopses </w:t>
      </w:r>
      <w:r w:rsidR="00B03DCD" w:rsidRPr="008E5EBB">
        <w:rPr>
          <w:b/>
          <w:bCs/>
        </w:rPr>
        <w:t>must</w:t>
      </w:r>
      <w:r w:rsidR="00B03DCD" w:rsidRPr="008E5EBB">
        <w:t xml:space="preserve"> be submitted through this system b</w:t>
      </w:r>
      <w:r w:rsidR="00BD0C48" w:rsidRPr="008E5EBB">
        <w:t xml:space="preserve">etween </w:t>
      </w:r>
      <w:r w:rsidR="00BD0C48" w:rsidRPr="008E5EBB">
        <w:rPr>
          <w:b/>
        </w:rPr>
        <w:t>29 January 2016</w:t>
      </w:r>
      <w:r w:rsidR="00BD0C48" w:rsidRPr="008E5EBB">
        <w:t xml:space="preserve"> and </w:t>
      </w:r>
      <w:r w:rsidR="00E448E2" w:rsidRPr="008E5EBB">
        <w:rPr>
          <w:b/>
        </w:rPr>
        <w:t>13 May</w:t>
      </w:r>
      <w:r w:rsidR="00C23C87" w:rsidRPr="008E5EBB">
        <w:rPr>
          <w:b/>
        </w:rPr>
        <w:t xml:space="preserve"> 2016</w:t>
      </w:r>
      <w:r w:rsidR="00B03DCD" w:rsidRPr="008E5EBB">
        <w:t>. No other form of submission will be accepted.</w:t>
      </w:r>
    </w:p>
    <w:p w:rsidR="00B03DCD" w:rsidRPr="008E5EBB" w:rsidRDefault="00B03DCD" w:rsidP="002C3E3C">
      <w:pPr>
        <w:pStyle w:val="BodyText"/>
      </w:pPr>
      <w:r w:rsidRPr="008E5EBB">
        <w:t xml:space="preserve">In addition, authors must submit the following two forms to their appropriate governmental authority (see </w:t>
      </w:r>
      <w:r w:rsidR="002C3E3C" w:rsidRPr="008E5EBB">
        <w:t>S</w:t>
      </w:r>
      <w:r w:rsidRPr="008E5EBB">
        <w:t xml:space="preserve">ection </w:t>
      </w:r>
      <w:r w:rsidR="002C3E3C" w:rsidRPr="008E5EBB">
        <w:fldChar w:fldCharType="begin"/>
      </w:r>
      <w:r w:rsidR="002C3E3C" w:rsidRPr="008E5EBB">
        <w:instrText xml:space="preserve"> REF _Ref388617277 \r \h </w:instrText>
      </w:r>
      <w:r w:rsidR="002C3E3C" w:rsidRPr="008E5EBB">
        <w:fldChar w:fldCharType="separate"/>
      </w:r>
      <w:r w:rsidR="008E3E90">
        <w:t>F</w:t>
      </w:r>
      <w:r w:rsidR="002C3E3C" w:rsidRPr="008E5EBB">
        <w:fldChar w:fldCharType="end"/>
      </w:r>
      <w:r w:rsidRPr="008E5EBB">
        <w:t>) for transmission to the IAEA</w:t>
      </w:r>
      <w:r w:rsidR="00BD0C48" w:rsidRPr="008E5EBB">
        <w:t xml:space="preserve">. These forms must be received by the IAEA no later than </w:t>
      </w:r>
      <w:r w:rsidR="00BD0C48" w:rsidRPr="008E5EBB">
        <w:rPr>
          <w:b/>
        </w:rPr>
        <w:t>13 May 2016</w:t>
      </w:r>
      <w:r w:rsidR="00BD0C48" w:rsidRPr="008E5EBB">
        <w:t>:</w:t>
      </w:r>
    </w:p>
    <w:p w:rsidR="00B03DCD" w:rsidRPr="008E5EBB" w:rsidRDefault="00B03DCD" w:rsidP="00C23C87">
      <w:pPr>
        <w:numPr>
          <w:ilvl w:val="0"/>
          <w:numId w:val="9"/>
        </w:numPr>
        <w:spacing w:before="120" w:after="120"/>
        <w:jc w:val="both"/>
        <w:rPr>
          <w:color w:val="000000"/>
          <w:szCs w:val="11"/>
        </w:rPr>
      </w:pPr>
      <w:r w:rsidRPr="008E5EBB">
        <w:rPr>
          <w:color w:val="000000"/>
          <w:szCs w:val="11"/>
        </w:rPr>
        <w:t>Participation Form (Form A)</w:t>
      </w:r>
    </w:p>
    <w:p w:rsidR="00B03DCD" w:rsidRPr="008E5EBB" w:rsidRDefault="00B03DCD" w:rsidP="00C23C87">
      <w:pPr>
        <w:numPr>
          <w:ilvl w:val="0"/>
          <w:numId w:val="9"/>
        </w:numPr>
        <w:spacing w:before="120" w:after="120"/>
        <w:ind w:left="714" w:hanging="357"/>
        <w:jc w:val="both"/>
        <w:rPr>
          <w:bCs/>
          <w:color w:val="000000"/>
        </w:rPr>
      </w:pPr>
      <w:r w:rsidRPr="008E5EBB">
        <w:rPr>
          <w:color w:val="000000"/>
          <w:szCs w:val="11"/>
        </w:rPr>
        <w:t>Form for Submission of a Paper (Form B)</w:t>
      </w:r>
    </w:p>
    <w:p w:rsidR="00B03DCD" w:rsidRPr="008E5EBB" w:rsidRDefault="00B03DCD" w:rsidP="002C3E3C">
      <w:pPr>
        <w:pStyle w:val="BodyText"/>
      </w:pPr>
      <w:r w:rsidRPr="008E5EBB">
        <w:rPr>
          <w:b/>
          <w:bCs/>
          <w:color w:val="000000"/>
        </w:rPr>
        <w:t>IMPORTANT:</w:t>
      </w:r>
      <w:r w:rsidRPr="008E5EBB">
        <w:rPr>
          <w:bCs/>
          <w:color w:val="000000"/>
        </w:rPr>
        <w:t xml:space="preserve"> </w:t>
      </w:r>
      <w:r w:rsidRPr="008E5EBB">
        <w:t xml:space="preserve">The electronically received synopses will be considered by the Programme Committee only if these two forms have been received by the IAEA through the established official channels (see Section </w:t>
      </w:r>
      <w:r w:rsidR="002C3E3C" w:rsidRPr="008E5EBB">
        <w:fldChar w:fldCharType="begin"/>
      </w:r>
      <w:r w:rsidR="002C3E3C" w:rsidRPr="008E5EBB">
        <w:instrText xml:space="preserve"> REF _Ref388617277 \r \h </w:instrText>
      </w:r>
      <w:r w:rsidR="002C3E3C" w:rsidRPr="008E5EBB">
        <w:fldChar w:fldCharType="separate"/>
      </w:r>
      <w:r w:rsidR="008E3E90">
        <w:t>F</w:t>
      </w:r>
      <w:r w:rsidR="002C3E3C" w:rsidRPr="008E5EBB">
        <w:fldChar w:fldCharType="end"/>
      </w:r>
      <w:r w:rsidRPr="008E5EBB">
        <w:t>).</w:t>
      </w:r>
    </w:p>
    <w:p w:rsidR="00A85CBF" w:rsidRPr="008E5EBB" w:rsidRDefault="00A85CBF" w:rsidP="00917F5D">
      <w:pPr>
        <w:pStyle w:val="Heading2"/>
        <w:keepNext/>
        <w:keepLines/>
        <w:jc w:val="both"/>
        <w:rPr>
          <w:sz w:val="24"/>
          <w:szCs w:val="24"/>
        </w:rPr>
      </w:pPr>
      <w:r w:rsidRPr="008E5EBB">
        <w:rPr>
          <w:sz w:val="24"/>
          <w:szCs w:val="24"/>
        </w:rPr>
        <w:t xml:space="preserve">Acceptance of </w:t>
      </w:r>
      <w:r w:rsidR="00B41377" w:rsidRPr="008E5EBB">
        <w:rPr>
          <w:sz w:val="24"/>
          <w:szCs w:val="24"/>
        </w:rPr>
        <w:t>synopses</w:t>
      </w:r>
    </w:p>
    <w:p w:rsidR="00B41377" w:rsidRPr="008E5EBB" w:rsidRDefault="00B41377" w:rsidP="00917F5D">
      <w:pPr>
        <w:pStyle w:val="BodyText"/>
        <w:keepNext/>
        <w:keepLines/>
      </w:pPr>
      <w:r w:rsidRPr="008E5EBB">
        <w:t xml:space="preserve">Given the number of synopses anticipated and the need to provide ample time for discussion, the number of papers that can be accepted for oral presentation is limited. Authors who prefer to present their papers as posters are requested to indicate this preference on </w:t>
      </w:r>
      <w:r w:rsidR="00A64B0D" w:rsidRPr="008E5EBB">
        <w:t xml:space="preserve">Form </w:t>
      </w:r>
      <w:r w:rsidRPr="008E5EBB">
        <w:t>A.</w:t>
      </w:r>
    </w:p>
    <w:p w:rsidR="00F834DC" w:rsidRPr="008E5EBB" w:rsidRDefault="00F834DC" w:rsidP="00917F5D">
      <w:pPr>
        <w:pStyle w:val="BodyText"/>
      </w:pPr>
      <w:r w:rsidRPr="008E5EBB">
        <w:rPr>
          <w:szCs w:val="22"/>
        </w:rPr>
        <w:t xml:space="preserve">Authors will be notified by </w:t>
      </w:r>
      <w:r w:rsidR="00E448E2" w:rsidRPr="008E5EBB">
        <w:rPr>
          <w:b/>
          <w:szCs w:val="22"/>
        </w:rPr>
        <w:t>29</w:t>
      </w:r>
      <w:r w:rsidR="00C23C87" w:rsidRPr="008E5EBB">
        <w:rPr>
          <w:b/>
          <w:szCs w:val="22"/>
        </w:rPr>
        <w:t xml:space="preserve"> July 2016</w:t>
      </w:r>
      <w:r w:rsidRPr="008E5EBB">
        <w:rPr>
          <w:szCs w:val="22"/>
        </w:rPr>
        <w:t xml:space="preserve"> </w:t>
      </w:r>
      <w:r w:rsidR="00A64B0D" w:rsidRPr="008E5EBB">
        <w:rPr>
          <w:szCs w:val="22"/>
        </w:rPr>
        <w:t xml:space="preserve">as to </w:t>
      </w:r>
      <w:r w:rsidRPr="008E5EBB">
        <w:rPr>
          <w:szCs w:val="22"/>
        </w:rPr>
        <w:t>whether their papers have been accepted.</w:t>
      </w:r>
    </w:p>
    <w:p w:rsidR="00640DC6" w:rsidRPr="008E5EBB" w:rsidRDefault="00640DC6" w:rsidP="00917F5D">
      <w:pPr>
        <w:pStyle w:val="Heading2"/>
        <w:keepNext/>
        <w:keepLines/>
        <w:widowControl/>
        <w:jc w:val="both"/>
        <w:rPr>
          <w:sz w:val="24"/>
          <w:szCs w:val="24"/>
        </w:rPr>
      </w:pPr>
      <w:r w:rsidRPr="008E5EBB">
        <w:rPr>
          <w:sz w:val="24"/>
          <w:szCs w:val="24"/>
        </w:rPr>
        <w:t xml:space="preserve">Submission of full </w:t>
      </w:r>
      <w:r w:rsidR="000B2BE1" w:rsidRPr="008E5EBB">
        <w:rPr>
          <w:sz w:val="24"/>
          <w:szCs w:val="24"/>
        </w:rPr>
        <w:t>papers</w:t>
      </w:r>
    </w:p>
    <w:p w:rsidR="00F834DC" w:rsidRPr="008E5EBB" w:rsidRDefault="00F834DC" w:rsidP="00917F5D">
      <w:pPr>
        <w:pStyle w:val="BodyTextMultiline"/>
        <w:keepNext/>
        <w:keepLines/>
        <w:numPr>
          <w:ilvl w:val="0"/>
          <w:numId w:val="0"/>
        </w:numPr>
      </w:pPr>
      <w:r w:rsidRPr="008E5EBB">
        <w:rPr>
          <w:szCs w:val="22"/>
        </w:rPr>
        <w:t xml:space="preserve">Only authors of </w:t>
      </w:r>
      <w:r w:rsidR="00D34E35" w:rsidRPr="008E5EBB">
        <w:rPr>
          <w:szCs w:val="22"/>
        </w:rPr>
        <w:t>papers selected for oral presentation</w:t>
      </w:r>
      <w:r w:rsidRPr="008E5EBB">
        <w:rPr>
          <w:szCs w:val="22"/>
        </w:rPr>
        <w:t xml:space="preserve"> are requested to submit a full paper. </w:t>
      </w:r>
      <w:r w:rsidRPr="008E5EBB">
        <w:t xml:space="preserve">Full papers must be submitted through the IAEA-INDICO file submission system. Specifications for the layout and electronic format of the full papers will be </w:t>
      </w:r>
      <w:r w:rsidR="00A64B0D" w:rsidRPr="008E5EBB">
        <w:t xml:space="preserve">made </w:t>
      </w:r>
      <w:r w:rsidRPr="008E5EBB">
        <w:t>available on the conference web page. The deadline for electronic submission of the full papers</w:t>
      </w:r>
      <w:r w:rsidR="00122933" w:rsidRPr="008E5EBB">
        <w:t xml:space="preserve"> as both PDF and Word files </w:t>
      </w:r>
      <w:r w:rsidRPr="008E5EBB">
        <w:t xml:space="preserve">is </w:t>
      </w:r>
      <w:r w:rsidR="00C23C87" w:rsidRPr="008E5EBB">
        <w:rPr>
          <w:b/>
        </w:rPr>
        <w:t>31 October 2016</w:t>
      </w:r>
      <w:r w:rsidR="00907D3D" w:rsidRPr="00496659">
        <w:rPr>
          <w:bCs/>
        </w:rPr>
        <w:t>.</w:t>
      </w:r>
    </w:p>
    <w:p w:rsidR="0039696D" w:rsidRPr="008E5EBB" w:rsidRDefault="00F834DC" w:rsidP="00917F5D">
      <w:pPr>
        <w:pStyle w:val="BodyTextMultiline"/>
        <w:numPr>
          <w:ilvl w:val="0"/>
          <w:numId w:val="0"/>
        </w:numPr>
      </w:pPr>
      <w:r w:rsidRPr="008E5EBB">
        <w:rPr>
          <w:b/>
        </w:rPr>
        <w:t>IMPORTANT:</w:t>
      </w:r>
      <w:r w:rsidRPr="008E5EBB">
        <w:t xml:space="preserve"> The system for electronic submission of papers, IAEA-INDICO, is the sole mechanism for submission of papers. Authors are encouraged to submit papers as early as possible.</w:t>
      </w:r>
    </w:p>
    <w:p w:rsidR="00733D7D" w:rsidRPr="008E5EBB" w:rsidRDefault="00733D7D" w:rsidP="00917F5D">
      <w:pPr>
        <w:pStyle w:val="Heading2"/>
        <w:keepNext/>
        <w:keepLines/>
        <w:jc w:val="both"/>
        <w:rPr>
          <w:sz w:val="24"/>
          <w:szCs w:val="24"/>
        </w:rPr>
      </w:pPr>
      <w:r w:rsidRPr="008E5EBB">
        <w:rPr>
          <w:sz w:val="24"/>
          <w:szCs w:val="24"/>
        </w:rPr>
        <w:lastRenderedPageBreak/>
        <w:t xml:space="preserve">Conference </w:t>
      </w:r>
      <w:r w:rsidR="00CE1415" w:rsidRPr="008E5EBB">
        <w:rPr>
          <w:sz w:val="24"/>
          <w:szCs w:val="24"/>
        </w:rPr>
        <w:t>P</w:t>
      </w:r>
      <w:r w:rsidRPr="008E5EBB">
        <w:rPr>
          <w:sz w:val="24"/>
          <w:szCs w:val="24"/>
        </w:rPr>
        <w:t>roceedings</w:t>
      </w:r>
    </w:p>
    <w:p w:rsidR="00733D7D" w:rsidRPr="008E5EBB" w:rsidRDefault="00733D7D" w:rsidP="00E0470D">
      <w:pPr>
        <w:pStyle w:val="BodyText"/>
        <w:keepNext/>
        <w:keepLines/>
      </w:pPr>
      <w:r w:rsidRPr="008E5EBB">
        <w:t>The proceedings</w:t>
      </w:r>
      <w:r w:rsidR="008B7EE7" w:rsidRPr="008E5EBB">
        <w:t xml:space="preserve"> containing</w:t>
      </w:r>
      <w:r w:rsidR="008B28E7" w:rsidRPr="008E5EBB">
        <w:t xml:space="preserve"> summar</w:t>
      </w:r>
      <w:r w:rsidR="00CE1415" w:rsidRPr="008E5EBB">
        <w:t>ies</w:t>
      </w:r>
      <w:r w:rsidR="008B28E7" w:rsidRPr="008E5EBB">
        <w:t xml:space="preserve"> of the plenary and technical sessions as well as full papers presented at the </w:t>
      </w:r>
      <w:r w:rsidR="002A4E69" w:rsidRPr="008E5EBB">
        <w:t>c</w:t>
      </w:r>
      <w:r w:rsidR="008B28E7" w:rsidRPr="008E5EBB">
        <w:t>onference</w:t>
      </w:r>
      <w:r w:rsidR="008B7EE7" w:rsidRPr="008E5EBB">
        <w:t xml:space="preserve"> </w:t>
      </w:r>
      <w:r w:rsidRPr="008E5EBB">
        <w:t>will be published by the IAEA as soon as possible after the conference</w:t>
      </w:r>
      <w:r w:rsidR="008B7EE7" w:rsidRPr="008E5EBB">
        <w:t xml:space="preserve">. </w:t>
      </w:r>
      <w:r w:rsidR="00E0470D" w:rsidRPr="008E5EBB">
        <w:t>C</w:t>
      </w:r>
      <w:r w:rsidR="003D52E5" w:rsidRPr="008E5EBB">
        <w:t>op</w:t>
      </w:r>
      <w:r w:rsidR="00E0470D" w:rsidRPr="008E5EBB">
        <w:t>ies</w:t>
      </w:r>
      <w:r w:rsidR="003D52E5" w:rsidRPr="008E5EBB">
        <w:t xml:space="preserve"> of t</w:t>
      </w:r>
      <w:r w:rsidR="008B7EE7" w:rsidRPr="008E5EBB">
        <w:t xml:space="preserve">he proceedings can be ordered, at a special discounted price, during </w:t>
      </w:r>
      <w:r w:rsidR="002C7E3B" w:rsidRPr="008E5EBB">
        <w:t xml:space="preserve">or after </w:t>
      </w:r>
      <w:r w:rsidR="008B7EE7" w:rsidRPr="008E5EBB">
        <w:t>the conference.</w:t>
      </w:r>
    </w:p>
    <w:p w:rsidR="00733D7D" w:rsidRPr="008E5EBB" w:rsidRDefault="00A8775D" w:rsidP="00C23C87">
      <w:pPr>
        <w:pStyle w:val="Heading1"/>
        <w:numPr>
          <w:ilvl w:val="0"/>
          <w:numId w:val="8"/>
        </w:numPr>
        <w:spacing w:before="840" w:after="360"/>
        <w:jc w:val="both"/>
      </w:pPr>
      <w:bookmarkStart w:id="3" w:name="_Ref388617277"/>
      <w:r w:rsidRPr="008E5EBB">
        <w:t xml:space="preserve">Participation and </w:t>
      </w:r>
      <w:r w:rsidR="000A5FE0" w:rsidRPr="008E5EBB">
        <w:t>Registration</w:t>
      </w:r>
      <w:bookmarkEnd w:id="3"/>
    </w:p>
    <w:p w:rsidR="00BD0C48" w:rsidRPr="008E5EBB" w:rsidRDefault="00BD0C48" w:rsidP="00E81A58">
      <w:pPr>
        <w:pStyle w:val="BodyText"/>
      </w:pPr>
      <w:r w:rsidRPr="008E5EBB">
        <w:t xml:space="preserve">All persons wishing to participate in the conference are requested to register </w:t>
      </w:r>
      <w:r w:rsidRPr="008E5EBB">
        <w:rPr>
          <w:b/>
        </w:rPr>
        <w:t>online in advance</w:t>
      </w:r>
      <w:r w:rsidRPr="008E5EBB">
        <w:t xml:space="preserve"> through the conference web page (see Section </w:t>
      </w:r>
      <w:r w:rsidR="00E81A58">
        <w:fldChar w:fldCharType="begin"/>
      </w:r>
      <w:r w:rsidR="00E81A58">
        <w:instrText xml:space="preserve"> REF _Ref388617255 \r \h </w:instrText>
      </w:r>
      <w:r w:rsidR="00E81A58">
        <w:fldChar w:fldCharType="separate"/>
      </w:r>
      <w:r w:rsidR="008E3E90">
        <w:t>N</w:t>
      </w:r>
      <w:r w:rsidR="00E81A58">
        <w:fldChar w:fldCharType="end"/>
      </w:r>
      <w:r w:rsidRPr="008E5EBB">
        <w:t xml:space="preserve">). </w:t>
      </w:r>
      <w:r w:rsidRPr="008E5EBB">
        <w:rPr>
          <w:b/>
        </w:rPr>
        <w:t>In addition</w:t>
      </w:r>
      <w:r w:rsidRPr="008E5EBB">
        <w:t xml:space="preserve">, they must send a completed </w:t>
      </w:r>
    </w:p>
    <w:p w:rsidR="00BD0C48" w:rsidRPr="008E5EBB" w:rsidRDefault="00BD0C48" w:rsidP="00BD0C48">
      <w:pPr>
        <w:pStyle w:val="BodyText"/>
        <w:numPr>
          <w:ilvl w:val="0"/>
          <w:numId w:val="15"/>
        </w:numPr>
      </w:pPr>
      <w:r w:rsidRPr="008E5EBB">
        <w:t>Participation Form (Form A),</w:t>
      </w:r>
    </w:p>
    <w:p w:rsidR="00BD0C48" w:rsidRPr="008E5EBB" w:rsidRDefault="00BD0C48" w:rsidP="00BD0C48">
      <w:pPr>
        <w:pStyle w:val="BodyText"/>
        <w:numPr>
          <w:ilvl w:val="0"/>
          <w:numId w:val="15"/>
        </w:numPr>
      </w:pPr>
      <w:r w:rsidRPr="008E5EBB">
        <w:t>Form for Submission of a Paper (Form B) (if applicable), and</w:t>
      </w:r>
    </w:p>
    <w:p w:rsidR="00BD0C48" w:rsidRPr="008E5EBB" w:rsidRDefault="00BD0C48" w:rsidP="00BD0C48">
      <w:pPr>
        <w:pStyle w:val="BodyText"/>
        <w:numPr>
          <w:ilvl w:val="0"/>
          <w:numId w:val="15"/>
        </w:numPr>
      </w:pPr>
      <w:r w:rsidRPr="008E5EBB">
        <w:t>Grant Application Form (Form C) (if applicable),</w:t>
      </w:r>
    </w:p>
    <w:p w:rsidR="00BD0C48" w:rsidRPr="008E5EBB" w:rsidRDefault="00BD0C48" w:rsidP="00BD0C48">
      <w:pPr>
        <w:pStyle w:val="BodyText"/>
      </w:pPr>
      <w:proofErr w:type="gramStart"/>
      <w:r w:rsidRPr="008E5EBB">
        <w:t>as</w:t>
      </w:r>
      <w:proofErr w:type="gramEnd"/>
      <w:r w:rsidRPr="008E5EBB">
        <w:t xml:space="preserve"> soon as possible to a competent official authority:</w:t>
      </w:r>
    </w:p>
    <w:p w:rsidR="00BD0C48" w:rsidRPr="008E5EBB" w:rsidRDefault="00BD0C48" w:rsidP="00BD0C48">
      <w:pPr>
        <w:pStyle w:val="BodyText"/>
        <w:numPr>
          <w:ilvl w:val="0"/>
          <w:numId w:val="16"/>
        </w:numPr>
      </w:pPr>
      <w:r w:rsidRPr="008E5EBB">
        <w:t>Ministry of Foreign Affairs,</w:t>
      </w:r>
    </w:p>
    <w:p w:rsidR="00BD0C48" w:rsidRPr="008E5EBB" w:rsidRDefault="00BD0C48" w:rsidP="00BD0C48">
      <w:pPr>
        <w:pStyle w:val="BodyText"/>
        <w:numPr>
          <w:ilvl w:val="0"/>
          <w:numId w:val="16"/>
        </w:numPr>
      </w:pPr>
      <w:r w:rsidRPr="008E5EBB">
        <w:t>Permanent Mission to the IAEA, or</w:t>
      </w:r>
    </w:p>
    <w:p w:rsidR="00BD0C48" w:rsidRPr="008E5EBB" w:rsidRDefault="00BD0C48" w:rsidP="00BD0C48">
      <w:pPr>
        <w:pStyle w:val="BodyText"/>
        <w:numPr>
          <w:ilvl w:val="0"/>
          <w:numId w:val="16"/>
        </w:numPr>
      </w:pPr>
      <w:r w:rsidRPr="008E5EBB">
        <w:t>National Atomic Energy Authority,</w:t>
      </w:r>
    </w:p>
    <w:p w:rsidR="00BD0C48" w:rsidRPr="008E5EBB" w:rsidRDefault="00BD0C48" w:rsidP="00BD0C48">
      <w:pPr>
        <w:pStyle w:val="BodyText"/>
      </w:pPr>
      <w:proofErr w:type="gramStart"/>
      <w:r w:rsidRPr="008E5EBB">
        <w:t>or</w:t>
      </w:r>
      <w:proofErr w:type="gramEnd"/>
      <w:r w:rsidRPr="008E5EBB">
        <w:t xml:space="preserve"> to one of the organizations invited to participate for subsequent transmission to the IAEA, via email to: </w:t>
      </w:r>
      <w:hyperlink r:id="rId13" w:history="1">
        <w:r w:rsidRPr="008E5EBB">
          <w:rPr>
            <w:rStyle w:val="Hyperlink"/>
          </w:rPr>
          <w:t>Official.Mail@iaea.org</w:t>
        </w:r>
      </w:hyperlink>
      <w:r w:rsidRPr="008E5EBB">
        <w:t>.</w:t>
      </w:r>
    </w:p>
    <w:p w:rsidR="00BD0C48" w:rsidRPr="008E5EBB" w:rsidRDefault="00BD0C48" w:rsidP="00E81A58">
      <w:pPr>
        <w:pStyle w:val="BodyText"/>
      </w:pPr>
      <w:r w:rsidRPr="008E5EBB">
        <w:t xml:space="preserve">A participant will be accepted only if </w:t>
      </w:r>
      <w:r w:rsidR="00E81A58">
        <w:t xml:space="preserve">the </w:t>
      </w:r>
      <w:r w:rsidRPr="008E5EBB">
        <w:t>above</w:t>
      </w:r>
      <w:r w:rsidR="00E81A58">
        <w:t xml:space="preserve"> documents</w:t>
      </w:r>
      <w:r w:rsidRPr="008E5EBB">
        <w:t xml:space="preserve"> </w:t>
      </w:r>
      <w:r w:rsidR="00E81A58">
        <w:t>are</w:t>
      </w:r>
      <w:r w:rsidRPr="008E5EBB">
        <w:t xml:space="preserve"> transmitted through the competent national authority of a Member State of the IAEA or by an organization invited to participate.</w:t>
      </w:r>
    </w:p>
    <w:p w:rsidR="00BD0C48" w:rsidRPr="008E5EBB" w:rsidRDefault="00BD0C48" w:rsidP="00E81A58">
      <w:pPr>
        <w:pStyle w:val="BodyText"/>
      </w:pPr>
      <w:r w:rsidRPr="008E5EBB">
        <w:t xml:space="preserve">Participants whose official designations have been received by the IAEA will receive further information on the conference at least three months before the start of the conference. This information will also be made available on the conference web page (see Section </w:t>
      </w:r>
      <w:r w:rsidR="00E81A58">
        <w:fldChar w:fldCharType="begin"/>
      </w:r>
      <w:r w:rsidR="00E81A58">
        <w:instrText xml:space="preserve"> REF _Ref388617255 \r \h </w:instrText>
      </w:r>
      <w:r w:rsidR="00E81A58">
        <w:fldChar w:fldCharType="separate"/>
      </w:r>
      <w:r w:rsidR="008E3E90">
        <w:t>N</w:t>
      </w:r>
      <w:r w:rsidR="00E81A58">
        <w:fldChar w:fldCharType="end"/>
      </w:r>
      <w:r w:rsidRPr="008E5EBB">
        <w:t>).</w:t>
      </w:r>
    </w:p>
    <w:p w:rsidR="00733D7D" w:rsidRPr="008E5EBB" w:rsidRDefault="00733D7D" w:rsidP="00917F5D">
      <w:pPr>
        <w:pStyle w:val="Heading1"/>
        <w:spacing w:before="840" w:after="360"/>
        <w:jc w:val="both"/>
      </w:pPr>
      <w:r w:rsidRPr="008E5EBB">
        <w:t>Expenditures</w:t>
      </w:r>
      <w:r w:rsidR="00A64B0D" w:rsidRPr="008E5EBB">
        <w:t xml:space="preserve"> and </w:t>
      </w:r>
      <w:r w:rsidR="00DC40A6" w:rsidRPr="008E5EBB">
        <w:t>Grants</w:t>
      </w:r>
    </w:p>
    <w:p w:rsidR="002B1DAF" w:rsidRPr="008E5EBB" w:rsidRDefault="002B1DAF" w:rsidP="00917F5D">
      <w:pPr>
        <w:pStyle w:val="BodyText"/>
      </w:pPr>
      <w:r w:rsidRPr="008E5EBB">
        <w:t>No registration fee is charged to participants.</w:t>
      </w:r>
    </w:p>
    <w:p w:rsidR="002B1DAF" w:rsidRPr="008E5EBB" w:rsidRDefault="002B1DAF" w:rsidP="00917F5D">
      <w:pPr>
        <w:pStyle w:val="BodyText"/>
        <w:rPr>
          <w:szCs w:val="22"/>
        </w:rPr>
      </w:pPr>
      <w:r w:rsidRPr="008E5EBB">
        <w:rPr>
          <w:szCs w:val="22"/>
        </w:rPr>
        <w:t xml:space="preserve">The IAEA is generally not in a position to bear the travel and other costs of participants in the conference. The IAEA has, however, limited funds at its disposal to help cover the cost of attendance of </w:t>
      </w:r>
      <w:r w:rsidR="00A64B0D" w:rsidRPr="008E5EBB">
        <w:rPr>
          <w:szCs w:val="22"/>
        </w:rPr>
        <w:t xml:space="preserve">certain </w:t>
      </w:r>
      <w:r w:rsidRPr="008E5EBB">
        <w:rPr>
          <w:szCs w:val="22"/>
        </w:rPr>
        <w:t>participants. Such assistance may be offered upon specific request to normally one participant per country provided that, in the IAEA’s view, the participant on whose behalf assistance is requested will make an important contribution to the conference.</w:t>
      </w:r>
    </w:p>
    <w:p w:rsidR="002B1DAF" w:rsidRPr="008E5EBB" w:rsidRDefault="002B1DAF" w:rsidP="00496659">
      <w:pPr>
        <w:pStyle w:val="BodyText"/>
        <w:keepNext/>
        <w:keepLines/>
        <w:rPr>
          <w:szCs w:val="22"/>
        </w:rPr>
      </w:pPr>
      <w:r w:rsidRPr="008E5EBB">
        <w:rPr>
          <w:szCs w:val="22"/>
        </w:rPr>
        <w:lastRenderedPageBreak/>
        <w:t>If governments wish to apply for a grant on behalf of one of their specialists, they should address specific requests to the IAEA to this effect. Governments should ensure that applications for grants are:</w:t>
      </w:r>
    </w:p>
    <w:p w:rsidR="002B1DAF" w:rsidRPr="008E5EBB" w:rsidRDefault="002B1DAF" w:rsidP="00496659">
      <w:pPr>
        <w:pStyle w:val="BodyText"/>
        <w:keepNext/>
        <w:keepLines/>
        <w:ind w:left="567"/>
        <w:rPr>
          <w:szCs w:val="22"/>
        </w:rPr>
      </w:pPr>
      <w:r w:rsidRPr="008E5EBB">
        <w:rPr>
          <w:szCs w:val="22"/>
        </w:rPr>
        <w:t>1.</w:t>
      </w:r>
      <w:r w:rsidRPr="008E5EBB">
        <w:rPr>
          <w:szCs w:val="22"/>
        </w:rPr>
        <w:tab/>
        <w:t>Submitted by</w:t>
      </w:r>
      <w:r w:rsidRPr="008E5EBB">
        <w:rPr>
          <w:bCs/>
          <w:szCs w:val="22"/>
        </w:rPr>
        <w:t xml:space="preserve"> </w:t>
      </w:r>
      <w:r w:rsidR="00E448E2" w:rsidRPr="008E5EBB">
        <w:rPr>
          <w:b/>
          <w:szCs w:val="22"/>
        </w:rPr>
        <w:t>13 May</w:t>
      </w:r>
      <w:r w:rsidR="00C23C87" w:rsidRPr="008E5EBB">
        <w:rPr>
          <w:b/>
          <w:szCs w:val="22"/>
        </w:rPr>
        <w:t xml:space="preserve"> 2016</w:t>
      </w:r>
      <w:r w:rsidRPr="008E5EBB">
        <w:rPr>
          <w:szCs w:val="22"/>
        </w:rPr>
        <w:t>;</w:t>
      </w:r>
    </w:p>
    <w:p w:rsidR="002B1DAF" w:rsidRPr="008E5EBB" w:rsidRDefault="002B1DAF" w:rsidP="00BD0C48">
      <w:pPr>
        <w:pStyle w:val="BodyText"/>
        <w:ind w:left="1134" w:hanging="567"/>
        <w:rPr>
          <w:szCs w:val="22"/>
        </w:rPr>
      </w:pPr>
      <w:r w:rsidRPr="008E5EBB">
        <w:rPr>
          <w:szCs w:val="22"/>
        </w:rPr>
        <w:t>2.</w:t>
      </w:r>
      <w:r w:rsidRPr="008E5EBB">
        <w:rPr>
          <w:szCs w:val="22"/>
        </w:rPr>
        <w:tab/>
      </w:r>
      <w:r w:rsidR="00BD0C48" w:rsidRPr="008E5EBB">
        <w:rPr>
          <w:szCs w:val="22"/>
        </w:rPr>
        <w:t>Accompanied by a duly completed Grant Application Form (Form C) signed and stamped by the Ministry of Foreign Affairs or the National Atomic Energy Authority;</w:t>
      </w:r>
    </w:p>
    <w:p w:rsidR="002B1DAF" w:rsidRPr="008E5EBB" w:rsidRDefault="002B1DAF" w:rsidP="00917F5D">
      <w:pPr>
        <w:pStyle w:val="BodyText"/>
        <w:ind w:left="567"/>
        <w:rPr>
          <w:szCs w:val="22"/>
        </w:rPr>
      </w:pPr>
      <w:r w:rsidRPr="008E5EBB">
        <w:rPr>
          <w:szCs w:val="22"/>
        </w:rPr>
        <w:t>3.</w:t>
      </w:r>
      <w:r w:rsidRPr="008E5EBB">
        <w:rPr>
          <w:szCs w:val="22"/>
        </w:rPr>
        <w:tab/>
        <w:t>Accompanied by a completed Participation Form (Form A).</w:t>
      </w:r>
    </w:p>
    <w:p w:rsidR="002B1DAF" w:rsidRPr="008E5EBB" w:rsidRDefault="002B1DAF" w:rsidP="00917F5D">
      <w:pPr>
        <w:pStyle w:val="BodyText"/>
      </w:pPr>
      <w:r w:rsidRPr="008E5EBB">
        <w:t>Applications that do not comply with the above conditions cannot be considered.</w:t>
      </w:r>
    </w:p>
    <w:p w:rsidR="002B1DAF" w:rsidRPr="008E5EBB" w:rsidRDefault="002B1DAF" w:rsidP="00917F5D">
      <w:pPr>
        <w:pStyle w:val="BodyText"/>
      </w:pPr>
      <w:r w:rsidRPr="008E5EBB">
        <w:t xml:space="preserve">Approved grants will be issued in the form of a lump sum payment that usually </w:t>
      </w:r>
      <w:r w:rsidRPr="008E5EBB">
        <w:rPr>
          <w:b/>
        </w:rPr>
        <w:t>covers only part of the cost of attendance</w:t>
      </w:r>
      <w:r w:rsidRPr="008E5EBB">
        <w:t>.</w:t>
      </w:r>
    </w:p>
    <w:p w:rsidR="00555B21" w:rsidRPr="008E5EBB" w:rsidRDefault="00555B21" w:rsidP="00917F5D">
      <w:pPr>
        <w:pStyle w:val="Heading1"/>
        <w:spacing w:before="840" w:after="360"/>
        <w:jc w:val="both"/>
      </w:pPr>
      <w:r w:rsidRPr="008E5EBB">
        <w:t>Distribution of Documents</w:t>
      </w:r>
    </w:p>
    <w:p w:rsidR="00555B21" w:rsidRPr="008E5EBB" w:rsidRDefault="00555B21" w:rsidP="00E81A58">
      <w:pPr>
        <w:pStyle w:val="BodyTextMultiline"/>
        <w:numPr>
          <w:ilvl w:val="0"/>
          <w:numId w:val="0"/>
        </w:numPr>
      </w:pPr>
      <w:r w:rsidRPr="008E5EBB">
        <w:t xml:space="preserve">A preliminary programme of the conference will be made available on the conference web page (see Section </w:t>
      </w:r>
      <w:r w:rsidR="00E81A58">
        <w:fldChar w:fldCharType="begin"/>
      </w:r>
      <w:r w:rsidR="00E81A58">
        <w:instrText xml:space="preserve"> REF _Ref388617255 \r \h </w:instrText>
      </w:r>
      <w:r w:rsidR="00E81A58">
        <w:fldChar w:fldCharType="separate"/>
      </w:r>
      <w:r w:rsidR="008E3E90">
        <w:t>N</w:t>
      </w:r>
      <w:r w:rsidR="00E81A58">
        <w:fldChar w:fldCharType="end"/>
      </w:r>
      <w:r w:rsidRPr="008E5EBB">
        <w:t>) before the start of the conference. The final programme and the Book of Synopses will be available free of charge upon registration at the conference.</w:t>
      </w:r>
    </w:p>
    <w:p w:rsidR="00733D7D" w:rsidRPr="008E5EBB" w:rsidRDefault="00733D7D" w:rsidP="00917F5D">
      <w:pPr>
        <w:pStyle w:val="Heading1"/>
        <w:spacing w:before="840" w:after="360"/>
        <w:jc w:val="both"/>
      </w:pPr>
      <w:r w:rsidRPr="008E5EBB">
        <w:t>Working Language</w:t>
      </w:r>
    </w:p>
    <w:p w:rsidR="00AF50D5" w:rsidRPr="008E5EBB" w:rsidRDefault="00733D7D" w:rsidP="00E81A58">
      <w:pPr>
        <w:pStyle w:val="BodyText"/>
      </w:pPr>
      <w:r w:rsidRPr="008E5EBB">
        <w:t>The working language of the conference will be English.</w:t>
      </w:r>
      <w:r w:rsidR="002B1DAF" w:rsidRPr="008E5EBB">
        <w:t xml:space="preserve"> All communications and papers must be sent to the IAEA in English.</w:t>
      </w:r>
    </w:p>
    <w:p w:rsidR="009F44B5" w:rsidRPr="008E5EBB" w:rsidRDefault="009F44B5" w:rsidP="00917F5D">
      <w:pPr>
        <w:pStyle w:val="Heading1"/>
        <w:spacing w:before="840" w:after="360"/>
        <w:jc w:val="both"/>
      </w:pPr>
      <w:r w:rsidRPr="008E5EBB">
        <w:t>Venue and Accommodation</w:t>
      </w:r>
    </w:p>
    <w:p w:rsidR="002B1DAF" w:rsidRPr="008E5EBB" w:rsidRDefault="00BD0C48" w:rsidP="00E81A58">
      <w:pPr>
        <w:pStyle w:val="BodyText"/>
        <w:rPr>
          <w:szCs w:val="22"/>
        </w:rPr>
      </w:pPr>
      <w:r w:rsidRPr="008E5EBB">
        <w:rPr>
          <w:szCs w:val="22"/>
        </w:rPr>
        <w:t xml:space="preserve">The conference will be held at the IAEA’s Headquarters in Vienna, Austria. Participants must make their own travel and accommodation arrangements. Hotels which are offering a reduced rate for conference participants will be listed on the conference web page (see Section </w:t>
      </w:r>
      <w:r w:rsidR="00E81A58">
        <w:rPr>
          <w:szCs w:val="22"/>
        </w:rPr>
        <w:fldChar w:fldCharType="begin"/>
      </w:r>
      <w:r w:rsidR="00E81A58">
        <w:rPr>
          <w:szCs w:val="22"/>
        </w:rPr>
        <w:instrText xml:space="preserve"> REF _Ref388617255 \r \h </w:instrText>
      </w:r>
      <w:r w:rsidR="00E81A58">
        <w:rPr>
          <w:szCs w:val="22"/>
        </w:rPr>
      </w:r>
      <w:r w:rsidR="00E81A58">
        <w:rPr>
          <w:szCs w:val="22"/>
        </w:rPr>
        <w:fldChar w:fldCharType="separate"/>
      </w:r>
      <w:r w:rsidR="008E3E90">
        <w:rPr>
          <w:szCs w:val="22"/>
        </w:rPr>
        <w:t>N</w:t>
      </w:r>
      <w:r w:rsidR="00E81A58">
        <w:rPr>
          <w:szCs w:val="22"/>
        </w:rPr>
        <w:fldChar w:fldCharType="end"/>
      </w:r>
      <w:r w:rsidRPr="008E5EBB">
        <w:rPr>
          <w:szCs w:val="22"/>
        </w:rPr>
        <w:t>). Please note that the IAEA is not in a position to assist participants with hotel bookings, nor can the IAEA assume responsibility for paying cancellation fees or for re-bookings and no shows.</w:t>
      </w:r>
    </w:p>
    <w:p w:rsidR="00733D7D" w:rsidRPr="008E5EBB" w:rsidRDefault="00733D7D" w:rsidP="00917F5D">
      <w:pPr>
        <w:pStyle w:val="Heading1"/>
        <w:spacing w:before="840" w:after="360"/>
        <w:jc w:val="both"/>
      </w:pPr>
      <w:r w:rsidRPr="008E5EBB">
        <w:t>Visa</w:t>
      </w:r>
      <w:r w:rsidR="00877F18" w:rsidRPr="008E5EBB">
        <w:t>s</w:t>
      </w:r>
    </w:p>
    <w:p w:rsidR="002B1DAF" w:rsidRPr="008E5EBB" w:rsidRDefault="002B1DAF" w:rsidP="00E81A58">
      <w:pPr>
        <w:overflowPunct/>
        <w:spacing w:after="170" w:line="280" w:lineRule="atLeast"/>
        <w:jc w:val="both"/>
        <w:textAlignment w:val="auto"/>
      </w:pPr>
      <w:r w:rsidRPr="008E5EBB">
        <w:t xml:space="preserve">Designated participants who require a visa to enter Austria should submit the necessary application to the nearest diplomatic or consular representative of Austria at least four weeks before they travel to Austria. Since Austria is a Schengen State, persons requiring a visa will have to apply for a Schengen </w:t>
      </w:r>
      <w:r w:rsidRPr="008E5EBB">
        <w:lastRenderedPageBreak/>
        <w:t xml:space="preserve">visa. In States where Austria has no diplomatic mission, visas can be obtained from the consular </w:t>
      </w:r>
      <w:r w:rsidRPr="008E5EBB">
        <w:rPr>
          <w:szCs w:val="22"/>
          <w:lang w:eastAsia="en-GB"/>
        </w:rPr>
        <w:t>authority of a Schengen Partner State representing Austria in the country in question.</w:t>
      </w:r>
    </w:p>
    <w:p w:rsidR="00733D7D" w:rsidRPr="008E5EBB" w:rsidRDefault="00F82C2F" w:rsidP="00253BFC">
      <w:pPr>
        <w:pStyle w:val="Heading1"/>
        <w:spacing w:before="840" w:after="360"/>
      </w:pPr>
      <w:r w:rsidRPr="008E5EBB">
        <w:t>Key Deadlines</w:t>
      </w:r>
      <w:r w:rsidR="003F552A" w:rsidRPr="008E5EBB">
        <w:t xml:space="preserve"> and Dates</w:t>
      </w:r>
    </w:p>
    <w:tbl>
      <w:tblPr>
        <w:tblStyle w:val="TableGrid"/>
        <w:tblW w:w="0" w:type="auto"/>
        <w:tblLook w:val="04A0" w:firstRow="1" w:lastRow="0" w:firstColumn="1" w:lastColumn="0" w:noHBand="0" w:noVBand="1"/>
      </w:tblPr>
      <w:tblGrid>
        <w:gridCol w:w="7054"/>
        <w:gridCol w:w="2233"/>
      </w:tblGrid>
      <w:tr w:rsidR="004E4A56" w:rsidTr="00496659">
        <w:tc>
          <w:tcPr>
            <w:tcW w:w="7054" w:type="dxa"/>
          </w:tcPr>
          <w:p w:rsidR="004E4A56" w:rsidRDefault="004E4A56" w:rsidP="004E4A56">
            <w:pPr>
              <w:pStyle w:val="BodyText"/>
              <w:tabs>
                <w:tab w:val="left" w:pos="6804"/>
              </w:tabs>
            </w:pPr>
            <w:r w:rsidRPr="008E5EBB">
              <w:t>Electronic submission of synopsis</w:t>
            </w:r>
            <w:r>
              <w:t>,</w:t>
            </w:r>
            <w:r w:rsidRPr="008E5EBB">
              <w:t xml:space="preserve"> including submission of</w:t>
            </w:r>
            <w:r>
              <w:t xml:space="preserve"> </w:t>
            </w:r>
            <w:r w:rsidRPr="008E5EBB">
              <w:t>Forms A and B</w:t>
            </w:r>
            <w:r>
              <w:t>,</w:t>
            </w:r>
            <w:r w:rsidRPr="008E5EBB">
              <w:t xml:space="preserve"> through official channels:</w:t>
            </w:r>
          </w:p>
        </w:tc>
        <w:tc>
          <w:tcPr>
            <w:tcW w:w="2233" w:type="dxa"/>
          </w:tcPr>
          <w:p w:rsidR="004E4A56" w:rsidRDefault="004E4A56" w:rsidP="004E4A56">
            <w:pPr>
              <w:pStyle w:val="BodyText"/>
              <w:tabs>
                <w:tab w:val="left" w:pos="6804"/>
              </w:tabs>
            </w:pPr>
            <w:r>
              <w:rPr>
                <w:b/>
              </w:rPr>
              <w:br/>
            </w:r>
            <w:r w:rsidRPr="008E5EBB">
              <w:rPr>
                <w:b/>
              </w:rPr>
              <w:t>13 May</w:t>
            </w:r>
            <w:r w:rsidRPr="008E5EBB">
              <w:rPr>
                <w:b/>
                <w:bCs/>
              </w:rPr>
              <w:t xml:space="preserve"> 2016</w:t>
            </w:r>
          </w:p>
        </w:tc>
      </w:tr>
      <w:tr w:rsidR="004E4A56" w:rsidTr="00496659">
        <w:tc>
          <w:tcPr>
            <w:tcW w:w="7054" w:type="dxa"/>
          </w:tcPr>
          <w:p w:rsidR="004E4A56" w:rsidRDefault="004E4A56" w:rsidP="004E4A56">
            <w:pPr>
              <w:pStyle w:val="BodyText"/>
              <w:tabs>
                <w:tab w:val="left" w:pos="6804"/>
              </w:tabs>
            </w:pPr>
            <w:r w:rsidRPr="008E5EBB">
              <w:rPr>
                <w:color w:val="000000" w:themeColor="text1"/>
              </w:rPr>
              <w:t>Submission of Grant Application</w:t>
            </w:r>
            <w:r>
              <w:rPr>
                <w:color w:val="000000" w:themeColor="text1"/>
              </w:rPr>
              <w:t xml:space="preserve"> Form</w:t>
            </w:r>
            <w:r w:rsidRPr="008E5EBB">
              <w:rPr>
                <w:color w:val="000000" w:themeColor="text1"/>
              </w:rPr>
              <w:t xml:space="preserve"> (Form C) and Participation Form (Form</w:t>
            </w:r>
            <w:r>
              <w:rPr>
                <w:color w:val="000000" w:themeColor="text1"/>
              </w:rPr>
              <w:t> </w:t>
            </w:r>
            <w:r w:rsidRPr="008E5EBB">
              <w:rPr>
                <w:color w:val="000000" w:themeColor="text1"/>
              </w:rPr>
              <w:t>A) through official channels:</w:t>
            </w:r>
          </w:p>
        </w:tc>
        <w:tc>
          <w:tcPr>
            <w:tcW w:w="2233" w:type="dxa"/>
          </w:tcPr>
          <w:p w:rsidR="004E4A56" w:rsidRDefault="004E4A56" w:rsidP="004E4A56">
            <w:pPr>
              <w:pStyle w:val="BodyText"/>
              <w:tabs>
                <w:tab w:val="left" w:pos="6804"/>
              </w:tabs>
            </w:pPr>
            <w:r>
              <w:rPr>
                <w:b/>
              </w:rPr>
              <w:br/>
            </w:r>
            <w:r w:rsidRPr="008E5EBB">
              <w:rPr>
                <w:b/>
              </w:rPr>
              <w:t>13 May</w:t>
            </w:r>
            <w:r w:rsidRPr="008E5EBB">
              <w:rPr>
                <w:b/>
                <w:bCs/>
              </w:rPr>
              <w:t xml:space="preserve"> </w:t>
            </w:r>
            <w:r w:rsidRPr="008E5EBB">
              <w:rPr>
                <w:b/>
                <w:bCs/>
                <w:color w:val="000000" w:themeColor="text1"/>
              </w:rPr>
              <w:t>2016</w:t>
            </w:r>
          </w:p>
        </w:tc>
      </w:tr>
      <w:tr w:rsidR="004E4A56" w:rsidTr="00496659">
        <w:tc>
          <w:tcPr>
            <w:tcW w:w="7054" w:type="dxa"/>
          </w:tcPr>
          <w:p w:rsidR="004E4A56" w:rsidRDefault="004E4A56" w:rsidP="004E4A56">
            <w:pPr>
              <w:pStyle w:val="BodyText"/>
              <w:tabs>
                <w:tab w:val="left" w:pos="6804"/>
              </w:tabs>
            </w:pPr>
            <w:r w:rsidRPr="008E5EBB">
              <w:rPr>
                <w:color w:val="000000" w:themeColor="text1"/>
              </w:rPr>
              <w:t>Notification of acceptance of paper</w:t>
            </w:r>
            <w:r>
              <w:rPr>
                <w:color w:val="000000" w:themeColor="text1"/>
              </w:rPr>
              <w:t>:</w:t>
            </w:r>
          </w:p>
        </w:tc>
        <w:tc>
          <w:tcPr>
            <w:tcW w:w="2233" w:type="dxa"/>
          </w:tcPr>
          <w:p w:rsidR="004E4A56" w:rsidRDefault="004E4A56" w:rsidP="004E4A56">
            <w:pPr>
              <w:pStyle w:val="BodyText"/>
              <w:tabs>
                <w:tab w:val="left" w:pos="6804"/>
              </w:tabs>
            </w:pPr>
            <w:r w:rsidRPr="008E5EBB">
              <w:rPr>
                <w:b/>
                <w:color w:val="000000" w:themeColor="text1"/>
              </w:rPr>
              <w:t xml:space="preserve">29 </w:t>
            </w:r>
            <w:r w:rsidRPr="008E5EBB">
              <w:rPr>
                <w:b/>
                <w:bCs/>
                <w:color w:val="000000" w:themeColor="text1"/>
              </w:rPr>
              <w:t>July 2016</w:t>
            </w:r>
          </w:p>
        </w:tc>
      </w:tr>
      <w:tr w:rsidR="004E4A56" w:rsidTr="00496659">
        <w:tc>
          <w:tcPr>
            <w:tcW w:w="7054" w:type="dxa"/>
          </w:tcPr>
          <w:p w:rsidR="004E4A56" w:rsidRDefault="004E4A56" w:rsidP="004E4A56">
            <w:pPr>
              <w:pStyle w:val="BodyText"/>
              <w:tabs>
                <w:tab w:val="left" w:pos="6804"/>
              </w:tabs>
            </w:pPr>
            <w:r w:rsidRPr="008E5EBB">
              <w:rPr>
                <w:color w:val="000000" w:themeColor="text1"/>
              </w:rPr>
              <w:t>Electronic submission of full paper (10 pages max.):</w:t>
            </w:r>
          </w:p>
        </w:tc>
        <w:tc>
          <w:tcPr>
            <w:tcW w:w="2233" w:type="dxa"/>
          </w:tcPr>
          <w:p w:rsidR="004E4A56" w:rsidRDefault="004E4A56" w:rsidP="004E4A56">
            <w:pPr>
              <w:pStyle w:val="BodyText"/>
              <w:tabs>
                <w:tab w:val="left" w:pos="6804"/>
              </w:tabs>
            </w:pPr>
            <w:r w:rsidRPr="008E5EBB">
              <w:rPr>
                <w:b/>
                <w:bCs/>
                <w:color w:val="000000" w:themeColor="text1"/>
              </w:rPr>
              <w:t>31 October 2016</w:t>
            </w:r>
          </w:p>
        </w:tc>
      </w:tr>
    </w:tbl>
    <w:p w:rsidR="00733D7D" w:rsidRPr="008E5EBB" w:rsidRDefault="00F82C2F" w:rsidP="004E4A56">
      <w:pPr>
        <w:pStyle w:val="Heading1"/>
        <w:spacing w:before="840" w:after="360"/>
      </w:pPr>
      <w:r w:rsidRPr="008E5EBB">
        <w:t>Conference Secretariat</w:t>
      </w:r>
    </w:p>
    <w:p w:rsidR="00797EF7" w:rsidRPr="008E5EBB" w:rsidRDefault="00315B0E" w:rsidP="00797EF7">
      <w:pPr>
        <w:pStyle w:val="BodyText"/>
        <w:keepNext/>
        <w:keepLines/>
        <w:rPr>
          <w:b/>
          <w:sz w:val="24"/>
          <w:szCs w:val="24"/>
        </w:rPr>
      </w:pPr>
      <w:r w:rsidRPr="008E5EBB">
        <w:rPr>
          <w:b/>
          <w:sz w:val="24"/>
          <w:szCs w:val="24"/>
        </w:rPr>
        <w:t>General postal address and contact details of the IAEA:</w:t>
      </w:r>
    </w:p>
    <w:p w:rsidR="00797EF7" w:rsidRPr="008E5EBB" w:rsidRDefault="00797EF7" w:rsidP="00132182">
      <w:pPr>
        <w:pStyle w:val="BodyText"/>
        <w:keepNext/>
        <w:keepLines/>
      </w:pPr>
      <w:r w:rsidRPr="008E5EBB">
        <w:rPr>
          <w:rFonts w:eastAsia="MS Mincho"/>
          <w:szCs w:val="22"/>
        </w:rPr>
        <w:t>International Atomic Energy Agency</w:t>
      </w:r>
      <w:r w:rsidRPr="008E5EBB">
        <w:br/>
      </w:r>
      <w:r w:rsidRPr="008E5EBB">
        <w:rPr>
          <w:rFonts w:eastAsia="MS Mincho"/>
          <w:szCs w:val="22"/>
        </w:rPr>
        <w:t>Vienna International Centre</w:t>
      </w:r>
      <w:r w:rsidRPr="008E5EBB">
        <w:rPr>
          <w:rFonts w:eastAsia="MS Mincho"/>
          <w:szCs w:val="22"/>
        </w:rPr>
        <w:br/>
        <w:t>PO Box 100</w:t>
      </w:r>
      <w:r w:rsidRPr="008E5EBB">
        <w:br/>
      </w:r>
      <w:r w:rsidRPr="008E5EBB">
        <w:rPr>
          <w:rFonts w:eastAsia="MS Mincho"/>
          <w:szCs w:val="22"/>
        </w:rPr>
        <w:t>1400 VIENNA</w:t>
      </w:r>
      <w:r w:rsidRPr="008E5EBB">
        <w:rPr>
          <w:rFonts w:eastAsia="MS Mincho"/>
          <w:szCs w:val="22"/>
        </w:rPr>
        <w:br/>
        <w:t>AUSTRIA</w:t>
      </w:r>
      <w:r w:rsidRPr="008E5EBB">
        <w:br/>
      </w:r>
      <w:r w:rsidRPr="008E5EBB">
        <w:rPr>
          <w:rFonts w:eastAsia="MS Mincho"/>
          <w:szCs w:val="22"/>
          <w:lang w:eastAsia="ja-JP"/>
        </w:rPr>
        <w:t>Tel.: +43 1 2600</w:t>
      </w:r>
      <w:r w:rsidRPr="008E5EBB">
        <w:br/>
      </w:r>
      <w:r w:rsidRPr="008E5EBB">
        <w:rPr>
          <w:rFonts w:eastAsia="MS Mincho"/>
          <w:szCs w:val="22"/>
          <w:lang w:eastAsia="ja-JP"/>
        </w:rPr>
        <w:t>Fax: +43 1 2600 2007</w:t>
      </w:r>
      <w:r w:rsidRPr="008E5EBB">
        <w:br/>
      </w:r>
      <w:r w:rsidRPr="008E5EBB">
        <w:rPr>
          <w:rFonts w:eastAsia="MS Mincho"/>
          <w:szCs w:val="22"/>
          <w:lang w:eastAsia="ja-JP"/>
        </w:rPr>
        <w:t xml:space="preserve">Email: </w:t>
      </w:r>
      <w:hyperlink r:id="rId14" w:history="1">
        <w:r w:rsidR="00132182" w:rsidRPr="008E5EBB">
          <w:rPr>
            <w:rStyle w:val="Hyperlink"/>
            <w:rFonts w:eastAsia="Batang"/>
            <w:szCs w:val="22"/>
            <w:lang w:eastAsia="ko-KR"/>
          </w:rPr>
          <w:t>Official.Mail@iaea.org</w:t>
        </w:r>
      </w:hyperlink>
    </w:p>
    <w:p w:rsidR="0039696D" w:rsidRPr="008E5EBB" w:rsidRDefault="0039696D" w:rsidP="006B683F">
      <w:pPr>
        <w:pStyle w:val="Heading4"/>
        <w:rPr>
          <w:lang w:val="en-GB"/>
        </w:rPr>
      </w:pPr>
    </w:p>
    <w:p w:rsidR="00733D7D" w:rsidRPr="008E5EBB" w:rsidRDefault="00A76996" w:rsidP="008660CA">
      <w:pPr>
        <w:pStyle w:val="Heading4"/>
        <w:rPr>
          <w:lang w:val="en-GB"/>
        </w:rPr>
      </w:pPr>
      <w:r w:rsidRPr="008E5EBB">
        <w:rPr>
          <w:lang w:val="en-GB"/>
        </w:rPr>
        <w:t>Scientific Secretar</w:t>
      </w:r>
      <w:r w:rsidR="00E448E2" w:rsidRPr="008E5EBB">
        <w:rPr>
          <w:lang w:val="en-GB"/>
        </w:rPr>
        <w:t>i</w:t>
      </w:r>
      <w:r w:rsidR="0049650C" w:rsidRPr="008E5EBB">
        <w:rPr>
          <w:lang w:val="en-GB"/>
        </w:rPr>
        <w:t>at</w:t>
      </w:r>
      <w:r w:rsidR="00733D7D" w:rsidRPr="008E5EBB">
        <w:rPr>
          <w:lang w:val="en-GB"/>
        </w:rPr>
        <w:t>:</w:t>
      </w:r>
    </w:p>
    <w:p w:rsidR="009B4FE3" w:rsidRPr="008E5EBB" w:rsidRDefault="009B4FE3" w:rsidP="00203954">
      <w:pPr>
        <w:pStyle w:val="BodyText"/>
        <w:spacing w:after="0"/>
      </w:pPr>
    </w:p>
    <w:p w:rsidR="00D84983" w:rsidRDefault="00811E58" w:rsidP="00D84983">
      <w:pPr>
        <w:pStyle w:val="BodyText"/>
        <w:spacing w:after="0"/>
        <w:rPr>
          <w:b/>
        </w:rPr>
      </w:pPr>
      <w:r w:rsidRPr="008E5EBB">
        <w:rPr>
          <w:b/>
        </w:rPr>
        <w:t>Ms Rhonda Evans</w:t>
      </w:r>
    </w:p>
    <w:p w:rsidR="00797EF7" w:rsidRPr="008E5EBB" w:rsidRDefault="00811E58" w:rsidP="00D84983">
      <w:pPr>
        <w:pStyle w:val="BodyText"/>
        <w:spacing w:after="0"/>
      </w:pPr>
      <w:r w:rsidRPr="008E5EBB">
        <w:t xml:space="preserve">Senior </w:t>
      </w:r>
      <w:r w:rsidR="00797EF7" w:rsidRPr="008E5EBB">
        <w:t xml:space="preserve">Nuclear Security </w:t>
      </w:r>
      <w:r w:rsidR="004A3BA6" w:rsidRPr="008E5EBB">
        <w:t>Officer</w:t>
      </w:r>
    </w:p>
    <w:p w:rsidR="00F02DF7" w:rsidRPr="008E5EBB" w:rsidRDefault="00811E58" w:rsidP="00A303CE">
      <w:pPr>
        <w:pStyle w:val="BodyText"/>
        <w:spacing w:after="0"/>
      </w:pPr>
      <w:r w:rsidRPr="008E5EBB">
        <w:t>Office of the Director</w:t>
      </w:r>
    </w:p>
    <w:p w:rsidR="00D84983" w:rsidRDefault="008660CA" w:rsidP="00D84983">
      <w:pPr>
        <w:pStyle w:val="BodyText"/>
        <w:spacing w:after="0"/>
      </w:pPr>
      <w:r w:rsidRPr="008E5EBB">
        <w:t xml:space="preserve">Division </w:t>
      </w:r>
      <w:r w:rsidR="00797EF7" w:rsidRPr="008E5EBB">
        <w:t>of Nuclear Security</w:t>
      </w:r>
    </w:p>
    <w:p w:rsidR="00A303CE" w:rsidRPr="008E5EBB" w:rsidRDefault="00797EF7" w:rsidP="00D84983">
      <w:pPr>
        <w:pStyle w:val="BodyText"/>
        <w:spacing w:after="0"/>
      </w:pPr>
      <w:r w:rsidRPr="008E5EBB">
        <w:t>Department of Nuclear Safety and Security</w:t>
      </w:r>
    </w:p>
    <w:p w:rsidR="00A303CE" w:rsidRDefault="00A303CE" w:rsidP="00D84983">
      <w:pPr>
        <w:pStyle w:val="BodyText"/>
        <w:spacing w:after="0"/>
        <w:jc w:val="left"/>
      </w:pPr>
      <w:r w:rsidRPr="008E5EBB">
        <w:t>Tel.: +</w:t>
      </w:r>
      <w:r w:rsidR="00AF50D5" w:rsidRPr="008E5EBB">
        <w:t>43</w:t>
      </w:r>
      <w:r w:rsidR="00B22274" w:rsidRPr="008E5EBB">
        <w:t xml:space="preserve"> </w:t>
      </w:r>
      <w:r w:rsidR="00AF50D5" w:rsidRPr="008E5EBB">
        <w:t>1</w:t>
      </w:r>
      <w:r w:rsidR="00B22274" w:rsidRPr="008E5EBB">
        <w:t xml:space="preserve"> </w:t>
      </w:r>
      <w:r w:rsidRPr="008E5EBB">
        <w:t xml:space="preserve">2600 </w:t>
      </w:r>
      <w:r w:rsidR="00797EF7" w:rsidRPr="008E5EBB">
        <w:t>2</w:t>
      </w:r>
      <w:r w:rsidR="00811E58" w:rsidRPr="008E5EBB">
        <w:t>1837</w:t>
      </w:r>
    </w:p>
    <w:p w:rsidR="00D84983" w:rsidRPr="008E5EBB" w:rsidRDefault="00D84983" w:rsidP="00D84983">
      <w:pPr>
        <w:pStyle w:val="BodyText"/>
        <w:spacing w:after="0"/>
        <w:jc w:val="left"/>
      </w:pPr>
    </w:p>
    <w:p w:rsidR="0049650C" w:rsidRPr="008E5EBB" w:rsidRDefault="0049650C" w:rsidP="00D84983">
      <w:pPr>
        <w:pStyle w:val="BodyText"/>
        <w:spacing w:after="0"/>
        <w:jc w:val="left"/>
      </w:pPr>
      <w:r w:rsidRPr="008E5EBB">
        <w:rPr>
          <w:b/>
        </w:rPr>
        <w:t xml:space="preserve">Email address of the </w:t>
      </w:r>
      <w:r w:rsidR="00D84983">
        <w:rPr>
          <w:b/>
        </w:rPr>
        <w:t>S</w:t>
      </w:r>
      <w:r w:rsidRPr="008E5EBB">
        <w:rPr>
          <w:b/>
        </w:rPr>
        <w:t xml:space="preserve">cientific </w:t>
      </w:r>
      <w:r w:rsidR="00D84983">
        <w:rPr>
          <w:b/>
        </w:rPr>
        <w:t>S</w:t>
      </w:r>
      <w:r w:rsidRPr="008E5EBB">
        <w:rPr>
          <w:b/>
        </w:rPr>
        <w:t>ecretariat:</w:t>
      </w:r>
      <w:r w:rsidRPr="008E5EBB">
        <w:t xml:space="preserve"> </w:t>
      </w:r>
      <w:hyperlink r:id="rId15" w:history="1">
        <w:r w:rsidRPr="008E5EBB">
          <w:rPr>
            <w:rStyle w:val="Hyperlink"/>
          </w:rPr>
          <w:t>NuclearSecurity2016@iaea.org</w:t>
        </w:r>
      </w:hyperlink>
    </w:p>
    <w:p w:rsidR="0049650C" w:rsidRPr="008E5EBB" w:rsidRDefault="0049650C" w:rsidP="0049650C">
      <w:pPr>
        <w:pStyle w:val="BodyText"/>
        <w:spacing w:after="0"/>
        <w:jc w:val="left"/>
      </w:pPr>
    </w:p>
    <w:p w:rsidR="0049650C" w:rsidRPr="008E5EBB" w:rsidRDefault="0049650C" w:rsidP="0049650C">
      <w:pPr>
        <w:pStyle w:val="BodyText"/>
        <w:spacing w:after="0"/>
        <w:jc w:val="left"/>
      </w:pPr>
    </w:p>
    <w:p w:rsidR="00C97B33" w:rsidRDefault="00C97B33">
      <w:pPr>
        <w:overflowPunct/>
        <w:autoSpaceDE/>
        <w:autoSpaceDN/>
        <w:adjustRightInd/>
        <w:textAlignment w:val="auto"/>
        <w:rPr>
          <w:b/>
          <w:sz w:val="24"/>
        </w:rPr>
      </w:pPr>
      <w:r>
        <w:br w:type="page"/>
      </w:r>
    </w:p>
    <w:p w:rsidR="00733D7D" w:rsidRPr="008E5EBB" w:rsidRDefault="00733D7D" w:rsidP="00B22274">
      <w:pPr>
        <w:pStyle w:val="Heading4"/>
        <w:rPr>
          <w:lang w:val="en-GB"/>
        </w:rPr>
      </w:pPr>
      <w:r w:rsidRPr="008E5EBB">
        <w:rPr>
          <w:lang w:val="en-GB"/>
        </w:rPr>
        <w:lastRenderedPageBreak/>
        <w:t xml:space="preserve">Administration and </w:t>
      </w:r>
      <w:r w:rsidR="00B22274" w:rsidRPr="008E5EBB">
        <w:rPr>
          <w:lang w:val="en-GB"/>
        </w:rPr>
        <w:t>o</w:t>
      </w:r>
      <w:r w:rsidRPr="008E5EBB">
        <w:rPr>
          <w:lang w:val="en-GB"/>
        </w:rPr>
        <w:t>rganization:</w:t>
      </w:r>
    </w:p>
    <w:p w:rsidR="00D10DE9" w:rsidRPr="008E5EBB" w:rsidRDefault="00D10DE9" w:rsidP="00AE2E9B">
      <w:pPr>
        <w:pStyle w:val="BodyTextMultiline"/>
        <w:numPr>
          <w:ilvl w:val="0"/>
          <w:numId w:val="0"/>
        </w:numPr>
        <w:spacing w:after="0"/>
      </w:pPr>
    </w:p>
    <w:p w:rsidR="007532E2" w:rsidRPr="008E5EBB" w:rsidRDefault="007532E2" w:rsidP="00496659">
      <w:pPr>
        <w:pStyle w:val="BodyText"/>
        <w:spacing w:after="0"/>
        <w:contextualSpacing/>
        <w:rPr>
          <w:b/>
          <w:bCs/>
        </w:rPr>
      </w:pPr>
      <w:r w:rsidRPr="008E5EBB">
        <w:rPr>
          <w:b/>
          <w:bCs/>
        </w:rPr>
        <w:t xml:space="preserve">Ms </w:t>
      </w:r>
      <w:r w:rsidR="00811E58" w:rsidRPr="008E5EBB">
        <w:rPr>
          <w:b/>
          <w:bCs/>
        </w:rPr>
        <w:t xml:space="preserve">Martina </w:t>
      </w:r>
      <w:proofErr w:type="spellStart"/>
      <w:r w:rsidR="00811E58" w:rsidRPr="008E5EBB">
        <w:rPr>
          <w:b/>
          <w:bCs/>
        </w:rPr>
        <w:t>Neuhold</w:t>
      </w:r>
      <w:proofErr w:type="spellEnd"/>
    </w:p>
    <w:p w:rsidR="00D84983" w:rsidRDefault="00733D7D" w:rsidP="00496659">
      <w:pPr>
        <w:pStyle w:val="BodyText"/>
        <w:contextualSpacing/>
      </w:pPr>
      <w:r w:rsidRPr="008E5EBB">
        <w:t>Conference Services Section</w:t>
      </w:r>
    </w:p>
    <w:p w:rsidR="00D84983" w:rsidRDefault="00733D7D" w:rsidP="00496659">
      <w:pPr>
        <w:pStyle w:val="BodyText"/>
        <w:contextualSpacing/>
      </w:pPr>
      <w:r w:rsidRPr="008E5EBB">
        <w:t>Division of Conference and Document Services</w:t>
      </w:r>
    </w:p>
    <w:p w:rsidR="00D84983" w:rsidRDefault="000860AF" w:rsidP="00496659">
      <w:pPr>
        <w:pStyle w:val="BodyText"/>
        <w:contextualSpacing/>
      </w:pPr>
      <w:r w:rsidRPr="008E5EBB">
        <w:t>Department of Management</w:t>
      </w:r>
    </w:p>
    <w:p w:rsidR="00D84983" w:rsidRDefault="00733D7D" w:rsidP="00496659">
      <w:pPr>
        <w:pStyle w:val="BodyText"/>
        <w:contextualSpacing/>
      </w:pPr>
      <w:r w:rsidRPr="008E5EBB">
        <w:t>IAEA-CN-</w:t>
      </w:r>
      <w:r w:rsidR="00D84983" w:rsidRPr="008E5EBB">
        <w:t>2</w:t>
      </w:r>
      <w:r w:rsidR="00D84983">
        <w:t>44</w:t>
      </w:r>
    </w:p>
    <w:p w:rsidR="00D84983" w:rsidRDefault="00733D7D" w:rsidP="00496659">
      <w:pPr>
        <w:pStyle w:val="BodyText"/>
        <w:contextualSpacing/>
      </w:pPr>
      <w:r w:rsidRPr="008E5EBB">
        <w:t>Tel.: +</w:t>
      </w:r>
      <w:r w:rsidR="00AF50D5" w:rsidRPr="008E5EBB">
        <w:t>43</w:t>
      </w:r>
      <w:r w:rsidR="00B22274" w:rsidRPr="008E5EBB">
        <w:t xml:space="preserve"> </w:t>
      </w:r>
      <w:r w:rsidR="00AF50D5" w:rsidRPr="008E5EBB">
        <w:t>1</w:t>
      </w:r>
      <w:r w:rsidR="00B22274" w:rsidRPr="008E5EBB">
        <w:t xml:space="preserve"> </w:t>
      </w:r>
      <w:r w:rsidRPr="008E5EBB">
        <w:t xml:space="preserve">2600 </w:t>
      </w:r>
      <w:r w:rsidR="00C23C87" w:rsidRPr="008E5EBB">
        <w:t>21314</w:t>
      </w:r>
    </w:p>
    <w:p w:rsidR="00733D7D" w:rsidRPr="008E5EBB" w:rsidRDefault="00733D7D" w:rsidP="00D84983">
      <w:pPr>
        <w:pStyle w:val="BodyText"/>
        <w:rPr>
          <w:rStyle w:val="Hyperlink"/>
          <w:color w:val="auto"/>
          <w:u w:val="none"/>
        </w:rPr>
      </w:pPr>
      <w:r w:rsidRPr="008E5EBB">
        <w:t xml:space="preserve">Email: </w:t>
      </w:r>
      <w:hyperlink r:id="rId16" w:history="1">
        <w:r w:rsidR="00C23C87" w:rsidRPr="008E5EBB">
          <w:rPr>
            <w:rStyle w:val="Hyperlink"/>
          </w:rPr>
          <w:t>M.Neuhold@iaea.org</w:t>
        </w:r>
      </w:hyperlink>
    </w:p>
    <w:p w:rsidR="00733D7D" w:rsidRPr="008E5EBB" w:rsidRDefault="00733D7D" w:rsidP="00D84983">
      <w:pPr>
        <w:pStyle w:val="BodyText"/>
      </w:pPr>
      <w:r w:rsidRPr="008E5EBB">
        <w:t xml:space="preserve">Subsequent correspondence on scientific matters should be sent to </w:t>
      </w:r>
      <w:r w:rsidR="0049650C" w:rsidRPr="008E5EBB">
        <w:t>the Scientific Secretariat</w:t>
      </w:r>
      <w:r w:rsidRPr="008E5EBB">
        <w:t xml:space="preserve"> and correspondence on administrative matters to the Conference Services Section.</w:t>
      </w:r>
    </w:p>
    <w:p w:rsidR="00733D7D" w:rsidRPr="008E5EBB" w:rsidRDefault="00F82C2F" w:rsidP="00F02DF7">
      <w:pPr>
        <w:pStyle w:val="Heading1"/>
        <w:spacing w:before="840" w:after="360"/>
      </w:pPr>
      <w:bookmarkStart w:id="4" w:name="_Ref388617255"/>
      <w:r w:rsidRPr="008E5EBB">
        <w:t xml:space="preserve">Conference </w:t>
      </w:r>
      <w:r w:rsidR="00797EF7" w:rsidRPr="008E5EBB">
        <w:t>W</w:t>
      </w:r>
      <w:r w:rsidRPr="008E5EBB">
        <w:t>eb</w:t>
      </w:r>
      <w:r w:rsidR="00797EF7" w:rsidRPr="008E5EBB">
        <w:t xml:space="preserve"> Page</w:t>
      </w:r>
      <w:bookmarkEnd w:id="4"/>
    </w:p>
    <w:p w:rsidR="00733D7D" w:rsidRPr="008E5EBB" w:rsidRDefault="00733D7D" w:rsidP="00636D2A">
      <w:pPr>
        <w:pStyle w:val="BodyText"/>
      </w:pPr>
      <w:r w:rsidRPr="008E5EBB">
        <w:t>Please visit the IAEA conference web</w:t>
      </w:r>
      <w:r w:rsidR="00797EF7" w:rsidRPr="008E5EBB">
        <w:t xml:space="preserve"> page</w:t>
      </w:r>
      <w:r w:rsidRPr="008E5EBB">
        <w:t xml:space="preserve"> regularly for new information regarding this conference:</w:t>
      </w:r>
    </w:p>
    <w:p w:rsidR="00366C44" w:rsidRPr="008E5EBB" w:rsidRDefault="00A457FF" w:rsidP="00DA738C">
      <w:pPr>
        <w:pStyle w:val="BodyText"/>
      </w:pPr>
      <w:hyperlink r:id="rId17" w:history="1">
        <w:r w:rsidR="0049650C" w:rsidRPr="008E5EBB">
          <w:rPr>
            <w:rStyle w:val="Hyperlink"/>
          </w:rPr>
          <w:t>http://www-pub.iaea.org/iaeameetings/50809/International-Conference-on-Nuclear-Security-Commitments-and-Actions</w:t>
        </w:r>
      </w:hyperlink>
    </w:p>
    <w:p w:rsidR="0049650C" w:rsidRPr="008E5EBB" w:rsidRDefault="0049650C" w:rsidP="00DA738C">
      <w:pPr>
        <w:pStyle w:val="BodyText"/>
      </w:pPr>
    </w:p>
    <w:sectPr w:rsidR="0049650C" w:rsidRPr="008E5EBB" w:rsidSect="00132182">
      <w:headerReference w:type="even" r:id="rId18"/>
      <w:headerReference w:type="default" r:id="rId19"/>
      <w:footerReference w:type="even" r:id="rId20"/>
      <w:footerReference w:type="default" r:id="rId21"/>
      <w:headerReference w:type="first" r:id="rId22"/>
      <w:footerReference w:type="first" r:id="rId23"/>
      <w:type w:val="oddPage"/>
      <w:pgSz w:w="11907" w:h="16840" w:code="9"/>
      <w:pgMar w:top="1531" w:right="1418" w:bottom="1134" w:left="1418" w:header="539" w:footer="96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A58" w:rsidRDefault="00E81A58">
      <w:r>
        <w:separator/>
      </w:r>
    </w:p>
  </w:endnote>
  <w:endnote w:type="continuationSeparator" w:id="0">
    <w:p w:rsidR="00E81A58" w:rsidRDefault="00E8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58" w:rsidRDefault="00E81A58">
    <w:pPr>
      <w:pStyle w:val="zyxClassification1"/>
    </w:pPr>
    <w:r>
      <w:fldChar w:fldCharType="begin"/>
    </w:r>
    <w:r>
      <w:instrText xml:space="preserve"> DOCPROPERTY "IaeaClassification"  \* MERGEFORMAT </w:instrText>
    </w:r>
    <w:r>
      <w:fldChar w:fldCharType="end"/>
    </w:r>
  </w:p>
  <w:p w:rsidR="00E81A58" w:rsidRDefault="00E81A58">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58" w:rsidRDefault="00E81A58">
    <w:pPr>
      <w:pStyle w:val="zyxClassification1"/>
    </w:pPr>
    <w:r>
      <w:fldChar w:fldCharType="begin"/>
    </w:r>
    <w:r>
      <w:instrText xml:space="preserve"> DOCPROPERTY "IaeaClassification"  \* MERGEFORMAT </w:instrText>
    </w:r>
    <w:r>
      <w:fldChar w:fldCharType="end"/>
    </w:r>
  </w:p>
  <w:p w:rsidR="00E81A58" w:rsidRDefault="00E81A58">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81A58">
      <w:trPr>
        <w:cantSplit/>
      </w:trPr>
      <w:tc>
        <w:tcPr>
          <w:tcW w:w="4644" w:type="dxa"/>
        </w:tcPr>
        <w:p w:rsidR="00E81A58" w:rsidRDefault="00E81A58">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E81A58" w:rsidRDefault="00E81A58">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tc>
        <w:tcPr>
          <w:tcW w:w="5670" w:type="dxa"/>
          <w:tcMar>
            <w:right w:w="249" w:type="dxa"/>
          </w:tcMar>
        </w:tcPr>
        <w:p w:rsidR="00E81A58" w:rsidRDefault="00E81A58">
          <w:pPr>
            <w:pStyle w:val="zyxConfidBlack"/>
            <w:framePr w:wrap="auto" w:vAnchor="margin" w:hAnchor="text" w:xAlign="left" w:yAlign="inline"/>
            <w:suppressOverlap w:val="0"/>
          </w:pPr>
          <w:bookmarkStart w:id="5" w:name="DOC_bkmClassification2"/>
        </w:p>
        <w:bookmarkEnd w:id="5"/>
        <w:p w:rsidR="00E81A58" w:rsidRDefault="00E81A58">
          <w:pPr>
            <w:spacing w:after="20" w:line="220" w:lineRule="exact"/>
            <w:jc w:val="right"/>
            <w:rPr>
              <w:rFonts w:ascii="Arial" w:hAnsi="Arial" w:cs="Arial"/>
              <w:color w:val="FF0000"/>
            </w:rPr>
          </w:pPr>
        </w:p>
      </w:tc>
    </w:tr>
  </w:tbl>
  <w:p w:rsidR="00E81A58" w:rsidRDefault="00E81A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A58" w:rsidRDefault="00E81A58">
      <w:r>
        <w:t>___________________________________________________________________________</w:t>
      </w:r>
    </w:p>
  </w:footnote>
  <w:footnote w:type="continuationSeparator" w:id="0">
    <w:p w:rsidR="00E81A58" w:rsidRDefault="00E81A58">
      <w:r>
        <w:t>___________________________________________________________________________</w:t>
      </w:r>
    </w:p>
  </w:footnote>
  <w:footnote w:type="continuationNotice" w:id="1">
    <w:p w:rsidR="00E81A58" w:rsidRDefault="00E81A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58" w:rsidRDefault="00E81A58" w:rsidP="00132182">
    <w:r w:rsidRPr="00636D2A">
      <w:rPr>
        <w:sz w:val="18"/>
        <w:szCs w:val="18"/>
      </w:rPr>
      <w:t xml:space="preserve">Page </w:t>
    </w:r>
    <w:r w:rsidRPr="00636D2A">
      <w:rPr>
        <w:sz w:val="18"/>
        <w:szCs w:val="18"/>
      </w:rPr>
      <w:fldChar w:fldCharType="begin"/>
    </w:r>
    <w:r w:rsidRPr="00636D2A">
      <w:rPr>
        <w:sz w:val="18"/>
        <w:szCs w:val="18"/>
      </w:rPr>
      <w:instrText xml:space="preserve"> PAGE   \* MERGEFORMAT </w:instrText>
    </w:r>
    <w:r w:rsidRPr="00636D2A">
      <w:rPr>
        <w:sz w:val="18"/>
        <w:szCs w:val="18"/>
      </w:rPr>
      <w:fldChar w:fldCharType="separate"/>
    </w:r>
    <w:r w:rsidR="00A457FF">
      <w:rPr>
        <w:noProof/>
        <w:sz w:val="18"/>
        <w:szCs w:val="18"/>
      </w:rPr>
      <w:t>10</w:t>
    </w:r>
    <w:r w:rsidRPr="00636D2A">
      <w:rPr>
        <w:noProof/>
        <w:sz w:val="18"/>
        <w:szCs w:val="18"/>
      </w:rPr>
      <w:fldChar w:fldCharType="end"/>
    </w:r>
  </w:p>
  <w:p w:rsidR="00E81A58" w:rsidRDefault="00E81A58">
    <w:pPr>
      <w:pStyle w:val="Header"/>
      <w:spacing w:after="0"/>
      <w:rPr>
        <w:sz w:val="8"/>
      </w:rPr>
    </w:pPr>
    <w:r>
      <w:br/>
    </w:r>
  </w:p>
  <w:p w:rsidR="00E81A58" w:rsidRDefault="00E81A58">
    <w:pPr>
      <w:pStyle w:val="zyxClassification1"/>
    </w:pPr>
    <w:r>
      <w:fldChar w:fldCharType="begin"/>
    </w:r>
    <w:r>
      <w:instrText xml:space="preserve"> DOCPROPERTY "IaeaClassification"  \* MERGEFORMAT </w:instrText>
    </w:r>
    <w:r>
      <w:fldChar w:fldCharType="end"/>
    </w:r>
  </w:p>
  <w:p w:rsidR="00E81A58" w:rsidRDefault="00E81A58">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58" w:rsidRPr="00636D2A" w:rsidRDefault="00E81A58" w:rsidP="000B56C0">
    <w:pPr>
      <w:pStyle w:val="zyxClassification2"/>
      <w:rPr>
        <w:rFonts w:ascii="Times New Roman" w:hAnsi="Times New Roman" w:cs="Times New Roman"/>
      </w:rPr>
    </w:pPr>
    <w:r w:rsidRPr="00636D2A">
      <w:rPr>
        <w:rFonts w:ascii="Times New Roman" w:hAnsi="Times New Roman" w:cs="Times New Roman"/>
        <w:sz w:val="18"/>
        <w:szCs w:val="18"/>
        <w:lang w:val="en-US"/>
      </w:rPr>
      <w:t xml:space="preserve">Page </w:t>
    </w:r>
    <w:r w:rsidRPr="00636D2A">
      <w:rPr>
        <w:rFonts w:ascii="Times New Roman" w:hAnsi="Times New Roman" w:cs="Times New Roman"/>
        <w:sz w:val="18"/>
        <w:szCs w:val="18"/>
        <w:lang w:val="en-US"/>
      </w:rPr>
      <w:fldChar w:fldCharType="begin"/>
    </w:r>
    <w:r w:rsidRPr="00636D2A">
      <w:rPr>
        <w:rFonts w:ascii="Times New Roman" w:hAnsi="Times New Roman" w:cs="Times New Roman"/>
        <w:sz w:val="18"/>
        <w:szCs w:val="18"/>
        <w:lang w:val="en-US"/>
      </w:rPr>
      <w:instrText xml:space="preserve"> PAGE </w:instrText>
    </w:r>
    <w:r w:rsidRPr="00636D2A">
      <w:rPr>
        <w:rFonts w:ascii="Times New Roman" w:hAnsi="Times New Roman" w:cs="Times New Roman"/>
        <w:sz w:val="18"/>
        <w:szCs w:val="18"/>
        <w:lang w:val="en-US"/>
      </w:rPr>
      <w:fldChar w:fldCharType="separate"/>
    </w:r>
    <w:r w:rsidR="00A457FF">
      <w:rPr>
        <w:rFonts w:ascii="Times New Roman" w:hAnsi="Times New Roman" w:cs="Times New Roman"/>
        <w:noProof/>
        <w:sz w:val="18"/>
        <w:szCs w:val="18"/>
        <w:lang w:val="en-US"/>
      </w:rPr>
      <w:t>9</w:t>
    </w:r>
    <w:r w:rsidRPr="00636D2A">
      <w:rPr>
        <w:rFonts w:ascii="Times New Roman" w:hAnsi="Times New Roman" w:cs="Times New Roman"/>
        <w:sz w:val="18"/>
        <w:szCs w:val="18"/>
        <w:lang w:val="en-US"/>
      </w:rPr>
      <w:fldChar w:fldCharType="end"/>
    </w:r>
  </w:p>
  <w:p w:rsidR="00E81A58" w:rsidRDefault="00E81A58" w:rsidP="00132182"/>
  <w:p w:rsidR="00E81A58" w:rsidRDefault="00E81A58">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A58" w:rsidRPr="00221341" w:rsidRDefault="00E81A58" w:rsidP="00221341">
    <w:pPr>
      <w:jc w:val="right"/>
      <w:rPr>
        <w:b/>
        <w:sz w:val="28"/>
        <w:szCs w:val="28"/>
      </w:rPr>
    </w:pPr>
    <w:r w:rsidRPr="00221341">
      <w:rPr>
        <w:b/>
        <w:sz w:val="28"/>
        <w:szCs w:val="28"/>
      </w:rPr>
      <w:t>CN-244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78A"/>
    <w:multiLevelType w:val="hybridMultilevel"/>
    <w:tmpl w:val="3F483F40"/>
    <w:lvl w:ilvl="0" w:tplc="08090001">
      <w:start w:val="1"/>
      <w:numFmt w:val="bullet"/>
      <w:lvlText w:val=""/>
      <w:lvlJc w:val="left"/>
      <w:pPr>
        <w:ind w:left="567" w:hanging="423"/>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BC758CD"/>
    <w:multiLevelType w:val="hybridMultilevel"/>
    <w:tmpl w:val="D3FC2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583872"/>
    <w:multiLevelType w:val="hybridMultilevel"/>
    <w:tmpl w:val="5A167A8E"/>
    <w:lvl w:ilvl="0" w:tplc="0809000F">
      <w:start w:val="1"/>
      <w:numFmt w:val="decimal"/>
      <w:pStyle w:val="BodyTextSummary"/>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005080"/>
    <w:multiLevelType w:val="hybridMultilevel"/>
    <w:tmpl w:val="F9E0D372"/>
    <w:lvl w:ilvl="0" w:tplc="696E27F8">
      <w:start w:val="1"/>
      <w:numFmt w:val="bullet"/>
      <w:lvlText w:val=""/>
      <w:lvlJc w:val="left"/>
      <w:pPr>
        <w:tabs>
          <w:tab w:val="num" w:pos="720"/>
        </w:tabs>
        <w:ind w:left="720" w:hanging="360"/>
      </w:pPr>
      <w:rPr>
        <w:rFonts w:ascii="Wingdings" w:hAnsi="Wingdings" w:hint="default"/>
        <w:sz w:val="20"/>
      </w:rPr>
    </w:lvl>
    <w:lvl w:ilvl="1" w:tplc="98161D14" w:tentative="1">
      <w:start w:val="1"/>
      <w:numFmt w:val="bullet"/>
      <w:lvlText w:val=""/>
      <w:lvlJc w:val="left"/>
      <w:pPr>
        <w:tabs>
          <w:tab w:val="num" w:pos="1440"/>
        </w:tabs>
        <w:ind w:left="1440" w:hanging="360"/>
      </w:pPr>
      <w:rPr>
        <w:rFonts w:ascii="Wingdings" w:hAnsi="Wingdings" w:hint="default"/>
        <w:sz w:val="20"/>
      </w:rPr>
    </w:lvl>
    <w:lvl w:ilvl="2" w:tplc="0A9C6B90" w:tentative="1">
      <w:start w:val="1"/>
      <w:numFmt w:val="bullet"/>
      <w:lvlText w:val=""/>
      <w:lvlJc w:val="left"/>
      <w:pPr>
        <w:tabs>
          <w:tab w:val="num" w:pos="2160"/>
        </w:tabs>
        <w:ind w:left="2160" w:hanging="360"/>
      </w:pPr>
      <w:rPr>
        <w:rFonts w:ascii="Wingdings" w:hAnsi="Wingdings" w:hint="default"/>
        <w:sz w:val="20"/>
      </w:rPr>
    </w:lvl>
    <w:lvl w:ilvl="3" w:tplc="E190FCB8" w:tentative="1">
      <w:start w:val="1"/>
      <w:numFmt w:val="bullet"/>
      <w:lvlText w:val=""/>
      <w:lvlJc w:val="left"/>
      <w:pPr>
        <w:tabs>
          <w:tab w:val="num" w:pos="2880"/>
        </w:tabs>
        <w:ind w:left="2880" w:hanging="360"/>
      </w:pPr>
      <w:rPr>
        <w:rFonts w:ascii="Wingdings" w:hAnsi="Wingdings" w:hint="default"/>
        <w:sz w:val="20"/>
      </w:rPr>
    </w:lvl>
    <w:lvl w:ilvl="4" w:tplc="B48029F8" w:tentative="1">
      <w:start w:val="1"/>
      <w:numFmt w:val="bullet"/>
      <w:lvlText w:val=""/>
      <w:lvlJc w:val="left"/>
      <w:pPr>
        <w:tabs>
          <w:tab w:val="num" w:pos="3600"/>
        </w:tabs>
        <w:ind w:left="3600" w:hanging="360"/>
      </w:pPr>
      <w:rPr>
        <w:rFonts w:ascii="Wingdings" w:hAnsi="Wingdings" w:hint="default"/>
        <w:sz w:val="20"/>
      </w:rPr>
    </w:lvl>
    <w:lvl w:ilvl="5" w:tplc="5A389DC8" w:tentative="1">
      <w:start w:val="1"/>
      <w:numFmt w:val="bullet"/>
      <w:lvlText w:val=""/>
      <w:lvlJc w:val="left"/>
      <w:pPr>
        <w:tabs>
          <w:tab w:val="num" w:pos="4320"/>
        </w:tabs>
        <w:ind w:left="4320" w:hanging="360"/>
      </w:pPr>
      <w:rPr>
        <w:rFonts w:ascii="Wingdings" w:hAnsi="Wingdings" w:hint="default"/>
        <w:sz w:val="20"/>
      </w:rPr>
    </w:lvl>
    <w:lvl w:ilvl="6" w:tplc="71A8A79A" w:tentative="1">
      <w:start w:val="1"/>
      <w:numFmt w:val="bullet"/>
      <w:lvlText w:val=""/>
      <w:lvlJc w:val="left"/>
      <w:pPr>
        <w:tabs>
          <w:tab w:val="num" w:pos="5040"/>
        </w:tabs>
        <w:ind w:left="5040" w:hanging="360"/>
      </w:pPr>
      <w:rPr>
        <w:rFonts w:ascii="Wingdings" w:hAnsi="Wingdings" w:hint="default"/>
        <w:sz w:val="20"/>
      </w:rPr>
    </w:lvl>
    <w:lvl w:ilvl="7" w:tplc="5F943F0E" w:tentative="1">
      <w:start w:val="1"/>
      <w:numFmt w:val="bullet"/>
      <w:lvlText w:val=""/>
      <w:lvlJc w:val="left"/>
      <w:pPr>
        <w:tabs>
          <w:tab w:val="num" w:pos="5760"/>
        </w:tabs>
        <w:ind w:left="5760" w:hanging="360"/>
      </w:pPr>
      <w:rPr>
        <w:rFonts w:ascii="Wingdings" w:hAnsi="Wingdings" w:hint="default"/>
        <w:sz w:val="20"/>
      </w:rPr>
    </w:lvl>
    <w:lvl w:ilvl="8" w:tplc="852EB582"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6DA0DB2"/>
    <w:multiLevelType w:val="hybridMultilevel"/>
    <w:tmpl w:val="1C4AC3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3D3DE4"/>
    <w:multiLevelType w:val="hybridMultilevel"/>
    <w:tmpl w:val="05FC12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3D6ED2"/>
    <w:multiLevelType w:val="hybridMultilevel"/>
    <w:tmpl w:val="85B6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3930A9"/>
    <w:multiLevelType w:val="hybridMultilevel"/>
    <w:tmpl w:val="FF72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E37BF7"/>
    <w:multiLevelType w:val="hybridMultilevel"/>
    <w:tmpl w:val="F722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D51093"/>
    <w:multiLevelType w:val="multilevel"/>
    <w:tmpl w:val="EEEA3452"/>
    <w:lvl w:ilvl="0">
      <w:start w:val="1"/>
      <w:numFmt w:val="upperLetter"/>
      <w:lvlRestart w:val="0"/>
      <w:pStyle w:val="Heading1"/>
      <w:lvlText w:val="%1."/>
      <w:lvlJc w:val="left"/>
      <w:pPr>
        <w:tabs>
          <w:tab w:val="num" w:pos="459"/>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color w:val="auto"/>
        <w:sz w:val="24"/>
        <w:szCs w:val="24"/>
      </w:rPr>
    </w:lvl>
    <w:lvl w:ilvl="2">
      <w:start w:val="1"/>
      <w:numFmt w:val="decimal"/>
      <w:pStyle w:val="Heading3"/>
      <w:suff w:val="space"/>
      <w:lvlText w:val="%1.%2.%3."/>
      <w:lvlJc w:val="left"/>
      <w:pPr>
        <w:ind w:left="0" w:firstLine="0"/>
      </w:pPr>
      <w:rPr>
        <w:rFonts w:hint="default"/>
      </w:rPr>
    </w:lvl>
    <w:lvl w:ilvl="3">
      <w:start w:val="1"/>
      <w:numFmt w:val="none"/>
      <w:lvlText w:val=""/>
      <w:lvlJc w:val="left"/>
      <w:pPr>
        <w:tabs>
          <w:tab w:val="num" w:pos="2058"/>
        </w:tabs>
        <w:ind w:left="1701" w:firstLine="0"/>
      </w:pPr>
      <w:rPr>
        <w:rFonts w:hint="default"/>
      </w:rPr>
    </w:lvl>
    <w:lvl w:ilvl="4">
      <w:start w:val="1"/>
      <w:numFmt w:val="decimal"/>
      <w:lvlText w:val="%1.%2.%3.%4.%5"/>
      <w:lvlJc w:val="left"/>
      <w:pPr>
        <w:tabs>
          <w:tab w:val="num" w:pos="3345"/>
        </w:tabs>
        <w:ind w:left="2268" w:firstLine="0"/>
      </w:pPr>
      <w:rPr>
        <w:rFonts w:hint="default"/>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3"/>
  </w:num>
  <w:num w:numId="3">
    <w:abstractNumId w:val="13"/>
  </w:num>
  <w:num w:numId="4">
    <w:abstractNumId w:val="5"/>
  </w:num>
  <w:num w:numId="5">
    <w:abstractNumId w:val="10"/>
  </w:num>
  <w:num w:numId="6">
    <w:abstractNumId w:val="14"/>
  </w:num>
  <w:num w:numId="7">
    <w:abstractNumId w:val="1"/>
  </w:num>
  <w:num w:numId="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8"/>
  </w:num>
  <w:num w:numId="12">
    <w:abstractNumId w:val="12"/>
  </w:num>
  <w:num w:numId="13">
    <w:abstractNumId w:val="2"/>
  </w:num>
  <w:num w:numId="14">
    <w:abstractNumId w:val="0"/>
  </w:num>
  <w:num w:numId="15">
    <w:abstractNumId w:val="6"/>
  </w:num>
  <w:num w:numId="16">
    <w:abstractNumId w:val="7"/>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733D7D"/>
    <w:rsid w:val="00002F6E"/>
    <w:rsid w:val="00005275"/>
    <w:rsid w:val="000073F9"/>
    <w:rsid w:val="00027E8C"/>
    <w:rsid w:val="0003246E"/>
    <w:rsid w:val="0003668A"/>
    <w:rsid w:val="00043063"/>
    <w:rsid w:val="00047488"/>
    <w:rsid w:val="00050E38"/>
    <w:rsid w:val="00051966"/>
    <w:rsid w:val="00053B5C"/>
    <w:rsid w:val="00053D48"/>
    <w:rsid w:val="00056E27"/>
    <w:rsid w:val="00057258"/>
    <w:rsid w:val="00072B37"/>
    <w:rsid w:val="000769AD"/>
    <w:rsid w:val="0008195F"/>
    <w:rsid w:val="000819E0"/>
    <w:rsid w:val="00082306"/>
    <w:rsid w:val="00083455"/>
    <w:rsid w:val="000860AF"/>
    <w:rsid w:val="00095EE8"/>
    <w:rsid w:val="000965FE"/>
    <w:rsid w:val="000966A6"/>
    <w:rsid w:val="000A00F5"/>
    <w:rsid w:val="000A23FB"/>
    <w:rsid w:val="000A2BF9"/>
    <w:rsid w:val="000A398F"/>
    <w:rsid w:val="000A5EBD"/>
    <w:rsid w:val="000A5FE0"/>
    <w:rsid w:val="000B0EB5"/>
    <w:rsid w:val="000B2BE1"/>
    <w:rsid w:val="000B42D4"/>
    <w:rsid w:val="000B4304"/>
    <w:rsid w:val="000B56C0"/>
    <w:rsid w:val="000C035E"/>
    <w:rsid w:val="000C6EB7"/>
    <w:rsid w:val="000D2BDF"/>
    <w:rsid w:val="000E4618"/>
    <w:rsid w:val="000E5F22"/>
    <w:rsid w:val="000F3F6B"/>
    <w:rsid w:val="000F4C1F"/>
    <w:rsid w:val="001054E2"/>
    <w:rsid w:val="00105DF3"/>
    <w:rsid w:val="001064AF"/>
    <w:rsid w:val="00112EA1"/>
    <w:rsid w:val="00122933"/>
    <w:rsid w:val="001307BA"/>
    <w:rsid w:val="00132182"/>
    <w:rsid w:val="0013263F"/>
    <w:rsid w:val="00137A13"/>
    <w:rsid w:val="00146922"/>
    <w:rsid w:val="00152BD1"/>
    <w:rsid w:val="001549C1"/>
    <w:rsid w:val="00155858"/>
    <w:rsid w:val="001622F6"/>
    <w:rsid w:val="00162E4D"/>
    <w:rsid w:val="001650B0"/>
    <w:rsid w:val="001652E3"/>
    <w:rsid w:val="00172DD4"/>
    <w:rsid w:val="0017336F"/>
    <w:rsid w:val="00175088"/>
    <w:rsid w:val="001776D1"/>
    <w:rsid w:val="001806BD"/>
    <w:rsid w:val="00185811"/>
    <w:rsid w:val="00193421"/>
    <w:rsid w:val="00195AAA"/>
    <w:rsid w:val="00196A3F"/>
    <w:rsid w:val="001A33C0"/>
    <w:rsid w:val="001A51EB"/>
    <w:rsid w:val="001B0D1A"/>
    <w:rsid w:val="001B6E5A"/>
    <w:rsid w:val="001C3B0D"/>
    <w:rsid w:val="001C3D9A"/>
    <w:rsid w:val="001C588B"/>
    <w:rsid w:val="001D6D76"/>
    <w:rsid w:val="001D6DEA"/>
    <w:rsid w:val="001E6E10"/>
    <w:rsid w:val="001F386C"/>
    <w:rsid w:val="001F6BFE"/>
    <w:rsid w:val="00203954"/>
    <w:rsid w:val="00221341"/>
    <w:rsid w:val="00221B77"/>
    <w:rsid w:val="0022392C"/>
    <w:rsid w:val="002433CA"/>
    <w:rsid w:val="00245D80"/>
    <w:rsid w:val="00250AB6"/>
    <w:rsid w:val="00253BFC"/>
    <w:rsid w:val="0025453F"/>
    <w:rsid w:val="00260177"/>
    <w:rsid w:val="002614ED"/>
    <w:rsid w:val="00261CCC"/>
    <w:rsid w:val="00263DD2"/>
    <w:rsid w:val="002640E3"/>
    <w:rsid w:val="002678EE"/>
    <w:rsid w:val="002712A9"/>
    <w:rsid w:val="00277571"/>
    <w:rsid w:val="002820A3"/>
    <w:rsid w:val="00292F7A"/>
    <w:rsid w:val="00293C84"/>
    <w:rsid w:val="00294DAD"/>
    <w:rsid w:val="002A0A1F"/>
    <w:rsid w:val="002A12A6"/>
    <w:rsid w:val="002A12C2"/>
    <w:rsid w:val="002A3BE7"/>
    <w:rsid w:val="002A4E69"/>
    <w:rsid w:val="002A5BDD"/>
    <w:rsid w:val="002B03B1"/>
    <w:rsid w:val="002B1DAF"/>
    <w:rsid w:val="002B31C8"/>
    <w:rsid w:val="002B694C"/>
    <w:rsid w:val="002C0FF4"/>
    <w:rsid w:val="002C3E3C"/>
    <w:rsid w:val="002C51F2"/>
    <w:rsid w:val="002C7E3B"/>
    <w:rsid w:val="002D0C52"/>
    <w:rsid w:val="002D0FE5"/>
    <w:rsid w:val="002E1B9F"/>
    <w:rsid w:val="002E45C7"/>
    <w:rsid w:val="002F27B6"/>
    <w:rsid w:val="002F70C7"/>
    <w:rsid w:val="00305AE3"/>
    <w:rsid w:val="00314E7A"/>
    <w:rsid w:val="00315B0E"/>
    <w:rsid w:val="00316091"/>
    <w:rsid w:val="0033018A"/>
    <w:rsid w:val="00332A75"/>
    <w:rsid w:val="003335A7"/>
    <w:rsid w:val="003341CA"/>
    <w:rsid w:val="00335480"/>
    <w:rsid w:val="00340C55"/>
    <w:rsid w:val="00341C44"/>
    <w:rsid w:val="00343684"/>
    <w:rsid w:val="003475AD"/>
    <w:rsid w:val="0035799C"/>
    <w:rsid w:val="00363484"/>
    <w:rsid w:val="00366C44"/>
    <w:rsid w:val="00366FFC"/>
    <w:rsid w:val="003704BD"/>
    <w:rsid w:val="00374267"/>
    <w:rsid w:val="003876C2"/>
    <w:rsid w:val="003917FF"/>
    <w:rsid w:val="00396575"/>
    <w:rsid w:val="0039696D"/>
    <w:rsid w:val="0039786B"/>
    <w:rsid w:val="003A3674"/>
    <w:rsid w:val="003A4F34"/>
    <w:rsid w:val="003B7368"/>
    <w:rsid w:val="003C1ECE"/>
    <w:rsid w:val="003C2834"/>
    <w:rsid w:val="003D52E5"/>
    <w:rsid w:val="003D6D56"/>
    <w:rsid w:val="003E5F48"/>
    <w:rsid w:val="003F15CB"/>
    <w:rsid w:val="003F1A56"/>
    <w:rsid w:val="003F552A"/>
    <w:rsid w:val="003F6EE6"/>
    <w:rsid w:val="003F74BC"/>
    <w:rsid w:val="00405094"/>
    <w:rsid w:val="00407DFB"/>
    <w:rsid w:val="004103BD"/>
    <w:rsid w:val="00413370"/>
    <w:rsid w:val="004136B4"/>
    <w:rsid w:val="0041388D"/>
    <w:rsid w:val="00414F8E"/>
    <w:rsid w:val="00422052"/>
    <w:rsid w:val="00423668"/>
    <w:rsid w:val="00424098"/>
    <w:rsid w:val="0043752D"/>
    <w:rsid w:val="004422AF"/>
    <w:rsid w:val="00444F72"/>
    <w:rsid w:val="00451962"/>
    <w:rsid w:val="00466965"/>
    <w:rsid w:val="004674B3"/>
    <w:rsid w:val="004810E4"/>
    <w:rsid w:val="0048161E"/>
    <w:rsid w:val="0048264A"/>
    <w:rsid w:val="0049650C"/>
    <w:rsid w:val="00496659"/>
    <w:rsid w:val="004A2FB6"/>
    <w:rsid w:val="004A3BA6"/>
    <w:rsid w:val="004A5E02"/>
    <w:rsid w:val="004B10D6"/>
    <w:rsid w:val="004C4B0D"/>
    <w:rsid w:val="004C7400"/>
    <w:rsid w:val="004D0068"/>
    <w:rsid w:val="004D380E"/>
    <w:rsid w:val="004D4482"/>
    <w:rsid w:val="004D7066"/>
    <w:rsid w:val="004E4A56"/>
    <w:rsid w:val="004E4E93"/>
    <w:rsid w:val="004F0777"/>
    <w:rsid w:val="004F0CD2"/>
    <w:rsid w:val="004F1F53"/>
    <w:rsid w:val="004F40EB"/>
    <w:rsid w:val="005016F7"/>
    <w:rsid w:val="00501C22"/>
    <w:rsid w:val="00502A95"/>
    <w:rsid w:val="0050557B"/>
    <w:rsid w:val="005079BD"/>
    <w:rsid w:val="00511434"/>
    <w:rsid w:val="005137FE"/>
    <w:rsid w:val="00514ADB"/>
    <w:rsid w:val="00515853"/>
    <w:rsid w:val="0052332D"/>
    <w:rsid w:val="005330CC"/>
    <w:rsid w:val="00534472"/>
    <w:rsid w:val="00535AD6"/>
    <w:rsid w:val="00537DD2"/>
    <w:rsid w:val="00541EB8"/>
    <w:rsid w:val="005421E1"/>
    <w:rsid w:val="00545BAD"/>
    <w:rsid w:val="00545F5F"/>
    <w:rsid w:val="00546765"/>
    <w:rsid w:val="00555B21"/>
    <w:rsid w:val="00557835"/>
    <w:rsid w:val="005612CD"/>
    <w:rsid w:val="005723AD"/>
    <w:rsid w:val="00577C93"/>
    <w:rsid w:val="00585E62"/>
    <w:rsid w:val="005A7152"/>
    <w:rsid w:val="005B6CB9"/>
    <w:rsid w:val="005C0A3F"/>
    <w:rsid w:val="005C1DB3"/>
    <w:rsid w:val="005D0690"/>
    <w:rsid w:val="005D3B2A"/>
    <w:rsid w:val="005E0C09"/>
    <w:rsid w:val="005E4F9B"/>
    <w:rsid w:val="005F1038"/>
    <w:rsid w:val="005F7A87"/>
    <w:rsid w:val="006003D1"/>
    <w:rsid w:val="006035F7"/>
    <w:rsid w:val="00604A60"/>
    <w:rsid w:val="00606404"/>
    <w:rsid w:val="00610ED0"/>
    <w:rsid w:val="00611908"/>
    <w:rsid w:val="00611C65"/>
    <w:rsid w:val="00614BFC"/>
    <w:rsid w:val="006156B8"/>
    <w:rsid w:val="006156EB"/>
    <w:rsid w:val="006165FD"/>
    <w:rsid w:val="00620084"/>
    <w:rsid w:val="006201BE"/>
    <w:rsid w:val="00633B7A"/>
    <w:rsid w:val="00636D2A"/>
    <w:rsid w:val="00637558"/>
    <w:rsid w:val="0063783D"/>
    <w:rsid w:val="00640DC6"/>
    <w:rsid w:val="00645C71"/>
    <w:rsid w:val="00646129"/>
    <w:rsid w:val="006502DF"/>
    <w:rsid w:val="00654018"/>
    <w:rsid w:val="00661DDC"/>
    <w:rsid w:val="006646E9"/>
    <w:rsid w:val="00665FFC"/>
    <w:rsid w:val="00666D06"/>
    <w:rsid w:val="00672AAD"/>
    <w:rsid w:val="00673C62"/>
    <w:rsid w:val="00680F98"/>
    <w:rsid w:val="006849EE"/>
    <w:rsid w:val="00685FB0"/>
    <w:rsid w:val="00686D90"/>
    <w:rsid w:val="00687C55"/>
    <w:rsid w:val="006912D7"/>
    <w:rsid w:val="00693AD7"/>
    <w:rsid w:val="00696922"/>
    <w:rsid w:val="00696F8A"/>
    <w:rsid w:val="006A32E0"/>
    <w:rsid w:val="006B0D77"/>
    <w:rsid w:val="006B2825"/>
    <w:rsid w:val="006B2EB6"/>
    <w:rsid w:val="006B683F"/>
    <w:rsid w:val="006B7102"/>
    <w:rsid w:val="006C30FC"/>
    <w:rsid w:val="006C6C80"/>
    <w:rsid w:val="006D237E"/>
    <w:rsid w:val="006D36BE"/>
    <w:rsid w:val="006D7ED9"/>
    <w:rsid w:val="006E42FC"/>
    <w:rsid w:val="006E67D3"/>
    <w:rsid w:val="006F1D5E"/>
    <w:rsid w:val="006F4C10"/>
    <w:rsid w:val="006F64CB"/>
    <w:rsid w:val="006F7CFA"/>
    <w:rsid w:val="00700015"/>
    <w:rsid w:val="00701779"/>
    <w:rsid w:val="00702B55"/>
    <w:rsid w:val="00703A30"/>
    <w:rsid w:val="007052F9"/>
    <w:rsid w:val="00705BA2"/>
    <w:rsid w:val="007117A7"/>
    <w:rsid w:val="0071327B"/>
    <w:rsid w:val="007229F8"/>
    <w:rsid w:val="007244C2"/>
    <w:rsid w:val="0072511F"/>
    <w:rsid w:val="007268EF"/>
    <w:rsid w:val="00733D7D"/>
    <w:rsid w:val="00740CD9"/>
    <w:rsid w:val="007430D6"/>
    <w:rsid w:val="00745F06"/>
    <w:rsid w:val="007532E2"/>
    <w:rsid w:val="007534BA"/>
    <w:rsid w:val="00760963"/>
    <w:rsid w:val="00761966"/>
    <w:rsid w:val="00763EA4"/>
    <w:rsid w:val="007660CD"/>
    <w:rsid w:val="00773DC1"/>
    <w:rsid w:val="00791BD0"/>
    <w:rsid w:val="00796E57"/>
    <w:rsid w:val="0079735D"/>
    <w:rsid w:val="0079744F"/>
    <w:rsid w:val="00797BD7"/>
    <w:rsid w:val="00797EF7"/>
    <w:rsid w:val="007A0040"/>
    <w:rsid w:val="007A43FB"/>
    <w:rsid w:val="007A4FBD"/>
    <w:rsid w:val="007A6A87"/>
    <w:rsid w:val="007B2749"/>
    <w:rsid w:val="007B5709"/>
    <w:rsid w:val="007B6F48"/>
    <w:rsid w:val="007B7B3B"/>
    <w:rsid w:val="007C1A65"/>
    <w:rsid w:val="007C239F"/>
    <w:rsid w:val="007C4174"/>
    <w:rsid w:val="007C630B"/>
    <w:rsid w:val="007C7475"/>
    <w:rsid w:val="007D24AD"/>
    <w:rsid w:val="007D63E9"/>
    <w:rsid w:val="007D6DDA"/>
    <w:rsid w:val="007E2579"/>
    <w:rsid w:val="007E3C11"/>
    <w:rsid w:val="007F495C"/>
    <w:rsid w:val="007F592E"/>
    <w:rsid w:val="00801BDD"/>
    <w:rsid w:val="00805768"/>
    <w:rsid w:val="008079BC"/>
    <w:rsid w:val="00811E58"/>
    <w:rsid w:val="008122CC"/>
    <w:rsid w:val="00812E1E"/>
    <w:rsid w:val="00820524"/>
    <w:rsid w:val="00821CF9"/>
    <w:rsid w:val="00823309"/>
    <w:rsid w:val="008250CE"/>
    <w:rsid w:val="008255D0"/>
    <w:rsid w:val="008259A8"/>
    <w:rsid w:val="00827648"/>
    <w:rsid w:val="00830F75"/>
    <w:rsid w:val="00833651"/>
    <w:rsid w:val="00833ED6"/>
    <w:rsid w:val="00840F97"/>
    <w:rsid w:val="008423B9"/>
    <w:rsid w:val="00842E1F"/>
    <w:rsid w:val="00844B5C"/>
    <w:rsid w:val="0084622E"/>
    <w:rsid w:val="008660CA"/>
    <w:rsid w:val="00866A62"/>
    <w:rsid w:val="00870318"/>
    <w:rsid w:val="008742E7"/>
    <w:rsid w:val="008768AB"/>
    <w:rsid w:val="00876CBE"/>
    <w:rsid w:val="00877F18"/>
    <w:rsid w:val="00884875"/>
    <w:rsid w:val="008876ED"/>
    <w:rsid w:val="00887F82"/>
    <w:rsid w:val="00892DA1"/>
    <w:rsid w:val="00895BF2"/>
    <w:rsid w:val="00896558"/>
    <w:rsid w:val="008A2C8B"/>
    <w:rsid w:val="008A6F6B"/>
    <w:rsid w:val="008B28E7"/>
    <w:rsid w:val="008B4FC5"/>
    <w:rsid w:val="008B70D1"/>
    <w:rsid w:val="008B7481"/>
    <w:rsid w:val="008B7EE7"/>
    <w:rsid w:val="008C02A1"/>
    <w:rsid w:val="008C7C4C"/>
    <w:rsid w:val="008D1D23"/>
    <w:rsid w:val="008D2CDF"/>
    <w:rsid w:val="008D354F"/>
    <w:rsid w:val="008D505E"/>
    <w:rsid w:val="008D65CE"/>
    <w:rsid w:val="008E17AF"/>
    <w:rsid w:val="008E3E90"/>
    <w:rsid w:val="008E5EBB"/>
    <w:rsid w:val="008E6CA5"/>
    <w:rsid w:val="008F1E2E"/>
    <w:rsid w:val="00905B07"/>
    <w:rsid w:val="00905F07"/>
    <w:rsid w:val="00907D3D"/>
    <w:rsid w:val="009151AD"/>
    <w:rsid w:val="009154D7"/>
    <w:rsid w:val="00917F5D"/>
    <w:rsid w:val="0092049C"/>
    <w:rsid w:val="009215A9"/>
    <w:rsid w:val="00922BC6"/>
    <w:rsid w:val="009257F1"/>
    <w:rsid w:val="009302ED"/>
    <w:rsid w:val="00930977"/>
    <w:rsid w:val="009428B4"/>
    <w:rsid w:val="0094663D"/>
    <w:rsid w:val="009610CE"/>
    <w:rsid w:val="00964136"/>
    <w:rsid w:val="00964D37"/>
    <w:rsid w:val="009660EA"/>
    <w:rsid w:val="00981A2A"/>
    <w:rsid w:val="00987B40"/>
    <w:rsid w:val="0099189C"/>
    <w:rsid w:val="009919D6"/>
    <w:rsid w:val="00997069"/>
    <w:rsid w:val="009970B8"/>
    <w:rsid w:val="00997620"/>
    <w:rsid w:val="009A2480"/>
    <w:rsid w:val="009A3826"/>
    <w:rsid w:val="009B0BC5"/>
    <w:rsid w:val="009B3DA9"/>
    <w:rsid w:val="009B4A6B"/>
    <w:rsid w:val="009B4FE3"/>
    <w:rsid w:val="009C012E"/>
    <w:rsid w:val="009C1C0B"/>
    <w:rsid w:val="009C4191"/>
    <w:rsid w:val="009C5F4F"/>
    <w:rsid w:val="009C76BF"/>
    <w:rsid w:val="009D097C"/>
    <w:rsid w:val="009D25FA"/>
    <w:rsid w:val="009D3655"/>
    <w:rsid w:val="009E39FB"/>
    <w:rsid w:val="009E3C6D"/>
    <w:rsid w:val="009E4CF7"/>
    <w:rsid w:val="009E56BB"/>
    <w:rsid w:val="009E7AD0"/>
    <w:rsid w:val="009F03C2"/>
    <w:rsid w:val="009F09A3"/>
    <w:rsid w:val="009F28C1"/>
    <w:rsid w:val="009F44B5"/>
    <w:rsid w:val="00A006B9"/>
    <w:rsid w:val="00A028F0"/>
    <w:rsid w:val="00A067F7"/>
    <w:rsid w:val="00A17E9A"/>
    <w:rsid w:val="00A21C2A"/>
    <w:rsid w:val="00A27722"/>
    <w:rsid w:val="00A303CE"/>
    <w:rsid w:val="00A326CB"/>
    <w:rsid w:val="00A32FD0"/>
    <w:rsid w:val="00A33BA4"/>
    <w:rsid w:val="00A37F42"/>
    <w:rsid w:val="00A41198"/>
    <w:rsid w:val="00A41979"/>
    <w:rsid w:val="00A4543B"/>
    <w:rsid w:val="00A457FF"/>
    <w:rsid w:val="00A54B64"/>
    <w:rsid w:val="00A63C62"/>
    <w:rsid w:val="00A64393"/>
    <w:rsid w:val="00A64B0D"/>
    <w:rsid w:val="00A74216"/>
    <w:rsid w:val="00A76444"/>
    <w:rsid w:val="00A76996"/>
    <w:rsid w:val="00A85CBF"/>
    <w:rsid w:val="00A8775D"/>
    <w:rsid w:val="00A90629"/>
    <w:rsid w:val="00A9163B"/>
    <w:rsid w:val="00AA1002"/>
    <w:rsid w:val="00AB312A"/>
    <w:rsid w:val="00AB5110"/>
    <w:rsid w:val="00AB59DF"/>
    <w:rsid w:val="00AB5C97"/>
    <w:rsid w:val="00AC5642"/>
    <w:rsid w:val="00AC5D34"/>
    <w:rsid w:val="00AD0A16"/>
    <w:rsid w:val="00AD20E1"/>
    <w:rsid w:val="00AD393F"/>
    <w:rsid w:val="00AD4756"/>
    <w:rsid w:val="00AD6D5A"/>
    <w:rsid w:val="00AE19F2"/>
    <w:rsid w:val="00AE19FA"/>
    <w:rsid w:val="00AE1CCA"/>
    <w:rsid w:val="00AE293E"/>
    <w:rsid w:val="00AE2E9B"/>
    <w:rsid w:val="00AE40CC"/>
    <w:rsid w:val="00AF50D5"/>
    <w:rsid w:val="00AF6488"/>
    <w:rsid w:val="00B03DCD"/>
    <w:rsid w:val="00B04B82"/>
    <w:rsid w:val="00B12848"/>
    <w:rsid w:val="00B134FE"/>
    <w:rsid w:val="00B13B12"/>
    <w:rsid w:val="00B22274"/>
    <w:rsid w:val="00B2584C"/>
    <w:rsid w:val="00B34421"/>
    <w:rsid w:val="00B41377"/>
    <w:rsid w:val="00B42669"/>
    <w:rsid w:val="00B4451B"/>
    <w:rsid w:val="00B45CA7"/>
    <w:rsid w:val="00B460CA"/>
    <w:rsid w:val="00B51D59"/>
    <w:rsid w:val="00B56DFB"/>
    <w:rsid w:val="00B641B3"/>
    <w:rsid w:val="00B7216D"/>
    <w:rsid w:val="00B7250D"/>
    <w:rsid w:val="00B77B8E"/>
    <w:rsid w:val="00B83414"/>
    <w:rsid w:val="00B85D98"/>
    <w:rsid w:val="00B8753C"/>
    <w:rsid w:val="00B90A46"/>
    <w:rsid w:val="00BA33B2"/>
    <w:rsid w:val="00BB214B"/>
    <w:rsid w:val="00BB32AB"/>
    <w:rsid w:val="00BB7A1C"/>
    <w:rsid w:val="00BB7A68"/>
    <w:rsid w:val="00BC6C59"/>
    <w:rsid w:val="00BD0C48"/>
    <w:rsid w:val="00BD36C2"/>
    <w:rsid w:val="00BE6A99"/>
    <w:rsid w:val="00BF35E2"/>
    <w:rsid w:val="00BF3A7B"/>
    <w:rsid w:val="00BF3C65"/>
    <w:rsid w:val="00BF6BA1"/>
    <w:rsid w:val="00BF6D76"/>
    <w:rsid w:val="00C0679B"/>
    <w:rsid w:val="00C06DD4"/>
    <w:rsid w:val="00C101BE"/>
    <w:rsid w:val="00C106CB"/>
    <w:rsid w:val="00C13A6F"/>
    <w:rsid w:val="00C23C87"/>
    <w:rsid w:val="00C31154"/>
    <w:rsid w:val="00C33614"/>
    <w:rsid w:val="00C34A22"/>
    <w:rsid w:val="00C35070"/>
    <w:rsid w:val="00C35758"/>
    <w:rsid w:val="00C36BBE"/>
    <w:rsid w:val="00C46175"/>
    <w:rsid w:val="00C47062"/>
    <w:rsid w:val="00C506D5"/>
    <w:rsid w:val="00C54773"/>
    <w:rsid w:val="00C55B8D"/>
    <w:rsid w:val="00C55C95"/>
    <w:rsid w:val="00C56F59"/>
    <w:rsid w:val="00C6195D"/>
    <w:rsid w:val="00C67117"/>
    <w:rsid w:val="00C74E2C"/>
    <w:rsid w:val="00C77294"/>
    <w:rsid w:val="00C82B42"/>
    <w:rsid w:val="00C8426B"/>
    <w:rsid w:val="00C8557B"/>
    <w:rsid w:val="00C86898"/>
    <w:rsid w:val="00C873D3"/>
    <w:rsid w:val="00C91D08"/>
    <w:rsid w:val="00C95F12"/>
    <w:rsid w:val="00C95F5B"/>
    <w:rsid w:val="00C97B33"/>
    <w:rsid w:val="00CA0717"/>
    <w:rsid w:val="00CA376C"/>
    <w:rsid w:val="00CA54E6"/>
    <w:rsid w:val="00CA7B3E"/>
    <w:rsid w:val="00CA7E36"/>
    <w:rsid w:val="00CB4CC8"/>
    <w:rsid w:val="00CB58CB"/>
    <w:rsid w:val="00CB6CB6"/>
    <w:rsid w:val="00CC360A"/>
    <w:rsid w:val="00CC3B6F"/>
    <w:rsid w:val="00CC5AD0"/>
    <w:rsid w:val="00CC5B05"/>
    <w:rsid w:val="00CD217F"/>
    <w:rsid w:val="00CD5CD3"/>
    <w:rsid w:val="00CD5D31"/>
    <w:rsid w:val="00CE03E2"/>
    <w:rsid w:val="00CE13E0"/>
    <w:rsid w:val="00CE1415"/>
    <w:rsid w:val="00CE601E"/>
    <w:rsid w:val="00CF0570"/>
    <w:rsid w:val="00CF517D"/>
    <w:rsid w:val="00D05B32"/>
    <w:rsid w:val="00D10172"/>
    <w:rsid w:val="00D10DE9"/>
    <w:rsid w:val="00D16BC6"/>
    <w:rsid w:val="00D217DA"/>
    <w:rsid w:val="00D219E7"/>
    <w:rsid w:val="00D22394"/>
    <w:rsid w:val="00D24821"/>
    <w:rsid w:val="00D33165"/>
    <w:rsid w:val="00D34E35"/>
    <w:rsid w:val="00D35231"/>
    <w:rsid w:val="00D36818"/>
    <w:rsid w:val="00D40374"/>
    <w:rsid w:val="00D418E9"/>
    <w:rsid w:val="00D434CF"/>
    <w:rsid w:val="00D44112"/>
    <w:rsid w:val="00D501EC"/>
    <w:rsid w:val="00D51C8D"/>
    <w:rsid w:val="00D5336E"/>
    <w:rsid w:val="00D55F56"/>
    <w:rsid w:val="00D57870"/>
    <w:rsid w:val="00D65421"/>
    <w:rsid w:val="00D67489"/>
    <w:rsid w:val="00D73661"/>
    <w:rsid w:val="00D75B87"/>
    <w:rsid w:val="00D84983"/>
    <w:rsid w:val="00D85865"/>
    <w:rsid w:val="00D873E0"/>
    <w:rsid w:val="00D8759B"/>
    <w:rsid w:val="00DA1E98"/>
    <w:rsid w:val="00DA465F"/>
    <w:rsid w:val="00DA738C"/>
    <w:rsid w:val="00DB0BEF"/>
    <w:rsid w:val="00DB45B3"/>
    <w:rsid w:val="00DB4EFB"/>
    <w:rsid w:val="00DB4FC4"/>
    <w:rsid w:val="00DB5BEC"/>
    <w:rsid w:val="00DC40A6"/>
    <w:rsid w:val="00DD40B7"/>
    <w:rsid w:val="00DE4588"/>
    <w:rsid w:val="00DF5389"/>
    <w:rsid w:val="00E00345"/>
    <w:rsid w:val="00E00945"/>
    <w:rsid w:val="00E01643"/>
    <w:rsid w:val="00E01D3E"/>
    <w:rsid w:val="00E02D1C"/>
    <w:rsid w:val="00E0470D"/>
    <w:rsid w:val="00E065ED"/>
    <w:rsid w:val="00E10139"/>
    <w:rsid w:val="00E114E5"/>
    <w:rsid w:val="00E17783"/>
    <w:rsid w:val="00E234BB"/>
    <w:rsid w:val="00E30DC0"/>
    <w:rsid w:val="00E333CD"/>
    <w:rsid w:val="00E35E54"/>
    <w:rsid w:val="00E448E2"/>
    <w:rsid w:val="00E44B7B"/>
    <w:rsid w:val="00E453F1"/>
    <w:rsid w:val="00E46E3D"/>
    <w:rsid w:val="00E5056A"/>
    <w:rsid w:val="00E524D7"/>
    <w:rsid w:val="00E54402"/>
    <w:rsid w:val="00E55D2A"/>
    <w:rsid w:val="00E6187B"/>
    <w:rsid w:val="00E6252F"/>
    <w:rsid w:val="00E6286B"/>
    <w:rsid w:val="00E7559B"/>
    <w:rsid w:val="00E75F65"/>
    <w:rsid w:val="00E80C26"/>
    <w:rsid w:val="00E81A58"/>
    <w:rsid w:val="00E8235B"/>
    <w:rsid w:val="00E86ED6"/>
    <w:rsid w:val="00E90701"/>
    <w:rsid w:val="00E95E1B"/>
    <w:rsid w:val="00EA05A6"/>
    <w:rsid w:val="00EA0E84"/>
    <w:rsid w:val="00EA252F"/>
    <w:rsid w:val="00EA5CE2"/>
    <w:rsid w:val="00EA6ADB"/>
    <w:rsid w:val="00EB146C"/>
    <w:rsid w:val="00EB369A"/>
    <w:rsid w:val="00EB61F5"/>
    <w:rsid w:val="00EB7E02"/>
    <w:rsid w:val="00EC25D8"/>
    <w:rsid w:val="00EC3632"/>
    <w:rsid w:val="00ED1508"/>
    <w:rsid w:val="00ED159B"/>
    <w:rsid w:val="00ED2CAD"/>
    <w:rsid w:val="00EE1293"/>
    <w:rsid w:val="00EE26E6"/>
    <w:rsid w:val="00EF2D39"/>
    <w:rsid w:val="00EF36E0"/>
    <w:rsid w:val="00EF75E3"/>
    <w:rsid w:val="00EF7A53"/>
    <w:rsid w:val="00F02B48"/>
    <w:rsid w:val="00F02DF7"/>
    <w:rsid w:val="00F04539"/>
    <w:rsid w:val="00F04F9D"/>
    <w:rsid w:val="00F10976"/>
    <w:rsid w:val="00F17147"/>
    <w:rsid w:val="00F17E48"/>
    <w:rsid w:val="00F265CB"/>
    <w:rsid w:val="00F26F69"/>
    <w:rsid w:val="00F34A29"/>
    <w:rsid w:val="00F361D8"/>
    <w:rsid w:val="00F40667"/>
    <w:rsid w:val="00F449CA"/>
    <w:rsid w:val="00F44EA9"/>
    <w:rsid w:val="00F51FB9"/>
    <w:rsid w:val="00F5225D"/>
    <w:rsid w:val="00F6287F"/>
    <w:rsid w:val="00F6369F"/>
    <w:rsid w:val="00F63A21"/>
    <w:rsid w:val="00F64917"/>
    <w:rsid w:val="00F66DDE"/>
    <w:rsid w:val="00F6776A"/>
    <w:rsid w:val="00F71B55"/>
    <w:rsid w:val="00F72BA4"/>
    <w:rsid w:val="00F82C2F"/>
    <w:rsid w:val="00F834DC"/>
    <w:rsid w:val="00F83AD0"/>
    <w:rsid w:val="00F859AD"/>
    <w:rsid w:val="00F90417"/>
    <w:rsid w:val="00F90D37"/>
    <w:rsid w:val="00FA1D24"/>
    <w:rsid w:val="00FA4191"/>
    <w:rsid w:val="00FA50BC"/>
    <w:rsid w:val="00FA7DD6"/>
    <w:rsid w:val="00FB4319"/>
    <w:rsid w:val="00FB4351"/>
    <w:rsid w:val="00FB7C24"/>
    <w:rsid w:val="00FC031F"/>
    <w:rsid w:val="00FC1616"/>
    <w:rsid w:val="00FC319E"/>
    <w:rsid w:val="00FC4CE7"/>
    <w:rsid w:val="00FC7660"/>
    <w:rsid w:val="00FD20E6"/>
    <w:rsid w:val="00FD248A"/>
    <w:rsid w:val="00FD5332"/>
    <w:rsid w:val="00FD5C3D"/>
    <w:rsid w:val="00FE4503"/>
    <w:rsid w:val="00FE7203"/>
    <w:rsid w:val="00FF3E9C"/>
    <w:rsid w:val="00FF4395"/>
    <w:rsid w:val="00FF7D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F02DF7"/>
    <w:pPr>
      <w:keepNext/>
      <w:keepLines/>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3"/>
      </w:numPr>
      <w:spacing w:after="200" w:line="320" w:lineRule="exact"/>
      <w:outlineLvl w:val="1"/>
    </w:pPr>
    <w:rPr>
      <w:b/>
      <w:sz w:val="28"/>
      <w:lang w:eastAsia="en-US"/>
    </w:rPr>
  </w:style>
  <w:style w:type="paragraph" w:styleId="Heading3">
    <w:name w:val="heading 3"/>
    <w:next w:val="BodyTextMultiline"/>
    <w:qFormat/>
    <w:pPr>
      <w:widowControl w:val="0"/>
      <w:numPr>
        <w:ilvl w:val="2"/>
        <w:numId w:val="3"/>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link w:val="BodyTextSummaryChar"/>
    <w:pPr>
      <w:numPr>
        <w:numId w:val="2"/>
      </w:numPr>
      <w:spacing w:after="170" w:line="280" w:lineRule="atLeast"/>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uiPriority w:val="99"/>
    <w:pPr>
      <w:spacing w:after="85"/>
    </w:pPr>
    <w:rPr>
      <w:sz w:val="18"/>
      <w:lang w:val="en-US" w:eastAsia="en-US"/>
    </w:rPr>
  </w:style>
  <w:style w:type="paragraph" w:customStyle="1" w:styleId="ListBulleted">
    <w:name w:val="List Bulleted"/>
    <w:pPr>
      <w:numPr>
        <w:numId w:val="4"/>
      </w:numPr>
      <w:tabs>
        <w:tab w:val="clear" w:pos="1179"/>
        <w:tab w:val="left" w:pos="919"/>
      </w:tabs>
      <w:ind w:left="918" w:right="1134" w:hanging="459"/>
      <w:jc w:val="both"/>
    </w:pPr>
    <w:rPr>
      <w:sz w:val="22"/>
      <w:lang w:eastAsia="en-US"/>
    </w:rPr>
  </w:style>
  <w:style w:type="paragraph" w:customStyle="1" w:styleId="ListEmdash">
    <w:name w:val="List Emdash"/>
    <w:pPr>
      <w:numPr>
        <w:numId w:val="5"/>
      </w:numPr>
      <w:ind w:right="1134"/>
      <w:jc w:val="both"/>
    </w:pPr>
    <w:rPr>
      <w:sz w:val="22"/>
      <w:lang w:eastAsia="en-US"/>
    </w:rPr>
  </w:style>
  <w:style w:type="paragraph" w:customStyle="1" w:styleId="ListNumbered">
    <w:name w:val="List Numbered"/>
    <w:pPr>
      <w:numPr>
        <w:numId w:val="6"/>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7"/>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rsid w:val="00733D7D"/>
    <w:rPr>
      <w:sz w:val="22"/>
      <w:szCs w:val="22"/>
      <w:lang w:eastAsia="en-US"/>
    </w:rPr>
  </w:style>
  <w:style w:type="character" w:customStyle="1" w:styleId="Heading1Char">
    <w:name w:val="Heading 1 Char"/>
    <w:link w:val="Heading1"/>
    <w:rsid w:val="00F02DF7"/>
    <w:rPr>
      <w:b/>
      <w:sz w:val="32"/>
      <w:lang w:eastAsia="en-US"/>
    </w:rPr>
  </w:style>
  <w:style w:type="character" w:styleId="Hyperlink">
    <w:name w:val="Hyperlink"/>
    <w:rsid w:val="00F82C2F"/>
    <w:rPr>
      <w:color w:val="0000FF"/>
      <w:u w:val="single"/>
    </w:rPr>
  </w:style>
  <w:style w:type="character" w:styleId="FollowedHyperlink">
    <w:name w:val="FollowedHyperlink"/>
    <w:rsid w:val="00842E1F"/>
    <w:rPr>
      <w:color w:val="800080"/>
      <w:u w:val="single"/>
    </w:rPr>
  </w:style>
  <w:style w:type="character" w:styleId="Strong">
    <w:name w:val="Strong"/>
    <w:uiPriority w:val="22"/>
    <w:qFormat/>
    <w:rsid w:val="00053D48"/>
    <w:rPr>
      <w:b/>
      <w:bCs/>
    </w:rPr>
  </w:style>
  <w:style w:type="paragraph" w:styleId="BalloonText">
    <w:name w:val="Balloon Text"/>
    <w:basedOn w:val="Normal"/>
    <w:link w:val="BalloonTextChar"/>
    <w:rsid w:val="002E45C7"/>
    <w:rPr>
      <w:rFonts w:ascii="Tahoma" w:hAnsi="Tahoma" w:cs="Tahoma"/>
      <w:sz w:val="16"/>
      <w:szCs w:val="16"/>
    </w:rPr>
  </w:style>
  <w:style w:type="character" w:customStyle="1" w:styleId="BalloonTextChar">
    <w:name w:val="Balloon Text Char"/>
    <w:link w:val="BalloonText"/>
    <w:rsid w:val="002E45C7"/>
    <w:rPr>
      <w:rFonts w:ascii="Tahoma" w:hAnsi="Tahoma" w:cs="Tahoma"/>
      <w:sz w:val="16"/>
      <w:szCs w:val="16"/>
      <w:lang w:eastAsia="en-US"/>
    </w:rPr>
  </w:style>
  <w:style w:type="paragraph" w:styleId="Revision">
    <w:name w:val="Revision"/>
    <w:hidden/>
    <w:uiPriority w:val="99"/>
    <w:semiHidden/>
    <w:rsid w:val="00C36BBE"/>
    <w:rPr>
      <w:sz w:val="22"/>
      <w:lang w:eastAsia="en-US"/>
    </w:rPr>
  </w:style>
  <w:style w:type="character" w:styleId="CommentReference">
    <w:name w:val="annotation reference"/>
    <w:rsid w:val="00C36BBE"/>
    <w:rPr>
      <w:sz w:val="16"/>
      <w:szCs w:val="16"/>
    </w:rPr>
  </w:style>
  <w:style w:type="paragraph" w:styleId="CommentText">
    <w:name w:val="annotation text"/>
    <w:basedOn w:val="Normal"/>
    <w:link w:val="CommentTextChar"/>
    <w:rsid w:val="00C36BBE"/>
    <w:rPr>
      <w:sz w:val="20"/>
    </w:rPr>
  </w:style>
  <w:style w:type="character" w:customStyle="1" w:styleId="CommentTextChar">
    <w:name w:val="Comment Text Char"/>
    <w:link w:val="CommentText"/>
    <w:rsid w:val="00C36BBE"/>
    <w:rPr>
      <w:lang w:eastAsia="en-US"/>
    </w:rPr>
  </w:style>
  <w:style w:type="paragraph" w:styleId="CommentSubject">
    <w:name w:val="annotation subject"/>
    <w:basedOn w:val="CommentText"/>
    <w:next w:val="CommentText"/>
    <w:link w:val="CommentSubjectChar"/>
    <w:rsid w:val="00C36BBE"/>
    <w:rPr>
      <w:b/>
      <w:bCs/>
    </w:rPr>
  </w:style>
  <w:style w:type="character" w:customStyle="1" w:styleId="CommentSubjectChar">
    <w:name w:val="Comment Subject Char"/>
    <w:link w:val="CommentSubject"/>
    <w:rsid w:val="00C36BBE"/>
    <w:rPr>
      <w:b/>
      <w:bCs/>
      <w:lang w:eastAsia="en-US"/>
    </w:rPr>
  </w:style>
  <w:style w:type="character" w:customStyle="1" w:styleId="HeaderChar">
    <w:name w:val="Header Char"/>
    <w:basedOn w:val="DefaultParagraphFont"/>
    <w:link w:val="Header"/>
    <w:uiPriority w:val="99"/>
    <w:rsid w:val="0079744F"/>
    <w:rPr>
      <w:sz w:val="18"/>
      <w:lang w:val="en-US" w:eastAsia="en-US"/>
    </w:rPr>
  </w:style>
  <w:style w:type="character" w:customStyle="1" w:styleId="BodyTextChar">
    <w:name w:val="Body Text Char"/>
    <w:basedOn w:val="DefaultParagraphFont"/>
    <w:link w:val="BodyText"/>
    <w:rsid w:val="002B1DAF"/>
    <w:rPr>
      <w:sz w:val="22"/>
      <w:lang w:eastAsia="en-US"/>
    </w:rPr>
  </w:style>
  <w:style w:type="paragraph" w:styleId="ListParagraph">
    <w:name w:val="List Paragraph"/>
    <w:basedOn w:val="Normal"/>
    <w:uiPriority w:val="34"/>
    <w:qFormat/>
    <w:rsid w:val="00E7559B"/>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lang w:val="en-US"/>
    </w:rPr>
  </w:style>
  <w:style w:type="paragraph" w:styleId="NormalWeb">
    <w:name w:val="Normal (Web)"/>
    <w:basedOn w:val="Normal"/>
    <w:uiPriority w:val="99"/>
    <w:semiHidden/>
    <w:unhideWhenUsed/>
    <w:rsid w:val="00172DD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customStyle="1" w:styleId="Default">
    <w:name w:val="Default"/>
    <w:rsid w:val="00811E58"/>
    <w:pPr>
      <w:autoSpaceDE w:val="0"/>
      <w:autoSpaceDN w:val="0"/>
      <w:adjustRightInd w:val="0"/>
    </w:pPr>
    <w:rPr>
      <w:rFonts w:eastAsiaTheme="minorHAnsi"/>
      <w:color w:val="000000"/>
      <w:sz w:val="24"/>
      <w:szCs w:val="24"/>
      <w:lang w:eastAsia="en-US"/>
    </w:rPr>
  </w:style>
  <w:style w:type="table" w:styleId="TableGrid">
    <w:name w:val="Table Grid"/>
    <w:basedOn w:val="TableNormal"/>
    <w:rsid w:val="004E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F02DF7"/>
    <w:pPr>
      <w:keepNext/>
      <w:keepLines/>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3"/>
      </w:numPr>
      <w:spacing w:after="200" w:line="320" w:lineRule="exact"/>
      <w:outlineLvl w:val="1"/>
    </w:pPr>
    <w:rPr>
      <w:b/>
      <w:sz w:val="28"/>
      <w:lang w:eastAsia="en-US"/>
    </w:rPr>
  </w:style>
  <w:style w:type="paragraph" w:styleId="Heading3">
    <w:name w:val="heading 3"/>
    <w:next w:val="BodyTextMultiline"/>
    <w:qFormat/>
    <w:pPr>
      <w:widowControl w:val="0"/>
      <w:numPr>
        <w:ilvl w:val="2"/>
        <w:numId w:val="3"/>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link w:val="BodyTextSummaryChar"/>
    <w:pPr>
      <w:numPr>
        <w:numId w:val="2"/>
      </w:numPr>
      <w:spacing w:after="170" w:line="280" w:lineRule="atLeast"/>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uiPriority w:val="99"/>
    <w:pPr>
      <w:spacing w:after="85"/>
    </w:pPr>
    <w:rPr>
      <w:sz w:val="18"/>
      <w:lang w:val="en-US" w:eastAsia="en-US"/>
    </w:rPr>
  </w:style>
  <w:style w:type="paragraph" w:customStyle="1" w:styleId="ListBulleted">
    <w:name w:val="List Bulleted"/>
    <w:pPr>
      <w:numPr>
        <w:numId w:val="4"/>
      </w:numPr>
      <w:tabs>
        <w:tab w:val="clear" w:pos="1179"/>
        <w:tab w:val="left" w:pos="919"/>
      </w:tabs>
      <w:ind w:left="918" w:right="1134" w:hanging="459"/>
      <w:jc w:val="both"/>
    </w:pPr>
    <w:rPr>
      <w:sz w:val="22"/>
      <w:lang w:eastAsia="en-US"/>
    </w:rPr>
  </w:style>
  <w:style w:type="paragraph" w:customStyle="1" w:styleId="ListEmdash">
    <w:name w:val="List Emdash"/>
    <w:pPr>
      <w:numPr>
        <w:numId w:val="5"/>
      </w:numPr>
      <w:ind w:right="1134"/>
      <w:jc w:val="both"/>
    </w:pPr>
    <w:rPr>
      <w:sz w:val="22"/>
      <w:lang w:eastAsia="en-US"/>
    </w:rPr>
  </w:style>
  <w:style w:type="paragraph" w:customStyle="1" w:styleId="ListNumbered">
    <w:name w:val="List Numbered"/>
    <w:pPr>
      <w:numPr>
        <w:numId w:val="6"/>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7"/>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rsid w:val="00733D7D"/>
    <w:rPr>
      <w:sz w:val="22"/>
      <w:szCs w:val="22"/>
      <w:lang w:eastAsia="en-US"/>
    </w:rPr>
  </w:style>
  <w:style w:type="character" w:customStyle="1" w:styleId="Heading1Char">
    <w:name w:val="Heading 1 Char"/>
    <w:link w:val="Heading1"/>
    <w:rsid w:val="00F02DF7"/>
    <w:rPr>
      <w:b/>
      <w:sz w:val="32"/>
      <w:lang w:eastAsia="en-US"/>
    </w:rPr>
  </w:style>
  <w:style w:type="character" w:styleId="Hyperlink">
    <w:name w:val="Hyperlink"/>
    <w:rsid w:val="00F82C2F"/>
    <w:rPr>
      <w:color w:val="0000FF"/>
      <w:u w:val="single"/>
    </w:rPr>
  </w:style>
  <w:style w:type="character" w:styleId="FollowedHyperlink">
    <w:name w:val="FollowedHyperlink"/>
    <w:rsid w:val="00842E1F"/>
    <w:rPr>
      <w:color w:val="800080"/>
      <w:u w:val="single"/>
    </w:rPr>
  </w:style>
  <w:style w:type="character" w:styleId="Strong">
    <w:name w:val="Strong"/>
    <w:uiPriority w:val="22"/>
    <w:qFormat/>
    <w:rsid w:val="00053D48"/>
    <w:rPr>
      <w:b/>
      <w:bCs/>
    </w:rPr>
  </w:style>
  <w:style w:type="paragraph" w:styleId="BalloonText">
    <w:name w:val="Balloon Text"/>
    <w:basedOn w:val="Normal"/>
    <w:link w:val="BalloonTextChar"/>
    <w:rsid w:val="002E45C7"/>
    <w:rPr>
      <w:rFonts w:ascii="Tahoma" w:hAnsi="Tahoma" w:cs="Tahoma"/>
      <w:sz w:val="16"/>
      <w:szCs w:val="16"/>
    </w:rPr>
  </w:style>
  <w:style w:type="character" w:customStyle="1" w:styleId="BalloonTextChar">
    <w:name w:val="Balloon Text Char"/>
    <w:link w:val="BalloonText"/>
    <w:rsid w:val="002E45C7"/>
    <w:rPr>
      <w:rFonts w:ascii="Tahoma" w:hAnsi="Tahoma" w:cs="Tahoma"/>
      <w:sz w:val="16"/>
      <w:szCs w:val="16"/>
      <w:lang w:eastAsia="en-US"/>
    </w:rPr>
  </w:style>
  <w:style w:type="paragraph" w:styleId="Revision">
    <w:name w:val="Revision"/>
    <w:hidden/>
    <w:uiPriority w:val="99"/>
    <w:semiHidden/>
    <w:rsid w:val="00C36BBE"/>
    <w:rPr>
      <w:sz w:val="22"/>
      <w:lang w:eastAsia="en-US"/>
    </w:rPr>
  </w:style>
  <w:style w:type="character" w:styleId="CommentReference">
    <w:name w:val="annotation reference"/>
    <w:rsid w:val="00C36BBE"/>
    <w:rPr>
      <w:sz w:val="16"/>
      <w:szCs w:val="16"/>
    </w:rPr>
  </w:style>
  <w:style w:type="paragraph" w:styleId="CommentText">
    <w:name w:val="annotation text"/>
    <w:basedOn w:val="Normal"/>
    <w:link w:val="CommentTextChar"/>
    <w:rsid w:val="00C36BBE"/>
    <w:rPr>
      <w:sz w:val="20"/>
    </w:rPr>
  </w:style>
  <w:style w:type="character" w:customStyle="1" w:styleId="CommentTextChar">
    <w:name w:val="Comment Text Char"/>
    <w:link w:val="CommentText"/>
    <w:rsid w:val="00C36BBE"/>
    <w:rPr>
      <w:lang w:eastAsia="en-US"/>
    </w:rPr>
  </w:style>
  <w:style w:type="paragraph" w:styleId="CommentSubject">
    <w:name w:val="annotation subject"/>
    <w:basedOn w:val="CommentText"/>
    <w:next w:val="CommentText"/>
    <w:link w:val="CommentSubjectChar"/>
    <w:rsid w:val="00C36BBE"/>
    <w:rPr>
      <w:b/>
      <w:bCs/>
    </w:rPr>
  </w:style>
  <w:style w:type="character" w:customStyle="1" w:styleId="CommentSubjectChar">
    <w:name w:val="Comment Subject Char"/>
    <w:link w:val="CommentSubject"/>
    <w:rsid w:val="00C36BBE"/>
    <w:rPr>
      <w:b/>
      <w:bCs/>
      <w:lang w:eastAsia="en-US"/>
    </w:rPr>
  </w:style>
  <w:style w:type="character" w:customStyle="1" w:styleId="HeaderChar">
    <w:name w:val="Header Char"/>
    <w:basedOn w:val="DefaultParagraphFont"/>
    <w:link w:val="Header"/>
    <w:uiPriority w:val="99"/>
    <w:rsid w:val="0079744F"/>
    <w:rPr>
      <w:sz w:val="18"/>
      <w:lang w:val="en-US" w:eastAsia="en-US"/>
    </w:rPr>
  </w:style>
  <w:style w:type="character" w:customStyle="1" w:styleId="BodyTextChar">
    <w:name w:val="Body Text Char"/>
    <w:basedOn w:val="DefaultParagraphFont"/>
    <w:link w:val="BodyText"/>
    <w:rsid w:val="002B1DAF"/>
    <w:rPr>
      <w:sz w:val="22"/>
      <w:lang w:eastAsia="en-US"/>
    </w:rPr>
  </w:style>
  <w:style w:type="paragraph" w:styleId="ListParagraph">
    <w:name w:val="List Paragraph"/>
    <w:basedOn w:val="Normal"/>
    <w:uiPriority w:val="34"/>
    <w:qFormat/>
    <w:rsid w:val="00E7559B"/>
    <w:pPr>
      <w:overflowPunct/>
      <w:autoSpaceDE/>
      <w:autoSpaceDN/>
      <w:adjustRightInd/>
      <w:spacing w:after="200" w:line="276" w:lineRule="auto"/>
      <w:ind w:left="720"/>
      <w:contextualSpacing/>
      <w:textAlignment w:val="auto"/>
    </w:pPr>
    <w:rPr>
      <w:rFonts w:asciiTheme="minorHAnsi" w:eastAsiaTheme="minorHAnsi" w:hAnsiTheme="minorHAnsi" w:cstheme="minorBidi"/>
      <w:szCs w:val="22"/>
      <w:lang w:val="en-US"/>
    </w:rPr>
  </w:style>
  <w:style w:type="paragraph" w:styleId="NormalWeb">
    <w:name w:val="Normal (Web)"/>
    <w:basedOn w:val="Normal"/>
    <w:uiPriority w:val="99"/>
    <w:semiHidden/>
    <w:unhideWhenUsed/>
    <w:rsid w:val="00172DD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customStyle="1" w:styleId="Default">
    <w:name w:val="Default"/>
    <w:rsid w:val="00811E58"/>
    <w:pPr>
      <w:autoSpaceDE w:val="0"/>
      <w:autoSpaceDN w:val="0"/>
      <w:adjustRightInd w:val="0"/>
    </w:pPr>
    <w:rPr>
      <w:rFonts w:eastAsiaTheme="minorHAnsi"/>
      <w:color w:val="000000"/>
      <w:sz w:val="24"/>
      <w:szCs w:val="24"/>
      <w:lang w:eastAsia="en-US"/>
    </w:rPr>
  </w:style>
  <w:style w:type="table" w:styleId="TableGrid">
    <w:name w:val="Table Grid"/>
    <w:basedOn w:val="TableNormal"/>
    <w:rsid w:val="004E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15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fficial.Mail@iaea.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pub.iaea.org/iaeameetings/50809/International-Conference-on-Nuclear-Security-Commitments-and-Ac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Neuhold@iae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NuclearSecurity2016@iaea.org"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icial.mail@iaea.org"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FC4F72AB9FB648AD0CE57E0ABBBC2B" ma:contentTypeVersion="4" ma:contentTypeDescription="Create a new document." ma:contentTypeScope="" ma:versionID="676f5df1ef348e3998195d537c296b6c">
  <xsd:schema xmlns:xsd="http://www.w3.org/2001/XMLSchema" xmlns:xs="http://www.w3.org/2001/XMLSchema" xmlns:p="http://schemas.microsoft.com/office/2006/metadata/properties" xmlns:ns2="http://schemas.microsoft.com/sharepoint/v3/fields" targetNamespace="http://schemas.microsoft.com/office/2006/metadata/properties" ma:root="true" ma:fieldsID="bb102a98c2894374edc3c72133b9af9d" ns2:_="">
    <xsd:import namespace="http://schemas.microsoft.com/sharepoint/v3/fields"/>
    <xsd:element name="properties">
      <xsd:complexType>
        <xsd:sequence>
          <xsd:element name="documentManagement">
            <xsd:complexType>
              <xsd:all>
                <xsd:element ref="ns2:_DCDateCreated" minOccurs="0"/>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element name="_Version" ma:index="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30B92-7D9B-4871-B059-0F439072E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BC6308-BBAE-44FE-93C2-F27C37197144}">
  <ds:schemaRefs>
    <ds:schemaRef ds:uri="http://schemas.microsoft.com/sharepoint/v3/contenttype/forms"/>
  </ds:schemaRefs>
</ds:datastoreItem>
</file>

<file path=customXml/itemProps3.xml><?xml version="1.0" encoding="utf-8"?>
<ds:datastoreItem xmlns:ds="http://schemas.openxmlformats.org/officeDocument/2006/customXml" ds:itemID="{9C9D8168-EA3E-460B-BE3E-3A972CDAD893}">
  <ds:schemaRefs>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82EC0CE8-4EF0-432F-B098-39344674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TotalTime>
  <Pages>10</Pages>
  <Words>2927</Words>
  <Characters>16685</Characters>
  <Application>Microsoft Office Word</Application>
  <DocSecurity>4</DocSecurity>
  <Lines>139</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IAEA</vt:lpstr>
      <vt:lpstr>IAEA</vt:lpstr>
    </vt:vector>
  </TitlesOfParts>
  <Company>IAEA</Company>
  <LinksUpToDate>false</LinksUpToDate>
  <CharactersWithSpaces>19573</CharactersWithSpaces>
  <SharedDoc>false</SharedDoc>
  <HLinks>
    <vt:vector size="42" baseType="variant">
      <vt:variant>
        <vt:i4>5373962</vt:i4>
      </vt:variant>
      <vt:variant>
        <vt:i4>18</vt:i4>
      </vt:variant>
      <vt:variant>
        <vt:i4>0</vt:i4>
      </vt:variant>
      <vt:variant>
        <vt:i4>5</vt:i4>
      </vt:variant>
      <vt:variant>
        <vt:lpwstr>http://www-pub.iaea.org/MTCD/Meetings/Announcements.asp?ConfID=41578</vt:lpwstr>
      </vt:variant>
      <vt:variant>
        <vt:lpwstr/>
      </vt:variant>
      <vt:variant>
        <vt:i4>2883648</vt:i4>
      </vt:variant>
      <vt:variant>
        <vt:i4>15</vt:i4>
      </vt:variant>
      <vt:variant>
        <vt:i4>0</vt:i4>
      </vt:variant>
      <vt:variant>
        <vt:i4>5</vt:i4>
      </vt:variant>
      <vt:variant>
        <vt:lpwstr>mailto:radprom2012.conf@iaea.org</vt:lpwstr>
      </vt:variant>
      <vt:variant>
        <vt:lpwstr/>
      </vt:variant>
      <vt:variant>
        <vt:i4>5439550</vt:i4>
      </vt:variant>
      <vt:variant>
        <vt:i4>12</vt:i4>
      </vt:variant>
      <vt:variant>
        <vt:i4>0</vt:i4>
      </vt:variant>
      <vt:variant>
        <vt:i4>5</vt:i4>
      </vt:variant>
      <vt:variant>
        <vt:lpwstr>mailto:radprom2012.papers@iaea.org</vt:lpwstr>
      </vt:variant>
      <vt:variant>
        <vt:lpwstr/>
      </vt:variant>
      <vt:variant>
        <vt:i4>852044</vt:i4>
      </vt:variant>
      <vt:variant>
        <vt:i4>9</vt:i4>
      </vt:variant>
      <vt:variant>
        <vt:i4>0</vt:i4>
      </vt:variant>
      <vt:variant>
        <vt:i4>5</vt:i4>
      </vt:variant>
      <vt:variant>
        <vt:lpwstr>https://personnel.iaea.org/info/ddsu/tree.asp?top=7530&amp;old=9999&amp;show=753</vt:lpwstr>
      </vt:variant>
      <vt:variant>
        <vt:lpwstr>u753</vt:lpwstr>
      </vt:variant>
      <vt:variant>
        <vt:i4>5439550</vt:i4>
      </vt:variant>
      <vt:variant>
        <vt:i4>6</vt:i4>
      </vt:variant>
      <vt:variant>
        <vt:i4>0</vt:i4>
      </vt:variant>
      <vt:variant>
        <vt:i4>5</vt:i4>
      </vt:variant>
      <vt:variant>
        <vt:lpwstr>mailto:radprom2012.papers@iaea.org</vt:lpwstr>
      </vt:variant>
      <vt:variant>
        <vt:lpwstr/>
      </vt:variant>
      <vt:variant>
        <vt:i4>1769510</vt:i4>
      </vt:variant>
      <vt:variant>
        <vt:i4>3</vt:i4>
      </vt:variant>
      <vt:variant>
        <vt:i4>0</vt:i4>
      </vt:variant>
      <vt:variant>
        <vt:i4>5</vt:i4>
      </vt:variant>
      <vt:variant>
        <vt:lpwstr>mailto:RSII2@bmu.bund.de</vt:lpwstr>
      </vt:variant>
      <vt:variant>
        <vt:lpwstr/>
      </vt:variant>
      <vt:variant>
        <vt:i4>5439550</vt:i4>
      </vt:variant>
      <vt:variant>
        <vt:i4>0</vt:i4>
      </vt:variant>
      <vt:variant>
        <vt:i4>0</vt:i4>
      </vt:variant>
      <vt:variant>
        <vt:i4>5</vt:i4>
      </vt:variant>
      <vt:variant>
        <vt:lpwstr>mailto:radprom2012.papers@iaea.org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FOOTE, Corinne</dc:creator>
  <cp:lastModifiedBy>JOS, Shaju</cp:lastModifiedBy>
  <cp:revision>2</cp:revision>
  <cp:lastPrinted>2016-06-02T07:36:00Z</cp:lastPrinted>
  <dcterms:created xsi:type="dcterms:W3CDTF">2016-06-02T14:31:00Z</dcterms:created>
  <dcterms:modified xsi:type="dcterms:W3CDTF">2016-06-02T14:31:00Z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0x01010089FC4F72AB9FB648AD0CE57E0ABBBC2B</vt:lpwstr>
  </property>
</Properties>
</file>