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41630" w14:textId="330CC86D" w:rsidR="00733D7D" w:rsidRPr="0006245C" w:rsidRDefault="00973F07" w:rsidP="00344BBC">
      <w:pPr>
        <w:pStyle w:val="BodyText"/>
        <w:jc w:val="center"/>
      </w:pPr>
      <w:r w:rsidRPr="00344BBC">
        <w:rPr>
          <w:rFonts w:asciiTheme="minorHAnsi" w:hAnsiTheme="minorHAnsi" w:cstheme="minorHAnsi"/>
          <w:noProof/>
          <w:lang w:eastAsia="en-GB"/>
        </w:rPr>
        <w:drawing>
          <wp:inline distT="0" distB="0" distL="0" distR="0" wp14:anchorId="6480D930" wp14:editId="3E18F6E8">
            <wp:extent cx="1486800" cy="113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t-Logo-E_vertical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6800" cy="1130400"/>
                    </a:xfrm>
                    <a:prstGeom prst="rect">
                      <a:avLst/>
                    </a:prstGeom>
                  </pic:spPr>
                </pic:pic>
              </a:graphicData>
            </a:graphic>
          </wp:inline>
        </w:drawing>
      </w:r>
    </w:p>
    <w:p w14:paraId="2E2E7B15" w14:textId="77777777" w:rsidR="00973F07" w:rsidRPr="00B77990" w:rsidRDefault="00973F07" w:rsidP="00973F07">
      <w:pPr>
        <w:pStyle w:val="BodyText"/>
        <w:spacing w:after="0" w:line="276" w:lineRule="auto"/>
        <w:jc w:val="center"/>
        <w:rPr>
          <w:b/>
          <w:sz w:val="28"/>
          <w:szCs w:val="28"/>
          <w:lang w:val="en-US"/>
        </w:rPr>
      </w:pPr>
    </w:p>
    <w:p w14:paraId="5A03F449" w14:textId="515012B1" w:rsidR="00285DDD" w:rsidRPr="00344BBC" w:rsidRDefault="00F23F0F" w:rsidP="00C35B1D">
      <w:pPr>
        <w:spacing w:after="120"/>
        <w:jc w:val="center"/>
        <w:rPr>
          <w:b/>
          <w:bCs/>
          <w:color w:val="000000"/>
          <w:sz w:val="42"/>
          <w:szCs w:val="42"/>
        </w:rPr>
      </w:pPr>
      <w:r w:rsidRPr="00344BBC">
        <w:rPr>
          <w:b/>
          <w:bCs/>
          <w:color w:val="000000"/>
          <w:sz w:val="42"/>
          <w:szCs w:val="42"/>
        </w:rPr>
        <w:t>International</w:t>
      </w:r>
      <w:r w:rsidR="00E33F52" w:rsidRPr="00344BBC">
        <w:rPr>
          <w:b/>
          <w:bCs/>
          <w:color w:val="000000"/>
          <w:sz w:val="42"/>
          <w:szCs w:val="42"/>
        </w:rPr>
        <w:t xml:space="preserve"> Conference</w:t>
      </w:r>
      <w:r w:rsidRPr="00344BBC">
        <w:rPr>
          <w:b/>
          <w:bCs/>
          <w:color w:val="000000"/>
          <w:sz w:val="42"/>
          <w:szCs w:val="42"/>
        </w:rPr>
        <w:t xml:space="preserve"> on the Safety of</w:t>
      </w:r>
    </w:p>
    <w:p w14:paraId="1668E619" w14:textId="07E9E054" w:rsidR="00F23F0F" w:rsidRPr="00344BBC" w:rsidRDefault="00F23F0F" w:rsidP="00C35B1D">
      <w:pPr>
        <w:spacing w:after="120"/>
        <w:jc w:val="center"/>
        <w:rPr>
          <w:b/>
          <w:bCs/>
          <w:color w:val="000000"/>
          <w:sz w:val="42"/>
          <w:szCs w:val="42"/>
        </w:rPr>
      </w:pPr>
      <w:r w:rsidRPr="00344BBC">
        <w:rPr>
          <w:b/>
          <w:bCs/>
          <w:color w:val="000000"/>
          <w:sz w:val="42"/>
          <w:szCs w:val="42"/>
        </w:rPr>
        <w:t>Radioactive Waste Management</w:t>
      </w:r>
    </w:p>
    <w:p w14:paraId="71E9D22C" w14:textId="77777777" w:rsidR="00973F07" w:rsidRPr="00B77990" w:rsidRDefault="00973F07" w:rsidP="00973F07">
      <w:pPr>
        <w:pStyle w:val="BodyText"/>
        <w:spacing w:after="0" w:line="276" w:lineRule="auto"/>
        <w:jc w:val="center"/>
        <w:rPr>
          <w:b/>
          <w:sz w:val="28"/>
          <w:szCs w:val="28"/>
          <w:lang w:val="en-US"/>
        </w:rPr>
      </w:pPr>
    </w:p>
    <w:p w14:paraId="1EC1FD04" w14:textId="77777777" w:rsidR="00973F07" w:rsidRPr="00B77990" w:rsidRDefault="00973F07" w:rsidP="00973F07">
      <w:pPr>
        <w:overflowPunct/>
        <w:spacing w:line="276" w:lineRule="auto"/>
        <w:jc w:val="center"/>
        <w:textAlignment w:val="auto"/>
        <w:rPr>
          <w:b/>
          <w:bCs/>
          <w:color w:val="000000"/>
          <w:sz w:val="28"/>
          <w:szCs w:val="28"/>
          <w:lang w:eastAsia="en-GB"/>
        </w:rPr>
      </w:pPr>
      <w:r w:rsidRPr="00B77990">
        <w:rPr>
          <w:b/>
          <w:bCs/>
          <w:color w:val="000000"/>
          <w:sz w:val="28"/>
          <w:szCs w:val="28"/>
          <w:lang w:eastAsia="en-GB"/>
        </w:rPr>
        <w:t>IAEA Headquarters</w:t>
      </w:r>
    </w:p>
    <w:p w14:paraId="21D6901E" w14:textId="72B31C68" w:rsidR="00775FF3" w:rsidRDefault="00F23F0F" w:rsidP="00344BBC">
      <w:pPr>
        <w:pStyle w:val="NormalWeb"/>
        <w:spacing w:before="0" w:beforeAutospacing="0" w:after="0" w:afterAutospacing="0" w:line="276" w:lineRule="auto"/>
        <w:jc w:val="center"/>
        <w:rPr>
          <w:rFonts w:ascii="Times New Roman" w:hAnsi="Times New Roman" w:cs="Times New Roman"/>
          <w:b/>
          <w:bCs/>
          <w:color w:val="000000"/>
          <w:sz w:val="28"/>
          <w:szCs w:val="11"/>
          <w:lang w:val="en-GB"/>
        </w:rPr>
      </w:pPr>
      <w:r>
        <w:rPr>
          <w:rFonts w:ascii="Times New Roman" w:hAnsi="Times New Roman" w:cs="Times New Roman"/>
          <w:b/>
          <w:bCs/>
          <w:color w:val="000000"/>
          <w:sz w:val="28"/>
          <w:szCs w:val="11"/>
          <w:lang w:val="en-GB"/>
        </w:rPr>
        <w:t>Vienna, Austria</w:t>
      </w:r>
    </w:p>
    <w:p w14:paraId="6D9BD4E6" w14:textId="77777777" w:rsidR="00973F07" w:rsidRPr="00F1752C" w:rsidRDefault="00973F07" w:rsidP="00973F07">
      <w:pPr>
        <w:overflowPunct/>
        <w:spacing w:line="276" w:lineRule="auto"/>
        <w:jc w:val="center"/>
        <w:textAlignment w:val="auto"/>
        <w:rPr>
          <w:b/>
          <w:bCs/>
          <w:color w:val="000000"/>
          <w:sz w:val="24"/>
          <w:szCs w:val="24"/>
          <w:lang w:eastAsia="en-GB"/>
        </w:rPr>
      </w:pPr>
    </w:p>
    <w:p w14:paraId="3F63993A" w14:textId="12E4D22E" w:rsidR="00E33F52" w:rsidRPr="0006245C" w:rsidRDefault="00F23F0F" w:rsidP="00344BBC">
      <w:pPr>
        <w:pStyle w:val="NormalWeb"/>
        <w:spacing w:before="0" w:beforeAutospacing="0" w:after="0" w:afterAutospacing="0" w:line="276" w:lineRule="auto"/>
        <w:jc w:val="center"/>
        <w:rPr>
          <w:rFonts w:ascii="Times New Roman" w:hAnsi="Times New Roman" w:cs="Times New Roman"/>
          <w:b/>
          <w:bCs/>
          <w:color w:val="000000"/>
          <w:sz w:val="28"/>
          <w:szCs w:val="11"/>
          <w:lang w:val="en-GB"/>
        </w:rPr>
      </w:pPr>
      <w:r>
        <w:rPr>
          <w:rFonts w:ascii="Times New Roman" w:hAnsi="Times New Roman" w:cs="Times New Roman"/>
          <w:b/>
          <w:bCs/>
          <w:color w:val="000000"/>
          <w:sz w:val="28"/>
          <w:szCs w:val="11"/>
          <w:lang w:val="en-GB"/>
        </w:rPr>
        <w:t>21</w:t>
      </w:r>
      <w:r w:rsidR="00555446" w:rsidRPr="0006245C">
        <w:rPr>
          <w:rFonts w:ascii="Times New Roman" w:hAnsi="Times New Roman" w:cs="Times New Roman"/>
          <w:b/>
          <w:bCs/>
          <w:color w:val="000000"/>
          <w:sz w:val="28"/>
          <w:szCs w:val="11"/>
          <w:lang w:val="en-GB"/>
        </w:rPr>
        <w:t>–</w:t>
      </w:r>
      <w:r w:rsidR="00B54911" w:rsidRPr="0006245C">
        <w:rPr>
          <w:rFonts w:ascii="Times New Roman" w:hAnsi="Times New Roman" w:cs="Times New Roman"/>
          <w:b/>
          <w:bCs/>
          <w:color w:val="000000"/>
          <w:sz w:val="28"/>
          <w:szCs w:val="11"/>
          <w:lang w:val="en-GB"/>
        </w:rPr>
        <w:t>2</w:t>
      </w:r>
      <w:r>
        <w:rPr>
          <w:rFonts w:ascii="Times New Roman" w:hAnsi="Times New Roman" w:cs="Times New Roman"/>
          <w:b/>
          <w:bCs/>
          <w:color w:val="000000"/>
          <w:sz w:val="28"/>
          <w:szCs w:val="11"/>
          <w:lang w:val="en-GB"/>
        </w:rPr>
        <w:t>5</w:t>
      </w:r>
      <w:r w:rsidR="007426C4" w:rsidRPr="0006245C">
        <w:rPr>
          <w:rFonts w:ascii="Times New Roman" w:hAnsi="Times New Roman" w:cs="Times New Roman"/>
          <w:b/>
          <w:bCs/>
          <w:color w:val="000000"/>
          <w:sz w:val="28"/>
          <w:szCs w:val="11"/>
          <w:lang w:val="en-GB"/>
        </w:rPr>
        <w:t xml:space="preserve"> </w:t>
      </w:r>
      <w:r>
        <w:rPr>
          <w:rFonts w:ascii="Times New Roman" w:hAnsi="Times New Roman" w:cs="Times New Roman"/>
          <w:b/>
          <w:bCs/>
          <w:color w:val="000000"/>
          <w:sz w:val="28"/>
          <w:szCs w:val="11"/>
          <w:lang w:val="en-GB"/>
        </w:rPr>
        <w:t>November</w:t>
      </w:r>
      <w:r w:rsidR="00B54911" w:rsidRPr="0006245C">
        <w:rPr>
          <w:rFonts w:ascii="Times New Roman" w:hAnsi="Times New Roman" w:cs="Times New Roman"/>
          <w:b/>
          <w:bCs/>
          <w:color w:val="000000"/>
          <w:sz w:val="28"/>
          <w:szCs w:val="11"/>
          <w:lang w:val="en-GB"/>
        </w:rPr>
        <w:t xml:space="preserve"> 2016</w:t>
      </w:r>
    </w:p>
    <w:p w14:paraId="1774B804" w14:textId="77777777" w:rsidR="00973F07" w:rsidRPr="00973F07" w:rsidRDefault="00973F07" w:rsidP="00973F07">
      <w:pPr>
        <w:overflowPunct/>
        <w:spacing w:line="276" w:lineRule="auto"/>
        <w:jc w:val="center"/>
        <w:textAlignment w:val="auto"/>
        <w:rPr>
          <w:b/>
          <w:bCs/>
          <w:sz w:val="24"/>
          <w:szCs w:val="24"/>
        </w:rPr>
      </w:pPr>
    </w:p>
    <w:p w14:paraId="19BAF2E7" w14:textId="0030FD5A" w:rsidR="00E33F52" w:rsidRPr="00344BBC" w:rsidRDefault="00973F07" w:rsidP="00344BBC">
      <w:pPr>
        <w:pStyle w:val="NormalWeb"/>
        <w:spacing w:before="0" w:beforeAutospacing="0" w:after="0" w:afterAutospacing="0"/>
        <w:jc w:val="center"/>
        <w:rPr>
          <w:rFonts w:ascii="Times New Roman" w:hAnsi="Times New Roman" w:cs="Times New Roman"/>
          <w:b/>
          <w:bCs/>
          <w:sz w:val="22"/>
          <w:szCs w:val="11"/>
          <w:lang w:val="en-GB"/>
        </w:rPr>
      </w:pPr>
      <w:r w:rsidRPr="00344BBC">
        <w:rPr>
          <w:rFonts w:ascii="Times New Roman" w:hAnsi="Times New Roman" w:cs="Times New Roman"/>
          <w:b/>
          <w:bCs/>
        </w:rPr>
        <w:t>Ref. No.: IAEA-CN-242</w:t>
      </w:r>
    </w:p>
    <w:p w14:paraId="601216A0" w14:textId="77777777" w:rsidR="00973F07" w:rsidRPr="002944CA" w:rsidRDefault="00973F07" w:rsidP="00973F07">
      <w:pPr>
        <w:overflowPunct/>
        <w:spacing w:line="276" w:lineRule="auto"/>
        <w:jc w:val="center"/>
        <w:textAlignment w:val="auto"/>
        <w:rPr>
          <w:color w:val="000000"/>
          <w:sz w:val="28"/>
          <w:szCs w:val="28"/>
          <w:lang w:eastAsia="en-GB"/>
        </w:rPr>
      </w:pPr>
    </w:p>
    <w:p w14:paraId="30FAD8A2" w14:textId="77777777" w:rsidR="00973F07" w:rsidRPr="00B77990" w:rsidRDefault="00973F07" w:rsidP="00973F07">
      <w:pPr>
        <w:overflowPunct/>
        <w:spacing w:line="276" w:lineRule="auto"/>
        <w:jc w:val="center"/>
        <w:textAlignment w:val="auto"/>
        <w:rPr>
          <w:b/>
          <w:bCs/>
          <w:color w:val="000000"/>
          <w:sz w:val="28"/>
          <w:szCs w:val="28"/>
          <w:lang w:eastAsia="en-GB"/>
        </w:rPr>
      </w:pPr>
    </w:p>
    <w:p w14:paraId="04D14270" w14:textId="77777777" w:rsidR="00733D7D" w:rsidRPr="00344BBC" w:rsidRDefault="00733D7D" w:rsidP="007426C4">
      <w:pPr>
        <w:pStyle w:val="Subtitle"/>
        <w:rPr>
          <w:rFonts w:cs="Times New Roman"/>
          <w:sz w:val="36"/>
          <w:szCs w:val="36"/>
          <w:lang w:val="en-GB"/>
        </w:rPr>
      </w:pPr>
      <w:r w:rsidRPr="00344BBC">
        <w:rPr>
          <w:rFonts w:cs="Times New Roman"/>
          <w:sz w:val="36"/>
          <w:szCs w:val="36"/>
          <w:lang w:val="en-GB"/>
        </w:rPr>
        <w:t>Announcement and Call for Papers</w:t>
      </w:r>
    </w:p>
    <w:p w14:paraId="6AEE8466" w14:textId="77777777" w:rsidR="00C137E3" w:rsidRPr="0006245C" w:rsidRDefault="00733D7D" w:rsidP="002861CA">
      <w:pPr>
        <w:pStyle w:val="Heading1"/>
      </w:pPr>
      <w:r w:rsidRPr="0006245C">
        <w:t>Introduction</w:t>
      </w:r>
    </w:p>
    <w:p w14:paraId="66452791" w14:textId="077BBAC9" w:rsidR="0042019B" w:rsidRDefault="0042019B" w:rsidP="00973F07">
      <w:pPr>
        <w:pStyle w:val="BodyText"/>
      </w:pPr>
      <w:bookmarkStart w:id="0" w:name="OLE_LINK5"/>
      <w:bookmarkStart w:id="1" w:name="OLE_LINK6"/>
      <w:r>
        <w:t xml:space="preserve">The sustainable use of </w:t>
      </w:r>
      <w:r w:rsidR="00973F07">
        <w:t>n</w:t>
      </w:r>
      <w:r>
        <w:t xml:space="preserve">uclear </w:t>
      </w:r>
      <w:r w:rsidR="00973F07">
        <w:t>e</w:t>
      </w:r>
      <w:r>
        <w:t xml:space="preserve">nergy and </w:t>
      </w:r>
      <w:r w:rsidR="00973F07">
        <w:t>n</w:t>
      </w:r>
      <w:r>
        <w:t xml:space="preserve">uclear </w:t>
      </w:r>
      <w:r w:rsidR="00973F07">
        <w:t>t</w:t>
      </w:r>
      <w:r>
        <w:t xml:space="preserve">echnologies requires that radioactive waste and spent fuel </w:t>
      </w:r>
      <w:r w:rsidR="00973F07">
        <w:t xml:space="preserve">be </w:t>
      </w:r>
      <w:r>
        <w:t>safely managed. The safety of radioactive waste and spent fuel management relies on sound science and technology. Furthermore</w:t>
      </w:r>
      <w:r w:rsidR="00973F07">
        <w:t>,</w:t>
      </w:r>
      <w:r>
        <w:t xml:space="preserve"> appropriate legal, governmental and regulatory frameworks need to be in place.</w:t>
      </w:r>
    </w:p>
    <w:p w14:paraId="060BDB18" w14:textId="59BBE0D3" w:rsidR="0042019B" w:rsidRDefault="00973F07" w:rsidP="0042019B">
      <w:pPr>
        <w:pStyle w:val="BodyText"/>
      </w:pPr>
      <w:r>
        <w:t xml:space="preserve">Over </w:t>
      </w:r>
      <w:r w:rsidR="0042019B">
        <w:t>the past decades many countries have made significant progress in the development and implementation of comprehensive radioactive waste and spent fuel management strategies. Some countries have taken concrete steps towards implementation of safe geological disposal of high level radioactive waste and spent fuel</w:t>
      </w:r>
      <w:r>
        <w:t>,</w:t>
      </w:r>
      <w:r w:rsidR="0042019B">
        <w:t xml:space="preserve"> whilst many other countries are still in an early planning phase. In addition, a number of Member States </w:t>
      </w:r>
      <w:r>
        <w:t xml:space="preserve">of the International Atomic Energy Agency (IAEA) are actively </w:t>
      </w:r>
      <w:r w:rsidR="0042019B">
        <w:t>plan</w:t>
      </w:r>
      <w:r>
        <w:t>ning</w:t>
      </w:r>
      <w:r w:rsidR="0042019B">
        <w:t xml:space="preserve"> to introduce nuclear energy and thus need to develop appropriate competenc</w:t>
      </w:r>
      <w:r>
        <w:t>i</w:t>
      </w:r>
      <w:r w:rsidR="0042019B">
        <w:t>es to establish</w:t>
      </w:r>
      <w:r>
        <w:t>,</w:t>
      </w:r>
      <w:r w:rsidR="0042019B">
        <w:t xml:space="preserve"> in a timely manner, programmes for the safe and responsible management of radioactive waste and spent fuel.</w:t>
      </w:r>
    </w:p>
    <w:p w14:paraId="3E269747" w14:textId="17ACF45E" w:rsidR="0042019B" w:rsidRDefault="0042019B" w:rsidP="00973F07">
      <w:pPr>
        <w:pStyle w:val="BodyText"/>
      </w:pPr>
      <w:r>
        <w:t xml:space="preserve">It is consequently of high importance to share the experience </w:t>
      </w:r>
      <w:r w:rsidR="00973F07">
        <w:t xml:space="preserve">gained </w:t>
      </w:r>
      <w:r>
        <w:t>in developing and implementing solutions for the safe management of radioactive waste and spent fuel, in order to reach a higher level of safety worldwide.</w:t>
      </w:r>
    </w:p>
    <w:p w14:paraId="698663CB" w14:textId="4004B4D5" w:rsidR="0042019B" w:rsidRDefault="00973F07" w:rsidP="00531765">
      <w:pPr>
        <w:pStyle w:val="BodyText"/>
        <w:keepNext/>
        <w:keepLines/>
      </w:pPr>
      <w:r>
        <w:lastRenderedPageBreak/>
        <w:t>Regular conferences related to the safety of radioactive waste management have been organized by the IAEA i</w:t>
      </w:r>
      <w:r w:rsidR="0042019B">
        <w:t>n the past:</w:t>
      </w:r>
    </w:p>
    <w:p w14:paraId="63AF5D41" w14:textId="39FED26C" w:rsidR="0042019B" w:rsidRDefault="00E22920" w:rsidP="00531765">
      <w:pPr>
        <w:pStyle w:val="BodyText"/>
        <w:keepNext/>
        <w:keepLines/>
        <w:numPr>
          <w:ilvl w:val="0"/>
          <w:numId w:val="26"/>
        </w:numPr>
      </w:pPr>
      <w:r>
        <w:t xml:space="preserve">International Conference on Topical Issues in Nuclear, Radiation and Radioactive Waste Safety (Vienna, Austria, </w:t>
      </w:r>
      <w:r w:rsidR="0042019B">
        <w:t>1998</w:t>
      </w:r>
      <w:r>
        <w:t>)</w:t>
      </w:r>
    </w:p>
    <w:p w14:paraId="59995FC7" w14:textId="27291989" w:rsidR="0042019B" w:rsidRDefault="00E22920" w:rsidP="00531765">
      <w:pPr>
        <w:pStyle w:val="BodyText"/>
        <w:numPr>
          <w:ilvl w:val="0"/>
          <w:numId w:val="26"/>
        </w:numPr>
      </w:pPr>
      <w:r>
        <w:t>International Conference on the Safety of Radioactive Waste Management (</w:t>
      </w:r>
      <w:r w:rsidR="0042019B">
        <w:t>C</w:t>
      </w:r>
      <w:r>
        <w:t>ó</w:t>
      </w:r>
      <w:r w:rsidR="0042019B">
        <w:t>rdoba, Spain</w:t>
      </w:r>
      <w:r>
        <w:t>, 2000)</w:t>
      </w:r>
    </w:p>
    <w:p w14:paraId="6BFC34F9" w14:textId="2CB1E701" w:rsidR="0042019B" w:rsidRDefault="00E22920" w:rsidP="00531765">
      <w:pPr>
        <w:pStyle w:val="BodyText"/>
        <w:numPr>
          <w:ilvl w:val="0"/>
          <w:numId w:val="26"/>
        </w:numPr>
      </w:pPr>
      <w:r>
        <w:t>International Conference on Issues and Trends in Radioactive Waste Management (Vienna, Austria,</w:t>
      </w:r>
      <w:r w:rsidR="0042019B">
        <w:t xml:space="preserve"> 2002</w:t>
      </w:r>
      <w:r>
        <w:t>)</w:t>
      </w:r>
    </w:p>
    <w:p w14:paraId="458932F0" w14:textId="781A128A" w:rsidR="0042019B" w:rsidRDefault="00E22920" w:rsidP="00531765">
      <w:pPr>
        <w:pStyle w:val="BodyText"/>
        <w:numPr>
          <w:ilvl w:val="0"/>
          <w:numId w:val="26"/>
        </w:numPr>
      </w:pPr>
      <w:r>
        <w:t xml:space="preserve">International Conference on the Safety of Radioactive Waste Disposal </w:t>
      </w:r>
      <w:r w:rsidR="00A9167C">
        <w:t>(Tokyo, Japan,</w:t>
      </w:r>
      <w:r w:rsidR="0042019B">
        <w:t xml:space="preserve"> 2005</w:t>
      </w:r>
      <w:r w:rsidR="00A9167C">
        <w:t>)</w:t>
      </w:r>
    </w:p>
    <w:p w14:paraId="69332714" w14:textId="66C9589E" w:rsidR="0042019B" w:rsidRDefault="0042019B" w:rsidP="00A9167C">
      <w:pPr>
        <w:pStyle w:val="BodyText"/>
      </w:pPr>
      <w:r>
        <w:t>Since then many developments have occurred in the field of radioactive waste management.</w:t>
      </w:r>
    </w:p>
    <w:p w14:paraId="3157DA1D" w14:textId="68BCEE91" w:rsidR="00D44E9C" w:rsidRDefault="0042019B" w:rsidP="00A9167C">
      <w:pPr>
        <w:pStyle w:val="BodyText"/>
      </w:pPr>
      <w:r>
        <w:t>Technology exists for the management of all types of radioactive waste</w:t>
      </w:r>
      <w:r w:rsidR="00A9167C">
        <w:t>,</w:t>
      </w:r>
      <w:r>
        <w:t xml:space="preserve"> and the demonstration of safety of predisposal and disposal facilities and activities </w:t>
      </w:r>
      <w:r w:rsidR="00A9167C">
        <w:t xml:space="preserve">has </w:t>
      </w:r>
      <w:r>
        <w:t xml:space="preserve">progressed significantly. A comprehensive </w:t>
      </w:r>
      <w:r w:rsidR="00A9167C">
        <w:t xml:space="preserve">set </w:t>
      </w:r>
      <w:r>
        <w:t xml:space="preserve">of IAEA safety standards have been published to support the safe development of radioactive waste management programmes, and a suite of technical reports </w:t>
      </w:r>
      <w:r w:rsidR="00A9167C">
        <w:t xml:space="preserve">have been developed </w:t>
      </w:r>
      <w:r>
        <w:t xml:space="preserve">to </w:t>
      </w:r>
      <w:r w:rsidR="00A9167C">
        <w:t>provide information on</w:t>
      </w:r>
      <w:r>
        <w:t xml:space="preserve"> best practices </w:t>
      </w:r>
      <w:r w:rsidR="00A9167C">
        <w:t xml:space="preserve">applied </w:t>
      </w:r>
      <w:r>
        <w:t xml:space="preserve">by Member States to </w:t>
      </w:r>
      <w:r w:rsidR="00A9167C">
        <w:t xml:space="preserve">comply with </w:t>
      </w:r>
      <w:r>
        <w:t xml:space="preserve">the requirements and guidance presented in the </w:t>
      </w:r>
      <w:r w:rsidR="00A9167C">
        <w:t>s</w:t>
      </w:r>
      <w:r>
        <w:t xml:space="preserve">afety </w:t>
      </w:r>
      <w:r w:rsidR="00A9167C">
        <w:t>s</w:t>
      </w:r>
      <w:r>
        <w:t xml:space="preserve">tandards. In parallel, the </w:t>
      </w:r>
      <w:r w:rsidR="00A9167C">
        <w:t xml:space="preserve">review process under the </w:t>
      </w:r>
      <w:r>
        <w:t xml:space="preserve">Joint Convention on the Safety of Spent Fuel Management and on the Safety of Radioactive Waste Management has gained </w:t>
      </w:r>
      <w:r w:rsidR="00A9167C">
        <w:t xml:space="preserve">in </w:t>
      </w:r>
      <w:r>
        <w:t>maturity</w:t>
      </w:r>
      <w:r w:rsidR="00A9167C">
        <w:t>, thereby</w:t>
      </w:r>
      <w:r>
        <w:t xml:space="preserve"> contributing to </w:t>
      </w:r>
      <w:r w:rsidR="00A9167C">
        <w:t xml:space="preserve">the </w:t>
      </w:r>
      <w:r>
        <w:t>enhance</w:t>
      </w:r>
      <w:r w:rsidR="00A9167C">
        <w:t>ment of</w:t>
      </w:r>
      <w:r>
        <w:t xml:space="preserve"> safety</w:t>
      </w:r>
      <w:r w:rsidR="00A9167C">
        <w:t xml:space="preserve"> in this area</w:t>
      </w:r>
      <w:r>
        <w:t>.</w:t>
      </w:r>
    </w:p>
    <w:p w14:paraId="77AE60FE" w14:textId="01C4CF40" w:rsidR="00A9167C" w:rsidRPr="00344BBC" w:rsidRDefault="00B90EBD" w:rsidP="00871105">
      <w:pPr>
        <w:pStyle w:val="BodyText"/>
      </w:pPr>
      <w:r w:rsidRPr="00344BBC">
        <w:t xml:space="preserve">More than 10 years after the last </w:t>
      </w:r>
      <w:r w:rsidR="00B7670A">
        <w:t xml:space="preserve">IAEA </w:t>
      </w:r>
      <w:r w:rsidRPr="00344BBC">
        <w:t>conference on th</w:t>
      </w:r>
      <w:r w:rsidR="00B7670A">
        <w:t>is</w:t>
      </w:r>
      <w:r w:rsidRPr="00344BBC">
        <w:t xml:space="preserve"> topic</w:t>
      </w:r>
      <w:r w:rsidR="00B7670A">
        <w:t>,</w:t>
      </w:r>
      <w:r w:rsidRPr="00344BBC">
        <w:t xml:space="preserve"> </w:t>
      </w:r>
      <w:r w:rsidR="005D0696" w:rsidRPr="00344BBC">
        <w:t>t</w:t>
      </w:r>
      <w:r w:rsidRPr="00344BBC">
        <w:t>he</w:t>
      </w:r>
      <w:r w:rsidR="00B7670A">
        <w:t xml:space="preserve"> 2016</w:t>
      </w:r>
      <w:r w:rsidRPr="00344BBC">
        <w:t xml:space="preserve"> International Conference on the Safety of Radioactive Waste Management </w:t>
      </w:r>
      <w:r w:rsidR="005D0696" w:rsidRPr="00344BBC">
        <w:t xml:space="preserve">will </w:t>
      </w:r>
      <w:r w:rsidRPr="00344BBC">
        <w:t xml:space="preserve">bring </w:t>
      </w:r>
      <w:r w:rsidR="00B7670A">
        <w:t>together</w:t>
      </w:r>
      <w:r w:rsidRPr="00344BBC">
        <w:t xml:space="preserve"> </w:t>
      </w:r>
      <w:r w:rsidR="00B7670A">
        <w:t>stakeholders from all the areas</w:t>
      </w:r>
      <w:r w:rsidRPr="00344BBC">
        <w:t xml:space="preserve"> involved in the safe development of radioactive waste management programmes. The conference will allow </w:t>
      </w:r>
      <w:r w:rsidR="00B7670A" w:rsidRPr="00344BBC">
        <w:t xml:space="preserve">all </w:t>
      </w:r>
      <w:r w:rsidR="00871105">
        <w:t xml:space="preserve">the </w:t>
      </w:r>
      <w:r w:rsidR="00B7670A" w:rsidRPr="00344BBC">
        <w:t xml:space="preserve">progress </w:t>
      </w:r>
      <w:r w:rsidR="00871105">
        <w:t>achieved</w:t>
      </w:r>
      <w:r w:rsidR="00B7670A" w:rsidRPr="00344BBC">
        <w:t xml:space="preserve"> so far</w:t>
      </w:r>
      <w:r w:rsidR="00B7670A">
        <w:t xml:space="preserve"> to be reviewed</w:t>
      </w:r>
      <w:r w:rsidRPr="00344BBC">
        <w:t xml:space="preserve">, address the remaining challenges and </w:t>
      </w:r>
      <w:r w:rsidR="00871105">
        <w:t>help</w:t>
      </w:r>
      <w:r w:rsidR="00871105" w:rsidRPr="00344BBC">
        <w:t xml:space="preserve"> </w:t>
      </w:r>
      <w:r w:rsidRPr="00344BBC">
        <w:t>to identify means to address the</w:t>
      </w:r>
      <w:r w:rsidR="00871105">
        <w:t>se</w:t>
      </w:r>
      <w:r w:rsidRPr="00344BBC">
        <w:t xml:space="preserve"> in a timely manner.</w:t>
      </w:r>
    </w:p>
    <w:p w14:paraId="266C81FC" w14:textId="600A0D5C" w:rsidR="0042019B" w:rsidRDefault="0042019B" w:rsidP="0042019B">
      <w:pPr>
        <w:pStyle w:val="Heading1"/>
      </w:pPr>
      <w:r>
        <w:t>Objective</w:t>
      </w:r>
      <w:r w:rsidR="00A9167C">
        <w:t>s</w:t>
      </w:r>
    </w:p>
    <w:p w14:paraId="7F923AD0" w14:textId="48FF7D59" w:rsidR="0042019B" w:rsidRDefault="0042019B" w:rsidP="001B27F7">
      <w:pPr>
        <w:pStyle w:val="BodyText"/>
      </w:pPr>
      <w:r>
        <w:t xml:space="preserve">The purpose of </w:t>
      </w:r>
      <w:r w:rsidR="00A9167C">
        <w:t>the conference</w:t>
      </w:r>
      <w:r>
        <w:t xml:space="preserve"> is to highlight the importance of an integrated long term approach to</w:t>
      </w:r>
      <w:r w:rsidR="00EE6351">
        <w:t>wards</w:t>
      </w:r>
      <w:r>
        <w:t xml:space="preserve"> the management of radioactive waste and spent fuel</w:t>
      </w:r>
      <w:r w:rsidR="00A9167C">
        <w:t>,</w:t>
      </w:r>
      <w:r>
        <w:t xml:space="preserve"> to foster information exchange between Member States</w:t>
      </w:r>
      <w:r w:rsidR="00A9167C">
        <w:t>,</w:t>
      </w:r>
      <w:r>
        <w:t xml:space="preserve"> and to provide inputs </w:t>
      </w:r>
      <w:r w:rsidR="00A9167C">
        <w:t>that will promote</w:t>
      </w:r>
      <w:r>
        <w:t xml:space="preserve"> further harmonization of safety in the fields of predisposal management and disposal of radioactive waste. The </w:t>
      </w:r>
      <w:r w:rsidR="00A9167C">
        <w:t>c</w:t>
      </w:r>
      <w:r>
        <w:t xml:space="preserve">onference will </w:t>
      </w:r>
      <w:r w:rsidR="001B27F7">
        <w:t xml:space="preserve">serve as </w:t>
      </w:r>
      <w:r>
        <w:t xml:space="preserve">a forum for discussing past experiences and future challenges. </w:t>
      </w:r>
      <w:r w:rsidR="00A9167C">
        <w:t>Furthermore, it will seek to</w:t>
      </w:r>
      <w:r>
        <w:t xml:space="preserve"> identify </w:t>
      </w:r>
      <w:r w:rsidR="00A9167C">
        <w:t xml:space="preserve">Member States’ </w:t>
      </w:r>
      <w:r>
        <w:t xml:space="preserve">needs </w:t>
      </w:r>
      <w:r w:rsidR="00A9167C">
        <w:t>in order to</w:t>
      </w:r>
      <w:r w:rsidR="007E4D50">
        <w:t xml:space="preserve"> assist</w:t>
      </w:r>
      <w:r w:rsidR="00A9167C">
        <w:t xml:space="preserve"> them</w:t>
      </w:r>
      <w:r w:rsidR="001B27F7">
        <w:t xml:space="preserve"> —</w:t>
      </w:r>
      <w:r>
        <w:t xml:space="preserve"> </w:t>
      </w:r>
      <w:r w:rsidR="001B27F7">
        <w:t xml:space="preserve">through specific activities under future IAEA programmes in this area — </w:t>
      </w:r>
      <w:r w:rsidR="00A9167C">
        <w:t xml:space="preserve">to </w:t>
      </w:r>
      <w:r>
        <w:t>develop and implement</w:t>
      </w:r>
      <w:r w:rsidR="00A9167C">
        <w:t xml:space="preserve"> </w:t>
      </w:r>
      <w:r>
        <w:t xml:space="preserve">safe solutions </w:t>
      </w:r>
      <w:r w:rsidR="001B27F7">
        <w:t xml:space="preserve">for the </w:t>
      </w:r>
      <w:r>
        <w:t>manage</w:t>
      </w:r>
      <w:r w:rsidR="001B27F7">
        <w:t>ment of</w:t>
      </w:r>
      <w:r>
        <w:t xml:space="preserve"> their entire radioactive waste inventory.</w:t>
      </w:r>
    </w:p>
    <w:p w14:paraId="09504949" w14:textId="05D85275" w:rsidR="0042019B" w:rsidRPr="0006245C" w:rsidRDefault="0042019B" w:rsidP="00304A33">
      <w:pPr>
        <w:pStyle w:val="BodyText"/>
        <w:rPr>
          <w:highlight w:val="cyan"/>
        </w:rPr>
      </w:pPr>
      <w:r>
        <w:t xml:space="preserve">The </w:t>
      </w:r>
      <w:r w:rsidR="00304A33">
        <w:t>c</w:t>
      </w:r>
      <w:r>
        <w:t xml:space="preserve">onference will address all aspects of predisposal management and disposal of radioactive waste and spent fuel, including </w:t>
      </w:r>
      <w:r w:rsidR="00304A33">
        <w:t xml:space="preserve">waste arising </w:t>
      </w:r>
      <w:r>
        <w:t xml:space="preserve">from accidental situations. The management of radioactive waste and residues from mining activities, as well as the control of discharges from nuclear facilities and activities, </w:t>
      </w:r>
      <w:r w:rsidR="00304A33">
        <w:t>are, however,</w:t>
      </w:r>
      <w:r>
        <w:t xml:space="preserve"> out</w:t>
      </w:r>
      <w:r w:rsidR="00304A33">
        <w:t>side</w:t>
      </w:r>
      <w:r>
        <w:t xml:space="preserve"> of </w:t>
      </w:r>
      <w:r w:rsidR="00304A33">
        <w:t xml:space="preserve">its </w:t>
      </w:r>
      <w:r>
        <w:t>scope.</w:t>
      </w:r>
    </w:p>
    <w:p w14:paraId="12574FB2" w14:textId="4836427A" w:rsidR="00D44E9C" w:rsidRDefault="0042019B" w:rsidP="00544FA9">
      <w:pPr>
        <w:pStyle w:val="Heading1"/>
      </w:pPr>
      <w:bookmarkStart w:id="2" w:name="_Ref434486761"/>
      <w:bookmarkEnd w:id="0"/>
      <w:bookmarkEnd w:id="1"/>
      <w:r>
        <w:lastRenderedPageBreak/>
        <w:t xml:space="preserve">Format and </w:t>
      </w:r>
      <w:r w:rsidR="00D44E9C" w:rsidRPr="0006245C">
        <w:t>T</w:t>
      </w:r>
      <w:r w:rsidR="00A375AD" w:rsidRPr="0006245C">
        <w:t>opics</w:t>
      </w:r>
      <w:bookmarkEnd w:id="2"/>
    </w:p>
    <w:p w14:paraId="414AF2FF" w14:textId="55A03248" w:rsidR="0042019B" w:rsidRPr="0051350A" w:rsidRDefault="0042019B" w:rsidP="00DD0621">
      <w:pPr>
        <w:overflowPunct/>
        <w:autoSpaceDE/>
        <w:autoSpaceDN/>
        <w:adjustRightInd/>
        <w:spacing w:after="170" w:line="280" w:lineRule="atLeast"/>
        <w:jc w:val="both"/>
        <w:textAlignment w:val="auto"/>
        <w:rPr>
          <w:szCs w:val="22"/>
        </w:rPr>
      </w:pPr>
      <w:r w:rsidRPr="0051350A">
        <w:rPr>
          <w:szCs w:val="22"/>
        </w:rPr>
        <w:t xml:space="preserve">The conference will consist of an opening session with </w:t>
      </w:r>
      <w:r w:rsidR="00371269">
        <w:rPr>
          <w:szCs w:val="22"/>
        </w:rPr>
        <w:t xml:space="preserve">a </w:t>
      </w:r>
      <w:r w:rsidRPr="0051350A">
        <w:rPr>
          <w:szCs w:val="22"/>
        </w:rPr>
        <w:t>panel discussion, topical sessions with keynote addresses and oral contributions</w:t>
      </w:r>
      <w:r w:rsidR="00371269">
        <w:rPr>
          <w:szCs w:val="22"/>
        </w:rPr>
        <w:t>,</w:t>
      </w:r>
      <w:r w:rsidRPr="0051350A">
        <w:rPr>
          <w:szCs w:val="22"/>
        </w:rPr>
        <w:t xml:space="preserve"> and poster sessions. The conference will conclude with a panel session addressing key points from the week’s discussions for consideration by </w:t>
      </w:r>
      <w:r w:rsidR="00371269">
        <w:rPr>
          <w:szCs w:val="22"/>
        </w:rPr>
        <w:t xml:space="preserve">the </w:t>
      </w:r>
      <w:r w:rsidRPr="0051350A">
        <w:rPr>
          <w:szCs w:val="22"/>
        </w:rPr>
        <w:t>IAEA</w:t>
      </w:r>
      <w:r w:rsidR="00371269">
        <w:rPr>
          <w:szCs w:val="22"/>
        </w:rPr>
        <w:t xml:space="preserve"> Secretariat</w:t>
      </w:r>
      <w:r w:rsidRPr="0051350A">
        <w:rPr>
          <w:szCs w:val="22"/>
        </w:rPr>
        <w:t>.</w:t>
      </w:r>
    </w:p>
    <w:p w14:paraId="36127D10" w14:textId="4B3084EA" w:rsidR="0042019B" w:rsidRPr="0051350A" w:rsidRDefault="0042019B" w:rsidP="00DD0621">
      <w:pPr>
        <w:overflowPunct/>
        <w:autoSpaceDE/>
        <w:autoSpaceDN/>
        <w:adjustRightInd/>
        <w:spacing w:after="170" w:line="280" w:lineRule="atLeast"/>
        <w:jc w:val="both"/>
        <w:textAlignment w:val="auto"/>
        <w:rPr>
          <w:szCs w:val="22"/>
        </w:rPr>
      </w:pPr>
      <w:r w:rsidRPr="0051350A">
        <w:rPr>
          <w:szCs w:val="22"/>
        </w:rPr>
        <w:t xml:space="preserve">The topical sessions will </w:t>
      </w:r>
      <w:r w:rsidR="00371269">
        <w:rPr>
          <w:szCs w:val="22"/>
        </w:rPr>
        <w:t>be structured around the following main topics</w:t>
      </w:r>
      <w:r w:rsidRPr="0051350A">
        <w:rPr>
          <w:szCs w:val="22"/>
        </w:rPr>
        <w:t>:</w:t>
      </w:r>
    </w:p>
    <w:p w14:paraId="7E54AF18" w14:textId="77777777" w:rsidR="0042019B" w:rsidRPr="0051350A" w:rsidRDefault="0042019B" w:rsidP="00DD0621">
      <w:pPr>
        <w:numPr>
          <w:ilvl w:val="0"/>
          <w:numId w:val="23"/>
        </w:numPr>
        <w:overflowPunct/>
        <w:autoSpaceDE/>
        <w:autoSpaceDN/>
        <w:adjustRightInd/>
        <w:spacing w:after="170" w:line="280" w:lineRule="atLeast"/>
        <w:ind w:left="714" w:hanging="357"/>
        <w:jc w:val="both"/>
        <w:textAlignment w:val="auto"/>
        <w:rPr>
          <w:szCs w:val="22"/>
        </w:rPr>
      </w:pPr>
      <w:r w:rsidRPr="0051350A">
        <w:rPr>
          <w:szCs w:val="22"/>
        </w:rPr>
        <w:t>National Policy, Strategy and Framework for Radioactive Waste Management</w:t>
      </w:r>
    </w:p>
    <w:p w14:paraId="11CE1539" w14:textId="6D338FA4" w:rsidR="0042019B" w:rsidRPr="0051350A" w:rsidRDefault="0042019B" w:rsidP="00DD0621">
      <w:pPr>
        <w:numPr>
          <w:ilvl w:val="0"/>
          <w:numId w:val="23"/>
        </w:numPr>
        <w:overflowPunct/>
        <w:autoSpaceDE/>
        <w:autoSpaceDN/>
        <w:adjustRightInd/>
        <w:spacing w:after="170" w:line="280" w:lineRule="atLeast"/>
        <w:ind w:left="714" w:hanging="357"/>
        <w:jc w:val="both"/>
        <w:textAlignment w:val="auto"/>
        <w:rPr>
          <w:szCs w:val="22"/>
        </w:rPr>
      </w:pPr>
      <w:r w:rsidRPr="0051350A">
        <w:rPr>
          <w:szCs w:val="22"/>
        </w:rPr>
        <w:t xml:space="preserve">Predisposal </w:t>
      </w:r>
      <w:r w:rsidR="00371269">
        <w:rPr>
          <w:szCs w:val="22"/>
        </w:rPr>
        <w:t>—</w:t>
      </w:r>
      <w:r w:rsidR="00371269" w:rsidRPr="0051350A">
        <w:rPr>
          <w:szCs w:val="22"/>
        </w:rPr>
        <w:t xml:space="preserve"> </w:t>
      </w:r>
      <w:r w:rsidRPr="0051350A">
        <w:rPr>
          <w:szCs w:val="22"/>
        </w:rPr>
        <w:t>Waste processing</w:t>
      </w:r>
    </w:p>
    <w:p w14:paraId="2A10D598" w14:textId="0A0ABFE8" w:rsidR="0042019B" w:rsidRPr="0051350A" w:rsidRDefault="0042019B" w:rsidP="00DD0621">
      <w:pPr>
        <w:numPr>
          <w:ilvl w:val="0"/>
          <w:numId w:val="23"/>
        </w:numPr>
        <w:overflowPunct/>
        <w:autoSpaceDE/>
        <w:autoSpaceDN/>
        <w:adjustRightInd/>
        <w:spacing w:after="170" w:line="280" w:lineRule="atLeast"/>
        <w:ind w:left="714" w:hanging="357"/>
        <w:jc w:val="both"/>
        <w:textAlignment w:val="auto"/>
        <w:rPr>
          <w:szCs w:val="22"/>
        </w:rPr>
      </w:pPr>
      <w:r w:rsidRPr="0051350A">
        <w:rPr>
          <w:szCs w:val="22"/>
        </w:rPr>
        <w:t xml:space="preserve">Predisposal </w:t>
      </w:r>
      <w:r w:rsidR="00371269">
        <w:rPr>
          <w:szCs w:val="22"/>
        </w:rPr>
        <w:t>—</w:t>
      </w:r>
      <w:r w:rsidR="00371269" w:rsidRPr="0051350A">
        <w:rPr>
          <w:szCs w:val="22"/>
        </w:rPr>
        <w:t xml:space="preserve"> </w:t>
      </w:r>
      <w:r w:rsidRPr="0051350A">
        <w:rPr>
          <w:szCs w:val="22"/>
        </w:rPr>
        <w:t>Storage</w:t>
      </w:r>
    </w:p>
    <w:p w14:paraId="62DEF04C" w14:textId="5BD53B82" w:rsidR="0042019B" w:rsidRPr="0051350A" w:rsidRDefault="0042019B" w:rsidP="00DD0621">
      <w:pPr>
        <w:numPr>
          <w:ilvl w:val="0"/>
          <w:numId w:val="23"/>
        </w:numPr>
        <w:overflowPunct/>
        <w:autoSpaceDE/>
        <w:autoSpaceDN/>
        <w:adjustRightInd/>
        <w:spacing w:after="170" w:line="280" w:lineRule="atLeast"/>
        <w:ind w:left="714" w:hanging="357"/>
        <w:jc w:val="both"/>
        <w:textAlignment w:val="auto"/>
        <w:rPr>
          <w:szCs w:val="22"/>
        </w:rPr>
      </w:pPr>
      <w:r w:rsidRPr="0051350A">
        <w:rPr>
          <w:szCs w:val="22"/>
        </w:rPr>
        <w:t xml:space="preserve">Disposal of Very Low Level Waste </w:t>
      </w:r>
      <w:r w:rsidR="00371269">
        <w:rPr>
          <w:szCs w:val="22"/>
        </w:rPr>
        <w:t>and</w:t>
      </w:r>
      <w:r w:rsidRPr="0051350A">
        <w:rPr>
          <w:szCs w:val="22"/>
        </w:rPr>
        <w:t xml:space="preserve"> Low Level Waste</w:t>
      </w:r>
    </w:p>
    <w:p w14:paraId="16DCE2F3" w14:textId="4C284318" w:rsidR="00E6272D" w:rsidRDefault="0042019B" w:rsidP="00DD0621">
      <w:pPr>
        <w:numPr>
          <w:ilvl w:val="0"/>
          <w:numId w:val="23"/>
        </w:numPr>
        <w:overflowPunct/>
        <w:autoSpaceDE/>
        <w:autoSpaceDN/>
        <w:adjustRightInd/>
        <w:spacing w:after="170" w:line="280" w:lineRule="atLeast"/>
        <w:ind w:left="714" w:hanging="357"/>
        <w:jc w:val="both"/>
        <w:textAlignment w:val="auto"/>
        <w:rPr>
          <w:szCs w:val="22"/>
        </w:rPr>
      </w:pPr>
      <w:r w:rsidRPr="0051350A">
        <w:rPr>
          <w:szCs w:val="22"/>
        </w:rPr>
        <w:t>Disposal of Intermediate Level Waste</w:t>
      </w:r>
    </w:p>
    <w:p w14:paraId="1DB589C6" w14:textId="3FA2C955" w:rsidR="0042019B" w:rsidRPr="0051350A" w:rsidRDefault="00E6272D" w:rsidP="00DD0621">
      <w:pPr>
        <w:numPr>
          <w:ilvl w:val="0"/>
          <w:numId w:val="23"/>
        </w:numPr>
        <w:overflowPunct/>
        <w:autoSpaceDE/>
        <w:autoSpaceDN/>
        <w:adjustRightInd/>
        <w:spacing w:after="170" w:line="280" w:lineRule="atLeast"/>
        <w:ind w:left="714" w:hanging="357"/>
        <w:jc w:val="both"/>
        <w:textAlignment w:val="auto"/>
        <w:rPr>
          <w:szCs w:val="22"/>
        </w:rPr>
      </w:pPr>
      <w:r>
        <w:rPr>
          <w:szCs w:val="22"/>
        </w:rPr>
        <w:t xml:space="preserve">Disposal of </w:t>
      </w:r>
      <w:r w:rsidR="0042019B" w:rsidRPr="0051350A">
        <w:rPr>
          <w:szCs w:val="22"/>
        </w:rPr>
        <w:t>Disused Sealed Radioactive Sources</w:t>
      </w:r>
    </w:p>
    <w:p w14:paraId="58733590" w14:textId="60D0DF56" w:rsidR="0042019B" w:rsidRPr="0051350A" w:rsidRDefault="0042019B" w:rsidP="00DD0621">
      <w:pPr>
        <w:numPr>
          <w:ilvl w:val="0"/>
          <w:numId w:val="23"/>
        </w:numPr>
        <w:overflowPunct/>
        <w:autoSpaceDE/>
        <w:autoSpaceDN/>
        <w:adjustRightInd/>
        <w:spacing w:after="170" w:line="280" w:lineRule="atLeast"/>
        <w:ind w:left="714" w:hanging="357"/>
        <w:jc w:val="both"/>
        <w:textAlignment w:val="auto"/>
        <w:rPr>
          <w:szCs w:val="22"/>
        </w:rPr>
      </w:pPr>
      <w:r w:rsidRPr="0051350A">
        <w:rPr>
          <w:szCs w:val="22"/>
        </w:rPr>
        <w:t xml:space="preserve">Disposal of High Level Waste, </w:t>
      </w:r>
      <w:r w:rsidR="00371269">
        <w:rPr>
          <w:szCs w:val="22"/>
        </w:rPr>
        <w:t>I</w:t>
      </w:r>
      <w:r w:rsidRPr="0051350A">
        <w:rPr>
          <w:szCs w:val="22"/>
        </w:rPr>
        <w:t xml:space="preserve">ncluding Spent Nuclear Fuel </w:t>
      </w:r>
      <w:r w:rsidR="00371269">
        <w:rPr>
          <w:szCs w:val="22"/>
        </w:rPr>
        <w:t>D</w:t>
      </w:r>
      <w:r w:rsidRPr="0051350A">
        <w:rPr>
          <w:szCs w:val="22"/>
        </w:rPr>
        <w:t xml:space="preserve">eclared as </w:t>
      </w:r>
      <w:r w:rsidR="00371269">
        <w:rPr>
          <w:szCs w:val="22"/>
        </w:rPr>
        <w:t>W</w:t>
      </w:r>
      <w:r w:rsidRPr="0051350A">
        <w:rPr>
          <w:szCs w:val="22"/>
        </w:rPr>
        <w:t>aste</w:t>
      </w:r>
    </w:p>
    <w:p w14:paraId="56DABDD6" w14:textId="1BCED05F" w:rsidR="0042019B" w:rsidRPr="0051350A" w:rsidRDefault="0042019B" w:rsidP="00DD0621">
      <w:pPr>
        <w:numPr>
          <w:ilvl w:val="0"/>
          <w:numId w:val="23"/>
        </w:numPr>
        <w:overflowPunct/>
        <w:autoSpaceDE/>
        <w:autoSpaceDN/>
        <w:adjustRightInd/>
        <w:spacing w:after="170" w:line="280" w:lineRule="atLeast"/>
        <w:ind w:left="714" w:hanging="357"/>
        <w:jc w:val="both"/>
        <w:textAlignment w:val="auto"/>
        <w:rPr>
          <w:szCs w:val="22"/>
        </w:rPr>
      </w:pPr>
      <w:r w:rsidRPr="0051350A">
        <w:rPr>
          <w:szCs w:val="22"/>
        </w:rPr>
        <w:t>Post-</w:t>
      </w:r>
      <w:r w:rsidR="00371269">
        <w:rPr>
          <w:szCs w:val="22"/>
        </w:rPr>
        <w:t>A</w:t>
      </w:r>
      <w:r w:rsidRPr="0051350A">
        <w:rPr>
          <w:szCs w:val="22"/>
        </w:rPr>
        <w:t xml:space="preserve">ccident Waste Management: Lessons </w:t>
      </w:r>
      <w:r w:rsidR="00371269">
        <w:rPr>
          <w:szCs w:val="22"/>
        </w:rPr>
        <w:t>L</w:t>
      </w:r>
      <w:r w:rsidRPr="0051350A">
        <w:rPr>
          <w:szCs w:val="22"/>
        </w:rPr>
        <w:t xml:space="preserve">earned and </w:t>
      </w:r>
      <w:r w:rsidR="00371269">
        <w:rPr>
          <w:szCs w:val="22"/>
        </w:rPr>
        <w:t>P</w:t>
      </w:r>
      <w:r w:rsidRPr="0051350A">
        <w:rPr>
          <w:szCs w:val="22"/>
        </w:rPr>
        <w:t>reparedness</w:t>
      </w:r>
    </w:p>
    <w:p w14:paraId="59D9F010" w14:textId="77777777" w:rsidR="0042019B" w:rsidRPr="0051350A" w:rsidRDefault="0042019B" w:rsidP="00344BBC">
      <w:pPr>
        <w:overflowPunct/>
        <w:autoSpaceDE/>
        <w:autoSpaceDN/>
        <w:adjustRightInd/>
        <w:spacing w:before="480" w:after="170" w:line="280" w:lineRule="atLeast"/>
        <w:jc w:val="both"/>
        <w:textAlignment w:val="auto"/>
        <w:rPr>
          <w:b/>
          <w:szCs w:val="22"/>
        </w:rPr>
      </w:pPr>
      <w:r w:rsidRPr="0051350A">
        <w:rPr>
          <w:b/>
          <w:szCs w:val="22"/>
        </w:rPr>
        <w:t>National Policy, Strategy and Framework for Radioactive Waste Management</w:t>
      </w:r>
    </w:p>
    <w:p w14:paraId="18DB871B" w14:textId="30B967F1" w:rsidR="0042019B" w:rsidRDefault="0042019B" w:rsidP="00FA22E7">
      <w:p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 xml:space="preserve">All Member States should have a clear framework setting out roles and responsibilities for the </w:t>
      </w:r>
      <w:r w:rsidR="00124166">
        <w:rPr>
          <w:rFonts w:eastAsiaTheme="minorHAnsi"/>
          <w:szCs w:val="22"/>
        </w:rPr>
        <w:t>various</w:t>
      </w:r>
      <w:r w:rsidR="00124166" w:rsidRPr="0051350A">
        <w:rPr>
          <w:rFonts w:eastAsiaTheme="minorHAnsi"/>
          <w:szCs w:val="22"/>
        </w:rPr>
        <w:t xml:space="preserve"> </w:t>
      </w:r>
      <w:r w:rsidRPr="0051350A">
        <w:rPr>
          <w:rFonts w:eastAsiaTheme="minorHAnsi"/>
          <w:szCs w:val="22"/>
        </w:rPr>
        <w:t xml:space="preserve">interested parties </w:t>
      </w:r>
      <w:r w:rsidR="00371269">
        <w:rPr>
          <w:rFonts w:eastAsiaTheme="minorHAnsi"/>
          <w:szCs w:val="22"/>
        </w:rPr>
        <w:t>so that they can</w:t>
      </w:r>
      <w:r w:rsidRPr="0051350A">
        <w:rPr>
          <w:rFonts w:eastAsiaTheme="minorHAnsi"/>
          <w:szCs w:val="22"/>
        </w:rPr>
        <w:t xml:space="preserve"> successfully develop, license and implement safe radioactive waste facilities and activities. Experience shows that it is beneficial to have engagement by the regulator during all stages including during the pre-licensing stage: this must be achieved without losing credibility and independence.</w:t>
      </w:r>
    </w:p>
    <w:p w14:paraId="41070699" w14:textId="4594FDD0" w:rsidR="002C11A0" w:rsidRPr="00344BBC" w:rsidRDefault="002C11A0" w:rsidP="00FA22E7">
      <w:pPr>
        <w:overflowPunct/>
        <w:autoSpaceDE/>
        <w:autoSpaceDN/>
        <w:adjustRightInd/>
        <w:spacing w:after="170" w:line="280" w:lineRule="atLeast"/>
        <w:jc w:val="both"/>
        <w:textAlignment w:val="auto"/>
        <w:rPr>
          <w:rFonts w:eastAsiaTheme="minorHAnsi"/>
          <w:szCs w:val="22"/>
        </w:rPr>
      </w:pPr>
      <w:r>
        <w:rPr>
          <w:rFonts w:eastAsiaTheme="minorHAnsi"/>
          <w:szCs w:val="22"/>
        </w:rPr>
        <w:t>The session will address the following points:</w:t>
      </w:r>
    </w:p>
    <w:p w14:paraId="38DAE2DD" w14:textId="77777777" w:rsidR="0042019B" w:rsidRPr="0051350A" w:rsidRDefault="0042019B" w:rsidP="00344BBC">
      <w:pPr>
        <w:numPr>
          <w:ilvl w:val="0"/>
          <w:numId w:val="22"/>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National framework, policy and strategy</w:t>
      </w:r>
    </w:p>
    <w:p w14:paraId="403DF9C6" w14:textId="14301A1E" w:rsidR="0042019B" w:rsidRPr="0051350A" w:rsidRDefault="0042019B" w:rsidP="000D754F">
      <w:pPr>
        <w:numPr>
          <w:ilvl w:val="0"/>
          <w:numId w:val="22"/>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Role</w:t>
      </w:r>
      <w:r w:rsidR="00124166">
        <w:rPr>
          <w:rFonts w:eastAsiaTheme="minorHAnsi"/>
          <w:szCs w:val="22"/>
        </w:rPr>
        <w:t>s</w:t>
      </w:r>
      <w:r w:rsidRPr="0051350A">
        <w:rPr>
          <w:rFonts w:eastAsiaTheme="minorHAnsi"/>
          <w:szCs w:val="22"/>
        </w:rPr>
        <w:t xml:space="preserve"> </w:t>
      </w:r>
      <w:r w:rsidR="00124166">
        <w:rPr>
          <w:rFonts w:eastAsiaTheme="minorHAnsi"/>
          <w:szCs w:val="22"/>
        </w:rPr>
        <w:t>and</w:t>
      </w:r>
      <w:r w:rsidRPr="0051350A">
        <w:rPr>
          <w:rFonts w:eastAsiaTheme="minorHAnsi"/>
          <w:szCs w:val="22"/>
        </w:rPr>
        <w:t xml:space="preserve"> </w:t>
      </w:r>
      <w:r w:rsidR="00124166">
        <w:rPr>
          <w:rFonts w:eastAsiaTheme="minorHAnsi"/>
          <w:szCs w:val="22"/>
        </w:rPr>
        <w:t>r</w:t>
      </w:r>
      <w:r w:rsidRPr="0051350A">
        <w:rPr>
          <w:rFonts w:eastAsiaTheme="minorHAnsi"/>
          <w:szCs w:val="22"/>
        </w:rPr>
        <w:t xml:space="preserve">esponsibilities of the </w:t>
      </w:r>
      <w:r w:rsidR="00124166">
        <w:rPr>
          <w:rFonts w:eastAsiaTheme="minorHAnsi"/>
          <w:szCs w:val="22"/>
        </w:rPr>
        <w:t>various</w:t>
      </w:r>
      <w:r w:rsidR="00124166" w:rsidRPr="0051350A">
        <w:rPr>
          <w:rFonts w:eastAsiaTheme="minorHAnsi"/>
          <w:szCs w:val="22"/>
        </w:rPr>
        <w:t xml:space="preserve"> </w:t>
      </w:r>
      <w:r w:rsidRPr="0051350A">
        <w:rPr>
          <w:rFonts w:eastAsiaTheme="minorHAnsi"/>
          <w:szCs w:val="22"/>
        </w:rPr>
        <w:t>interested parties in the different steps of radioactive waste management (e.g. regulator, operator, civil society</w:t>
      </w:r>
      <w:r w:rsidR="00124166">
        <w:rPr>
          <w:rFonts w:eastAsiaTheme="minorHAnsi"/>
          <w:szCs w:val="22"/>
        </w:rPr>
        <w:t>, etc.</w:t>
      </w:r>
      <w:r w:rsidRPr="0051350A">
        <w:rPr>
          <w:rFonts w:eastAsiaTheme="minorHAnsi"/>
          <w:szCs w:val="22"/>
        </w:rPr>
        <w:t>)</w:t>
      </w:r>
    </w:p>
    <w:p w14:paraId="24A3F154" w14:textId="3630F7C2" w:rsidR="0042019B" w:rsidRPr="00344BBC" w:rsidRDefault="0042019B" w:rsidP="000D754F">
      <w:pPr>
        <w:numPr>
          <w:ilvl w:val="0"/>
          <w:numId w:val="22"/>
        </w:numPr>
        <w:overflowPunct/>
        <w:autoSpaceDE/>
        <w:autoSpaceDN/>
        <w:adjustRightInd/>
        <w:spacing w:after="170" w:line="280" w:lineRule="atLeast"/>
        <w:jc w:val="both"/>
        <w:textAlignment w:val="auto"/>
        <w:rPr>
          <w:rFonts w:eastAsiaTheme="minorHAnsi"/>
          <w:szCs w:val="22"/>
        </w:rPr>
      </w:pPr>
      <w:r w:rsidRPr="00344BBC">
        <w:rPr>
          <w:rFonts w:eastAsiaTheme="minorHAnsi"/>
          <w:szCs w:val="22"/>
        </w:rPr>
        <w:t xml:space="preserve">Confidence building in </w:t>
      </w:r>
      <w:r w:rsidR="00124166" w:rsidRPr="00344BBC">
        <w:rPr>
          <w:rFonts w:eastAsiaTheme="minorHAnsi"/>
          <w:szCs w:val="22"/>
        </w:rPr>
        <w:t xml:space="preserve">the </w:t>
      </w:r>
      <w:r w:rsidRPr="00344BBC">
        <w:rPr>
          <w:rFonts w:eastAsiaTheme="minorHAnsi"/>
          <w:szCs w:val="22"/>
        </w:rPr>
        <w:t>decision</w:t>
      </w:r>
      <w:r w:rsidR="00124166" w:rsidRPr="00344BBC">
        <w:rPr>
          <w:rFonts w:eastAsiaTheme="minorHAnsi"/>
          <w:szCs w:val="22"/>
        </w:rPr>
        <w:t>-</w:t>
      </w:r>
      <w:r w:rsidRPr="00344BBC">
        <w:rPr>
          <w:rFonts w:eastAsiaTheme="minorHAnsi"/>
          <w:szCs w:val="22"/>
        </w:rPr>
        <w:t>making process and science and technology</w:t>
      </w:r>
    </w:p>
    <w:p w14:paraId="406DF989" w14:textId="42B51C9E" w:rsidR="0042019B" w:rsidRPr="0051350A" w:rsidRDefault="0042019B" w:rsidP="000D754F">
      <w:pPr>
        <w:numPr>
          <w:ilvl w:val="0"/>
          <w:numId w:val="22"/>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 xml:space="preserve">Interactions/relations between </w:t>
      </w:r>
      <w:r w:rsidR="00124166">
        <w:rPr>
          <w:rFonts w:eastAsiaTheme="minorHAnsi"/>
          <w:szCs w:val="22"/>
        </w:rPr>
        <w:t>the r</w:t>
      </w:r>
      <w:r w:rsidRPr="0051350A">
        <w:rPr>
          <w:rFonts w:eastAsiaTheme="minorHAnsi"/>
          <w:szCs w:val="22"/>
        </w:rPr>
        <w:t xml:space="preserve">egulator and </w:t>
      </w:r>
      <w:r w:rsidR="00124166">
        <w:rPr>
          <w:rFonts w:eastAsiaTheme="minorHAnsi"/>
          <w:szCs w:val="22"/>
        </w:rPr>
        <w:t>o</w:t>
      </w:r>
      <w:r w:rsidRPr="0051350A">
        <w:rPr>
          <w:rFonts w:eastAsiaTheme="minorHAnsi"/>
          <w:szCs w:val="22"/>
        </w:rPr>
        <w:t xml:space="preserve">perator during the pre-licensing </w:t>
      </w:r>
      <w:r w:rsidR="00124166">
        <w:rPr>
          <w:rFonts w:eastAsiaTheme="minorHAnsi"/>
          <w:szCs w:val="22"/>
        </w:rPr>
        <w:t>and</w:t>
      </w:r>
      <w:r w:rsidRPr="0051350A">
        <w:rPr>
          <w:rFonts w:eastAsiaTheme="minorHAnsi"/>
          <w:szCs w:val="22"/>
        </w:rPr>
        <w:t xml:space="preserve"> licensing process</w:t>
      </w:r>
      <w:r w:rsidR="00124166">
        <w:rPr>
          <w:rFonts w:eastAsiaTheme="minorHAnsi"/>
          <w:szCs w:val="22"/>
        </w:rPr>
        <w:t>es</w:t>
      </w:r>
    </w:p>
    <w:p w14:paraId="560AC453" w14:textId="36004EA9" w:rsidR="0042019B" w:rsidRPr="0051350A" w:rsidRDefault="0042019B" w:rsidP="000D754F">
      <w:pPr>
        <w:numPr>
          <w:ilvl w:val="0"/>
          <w:numId w:val="22"/>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National approaches for building competenc</w:t>
      </w:r>
      <w:r w:rsidR="00124166">
        <w:rPr>
          <w:rFonts w:eastAsiaTheme="minorHAnsi"/>
          <w:szCs w:val="22"/>
        </w:rPr>
        <w:t>i</w:t>
      </w:r>
      <w:r w:rsidRPr="0051350A">
        <w:rPr>
          <w:rFonts w:eastAsiaTheme="minorHAnsi"/>
          <w:szCs w:val="22"/>
        </w:rPr>
        <w:t>es for radioactive waste management (incl</w:t>
      </w:r>
      <w:r w:rsidR="00124166">
        <w:rPr>
          <w:rFonts w:eastAsiaTheme="minorHAnsi"/>
          <w:szCs w:val="22"/>
        </w:rPr>
        <w:t>uding</w:t>
      </w:r>
      <w:r w:rsidRPr="0051350A">
        <w:rPr>
          <w:rFonts w:eastAsiaTheme="minorHAnsi"/>
          <w:szCs w:val="22"/>
        </w:rPr>
        <w:t xml:space="preserve"> </w:t>
      </w:r>
      <w:r w:rsidR="00124166">
        <w:rPr>
          <w:rFonts w:eastAsiaTheme="minorHAnsi"/>
          <w:szCs w:val="22"/>
        </w:rPr>
        <w:t>the human resources</w:t>
      </w:r>
      <w:r w:rsidR="00124166" w:rsidRPr="0051350A">
        <w:rPr>
          <w:rFonts w:eastAsiaTheme="minorHAnsi"/>
          <w:szCs w:val="22"/>
        </w:rPr>
        <w:t xml:space="preserve"> </w:t>
      </w:r>
      <w:r w:rsidRPr="0051350A">
        <w:rPr>
          <w:rFonts w:eastAsiaTheme="minorHAnsi"/>
          <w:szCs w:val="22"/>
        </w:rPr>
        <w:t>component</w:t>
      </w:r>
      <w:r w:rsidR="00124166">
        <w:rPr>
          <w:rFonts w:eastAsiaTheme="minorHAnsi"/>
          <w:szCs w:val="22"/>
        </w:rPr>
        <w:t xml:space="preserve"> and</w:t>
      </w:r>
      <w:r w:rsidRPr="0051350A">
        <w:rPr>
          <w:rFonts w:eastAsiaTheme="minorHAnsi"/>
          <w:szCs w:val="22"/>
        </w:rPr>
        <w:t xml:space="preserve"> </w:t>
      </w:r>
      <w:r w:rsidR="00124166">
        <w:rPr>
          <w:rFonts w:eastAsiaTheme="minorHAnsi"/>
          <w:szCs w:val="22"/>
        </w:rPr>
        <w:t>k</w:t>
      </w:r>
      <w:r w:rsidRPr="0051350A">
        <w:rPr>
          <w:rFonts w:eastAsiaTheme="minorHAnsi"/>
          <w:szCs w:val="22"/>
        </w:rPr>
        <w:t>nowledge transfer)</w:t>
      </w:r>
    </w:p>
    <w:p w14:paraId="761A8FE5" w14:textId="101711DC" w:rsidR="0042019B" w:rsidRPr="0051350A" w:rsidRDefault="0042019B" w:rsidP="000D754F">
      <w:pPr>
        <w:numPr>
          <w:ilvl w:val="0"/>
          <w:numId w:val="22"/>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 xml:space="preserve">Role of </w:t>
      </w:r>
      <w:r w:rsidR="00124166">
        <w:rPr>
          <w:rFonts w:eastAsiaTheme="minorHAnsi"/>
          <w:szCs w:val="22"/>
        </w:rPr>
        <w:t>i</w:t>
      </w:r>
      <w:r w:rsidRPr="0051350A">
        <w:rPr>
          <w:rFonts w:eastAsiaTheme="minorHAnsi"/>
          <w:szCs w:val="22"/>
        </w:rPr>
        <w:t xml:space="preserve">nternational </w:t>
      </w:r>
      <w:r w:rsidR="00124166">
        <w:rPr>
          <w:rFonts w:eastAsiaTheme="minorHAnsi"/>
          <w:szCs w:val="22"/>
        </w:rPr>
        <w:t>c</w:t>
      </w:r>
      <w:r w:rsidRPr="0051350A">
        <w:rPr>
          <w:rFonts w:eastAsiaTheme="minorHAnsi"/>
          <w:szCs w:val="22"/>
        </w:rPr>
        <w:t xml:space="preserve">ooperation </w:t>
      </w:r>
      <w:r w:rsidR="00124166">
        <w:rPr>
          <w:rFonts w:eastAsiaTheme="minorHAnsi"/>
          <w:szCs w:val="22"/>
        </w:rPr>
        <w:t>in</w:t>
      </w:r>
      <w:r w:rsidR="00124166" w:rsidRPr="0051350A">
        <w:rPr>
          <w:rFonts w:eastAsiaTheme="minorHAnsi"/>
          <w:szCs w:val="22"/>
        </w:rPr>
        <w:t xml:space="preserve"> </w:t>
      </w:r>
      <w:r w:rsidRPr="0051350A">
        <w:rPr>
          <w:rFonts w:eastAsiaTheme="minorHAnsi"/>
          <w:szCs w:val="22"/>
        </w:rPr>
        <w:t xml:space="preserve">national </w:t>
      </w:r>
      <w:r w:rsidR="00124166">
        <w:rPr>
          <w:rFonts w:eastAsiaTheme="minorHAnsi"/>
          <w:szCs w:val="22"/>
        </w:rPr>
        <w:t>radioactive waste management</w:t>
      </w:r>
      <w:r w:rsidR="00124166" w:rsidRPr="0051350A">
        <w:rPr>
          <w:rFonts w:eastAsiaTheme="minorHAnsi"/>
          <w:szCs w:val="22"/>
        </w:rPr>
        <w:t xml:space="preserve"> </w:t>
      </w:r>
      <w:r w:rsidRPr="0051350A">
        <w:rPr>
          <w:rFonts w:eastAsiaTheme="minorHAnsi"/>
          <w:szCs w:val="22"/>
        </w:rPr>
        <w:t>programmes:</w:t>
      </w:r>
    </w:p>
    <w:p w14:paraId="740F4C09" w14:textId="6014DB05" w:rsidR="0042019B" w:rsidRPr="0051350A" w:rsidRDefault="0042019B" w:rsidP="000D754F">
      <w:pPr>
        <w:numPr>
          <w:ilvl w:val="1"/>
          <w:numId w:val="22"/>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 xml:space="preserve">International collaborative </w:t>
      </w:r>
      <w:r w:rsidR="00124166">
        <w:rPr>
          <w:rFonts w:eastAsiaTheme="minorHAnsi"/>
          <w:szCs w:val="22"/>
        </w:rPr>
        <w:t>research and development</w:t>
      </w:r>
    </w:p>
    <w:p w14:paraId="09E4DB40" w14:textId="77777777" w:rsidR="0042019B" w:rsidRPr="0051350A" w:rsidRDefault="0042019B" w:rsidP="000D754F">
      <w:pPr>
        <w:numPr>
          <w:ilvl w:val="1"/>
          <w:numId w:val="22"/>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International guidance and legal instruments</w:t>
      </w:r>
    </w:p>
    <w:p w14:paraId="2BBBE1F8" w14:textId="2FB03D22" w:rsidR="0042019B" w:rsidRPr="0051350A" w:rsidRDefault="0042019B" w:rsidP="000D754F">
      <w:pPr>
        <w:numPr>
          <w:ilvl w:val="1"/>
          <w:numId w:val="22"/>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 xml:space="preserve">Roles and timing of </w:t>
      </w:r>
      <w:r w:rsidR="00124166">
        <w:rPr>
          <w:rFonts w:eastAsiaTheme="minorHAnsi"/>
          <w:szCs w:val="22"/>
        </w:rPr>
        <w:t>p</w:t>
      </w:r>
      <w:r w:rsidRPr="0051350A">
        <w:rPr>
          <w:rFonts w:eastAsiaTheme="minorHAnsi"/>
          <w:szCs w:val="22"/>
        </w:rPr>
        <w:t xml:space="preserve">eer </w:t>
      </w:r>
      <w:r w:rsidR="00124166">
        <w:rPr>
          <w:rFonts w:eastAsiaTheme="minorHAnsi"/>
          <w:szCs w:val="22"/>
        </w:rPr>
        <w:t>r</w:t>
      </w:r>
      <w:r w:rsidRPr="0051350A">
        <w:rPr>
          <w:rFonts w:eastAsiaTheme="minorHAnsi"/>
          <w:szCs w:val="22"/>
        </w:rPr>
        <w:t>eviews</w:t>
      </w:r>
    </w:p>
    <w:p w14:paraId="61D8B804" w14:textId="77777777" w:rsidR="0042019B" w:rsidRPr="0051350A" w:rsidRDefault="0042019B" w:rsidP="000D754F">
      <w:pPr>
        <w:numPr>
          <w:ilvl w:val="0"/>
          <w:numId w:val="22"/>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lastRenderedPageBreak/>
        <w:t>National approaches for the handling of radiological and non-radiological requirements</w:t>
      </w:r>
    </w:p>
    <w:p w14:paraId="521851E3" w14:textId="77777777" w:rsidR="0042019B" w:rsidRPr="0051350A" w:rsidRDefault="0042019B" w:rsidP="000D754F">
      <w:pPr>
        <w:numPr>
          <w:ilvl w:val="0"/>
          <w:numId w:val="22"/>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Interface of safety, security and safeguards within radioactive waste management</w:t>
      </w:r>
    </w:p>
    <w:p w14:paraId="0A0A428A" w14:textId="77777777" w:rsidR="0042019B" w:rsidRPr="0051350A" w:rsidRDefault="0042019B" w:rsidP="000D754F">
      <w:pPr>
        <w:numPr>
          <w:ilvl w:val="0"/>
          <w:numId w:val="22"/>
        </w:numPr>
        <w:overflowPunct/>
        <w:autoSpaceDE/>
        <w:autoSpaceDN/>
        <w:adjustRightInd/>
        <w:spacing w:after="170" w:line="280" w:lineRule="atLeast"/>
        <w:jc w:val="both"/>
        <w:textAlignment w:val="auto"/>
        <w:rPr>
          <w:szCs w:val="22"/>
        </w:rPr>
      </w:pPr>
      <w:r w:rsidRPr="0051350A">
        <w:rPr>
          <w:rFonts w:eastAsiaTheme="minorHAnsi"/>
          <w:szCs w:val="22"/>
        </w:rPr>
        <w:t>Funding mechanisms for radioactive waste management programmes</w:t>
      </w:r>
    </w:p>
    <w:p w14:paraId="2085DDE9" w14:textId="78B77DA5" w:rsidR="0042019B" w:rsidRPr="0051350A" w:rsidRDefault="0042019B" w:rsidP="00EC372A">
      <w:pPr>
        <w:overflowPunct/>
        <w:autoSpaceDE/>
        <w:autoSpaceDN/>
        <w:adjustRightInd/>
        <w:spacing w:before="480" w:after="170" w:line="280" w:lineRule="atLeast"/>
        <w:jc w:val="both"/>
        <w:textAlignment w:val="auto"/>
        <w:rPr>
          <w:b/>
          <w:szCs w:val="22"/>
        </w:rPr>
      </w:pPr>
      <w:r w:rsidRPr="0051350A">
        <w:rPr>
          <w:b/>
          <w:szCs w:val="22"/>
        </w:rPr>
        <w:t xml:space="preserve">Predisposal </w:t>
      </w:r>
      <w:r w:rsidR="00371269">
        <w:rPr>
          <w:b/>
          <w:szCs w:val="22"/>
        </w:rPr>
        <w:t>—</w:t>
      </w:r>
      <w:r w:rsidR="00371269" w:rsidRPr="0051350A">
        <w:rPr>
          <w:b/>
          <w:szCs w:val="22"/>
        </w:rPr>
        <w:t xml:space="preserve"> </w:t>
      </w:r>
      <w:r w:rsidRPr="0051350A">
        <w:rPr>
          <w:b/>
          <w:szCs w:val="22"/>
        </w:rPr>
        <w:t>Waste Processing</w:t>
      </w:r>
    </w:p>
    <w:p w14:paraId="4A9EFC66" w14:textId="53D567DC" w:rsidR="0042019B" w:rsidRDefault="0042019B" w:rsidP="00EC372A">
      <w:pPr>
        <w:overflowPunct/>
        <w:autoSpaceDE/>
        <w:autoSpaceDN/>
        <w:adjustRightInd/>
        <w:spacing w:after="200" w:line="276" w:lineRule="auto"/>
        <w:textAlignment w:val="auto"/>
        <w:rPr>
          <w:rFonts w:eastAsiaTheme="minorHAnsi"/>
          <w:szCs w:val="22"/>
        </w:rPr>
      </w:pPr>
      <w:r w:rsidRPr="0051350A">
        <w:rPr>
          <w:rFonts w:eastAsiaTheme="minorHAnsi"/>
          <w:szCs w:val="22"/>
        </w:rPr>
        <w:t>For most radioactive waste types, including disused sealed radioactive sources, there is already proven technology available for treatment and conditioning. In all cases the selected technology should take account of the safety case for storage and</w:t>
      </w:r>
      <w:r w:rsidR="009D43BF">
        <w:rPr>
          <w:rFonts w:eastAsiaTheme="minorHAnsi"/>
          <w:szCs w:val="22"/>
        </w:rPr>
        <w:t>,</w:t>
      </w:r>
      <w:r w:rsidRPr="0051350A">
        <w:rPr>
          <w:rFonts w:eastAsiaTheme="minorHAnsi"/>
          <w:szCs w:val="22"/>
        </w:rPr>
        <w:t xml:space="preserve"> where possible</w:t>
      </w:r>
      <w:r w:rsidR="009D43BF">
        <w:rPr>
          <w:rFonts w:eastAsiaTheme="minorHAnsi"/>
          <w:szCs w:val="22"/>
        </w:rPr>
        <w:t>,</w:t>
      </w:r>
      <w:r w:rsidRPr="0051350A">
        <w:rPr>
          <w:rFonts w:eastAsiaTheme="minorHAnsi"/>
          <w:szCs w:val="22"/>
        </w:rPr>
        <w:t xml:space="preserve"> with planned future stages of waste management (e.g. disposal). In cases where the final end</w:t>
      </w:r>
      <w:r w:rsidR="00124166">
        <w:rPr>
          <w:rFonts w:eastAsiaTheme="minorHAnsi"/>
          <w:szCs w:val="22"/>
        </w:rPr>
        <w:t xml:space="preserve"> </w:t>
      </w:r>
      <w:r w:rsidRPr="0051350A">
        <w:rPr>
          <w:rFonts w:eastAsiaTheme="minorHAnsi"/>
          <w:szCs w:val="22"/>
        </w:rPr>
        <w:t>point is not defined, treatment and conditioning should be in line with an assumed disposal end-point.</w:t>
      </w:r>
    </w:p>
    <w:p w14:paraId="3A21781F" w14:textId="77777777" w:rsidR="00603762" w:rsidRPr="00344BBC" w:rsidRDefault="00603762" w:rsidP="00603762">
      <w:pPr>
        <w:overflowPunct/>
        <w:autoSpaceDE/>
        <w:autoSpaceDN/>
        <w:adjustRightInd/>
        <w:spacing w:after="170" w:line="280" w:lineRule="atLeast"/>
        <w:jc w:val="both"/>
        <w:textAlignment w:val="auto"/>
        <w:rPr>
          <w:rFonts w:eastAsiaTheme="minorHAnsi"/>
          <w:szCs w:val="22"/>
        </w:rPr>
      </w:pPr>
      <w:r>
        <w:rPr>
          <w:rFonts w:eastAsiaTheme="minorHAnsi"/>
          <w:szCs w:val="22"/>
        </w:rPr>
        <w:t>The session will address the following points:</w:t>
      </w:r>
    </w:p>
    <w:p w14:paraId="5045BD34" w14:textId="1341B3B2" w:rsidR="0042019B" w:rsidRPr="0051350A" w:rsidRDefault="0042019B" w:rsidP="00AD4891">
      <w:pPr>
        <w:numPr>
          <w:ilvl w:val="0"/>
          <w:numId w:val="20"/>
        </w:numPr>
        <w:overflowPunct/>
        <w:autoSpaceDE/>
        <w:autoSpaceDN/>
        <w:adjustRightInd/>
        <w:spacing w:after="200" w:line="276" w:lineRule="auto"/>
        <w:contextualSpacing/>
        <w:jc w:val="both"/>
        <w:textAlignment w:val="auto"/>
        <w:rPr>
          <w:rFonts w:eastAsiaTheme="minorHAnsi"/>
          <w:szCs w:val="22"/>
        </w:rPr>
      </w:pPr>
      <w:r w:rsidRPr="0051350A">
        <w:rPr>
          <w:rFonts w:eastAsiaTheme="minorHAnsi"/>
          <w:szCs w:val="22"/>
        </w:rPr>
        <w:t xml:space="preserve">Good practices </w:t>
      </w:r>
      <w:r w:rsidR="00871105">
        <w:rPr>
          <w:rFonts w:eastAsiaTheme="minorHAnsi"/>
          <w:szCs w:val="22"/>
        </w:rPr>
        <w:t>—</w:t>
      </w:r>
      <w:r w:rsidR="00871105" w:rsidRPr="0051350A">
        <w:rPr>
          <w:rFonts w:eastAsiaTheme="minorHAnsi"/>
          <w:szCs w:val="22"/>
        </w:rPr>
        <w:t xml:space="preserve"> </w:t>
      </w:r>
      <w:r w:rsidR="00EC372A">
        <w:rPr>
          <w:rFonts w:eastAsiaTheme="minorHAnsi"/>
          <w:szCs w:val="22"/>
        </w:rPr>
        <w:t xml:space="preserve">e.g. in </w:t>
      </w:r>
      <w:r w:rsidRPr="0051350A">
        <w:rPr>
          <w:rFonts w:eastAsiaTheme="minorHAnsi"/>
          <w:szCs w:val="22"/>
        </w:rPr>
        <w:t>minimization; segregation; characterization; classification; conditioning</w:t>
      </w:r>
    </w:p>
    <w:p w14:paraId="1E78602A" w14:textId="7E6DB576" w:rsidR="0042019B" w:rsidRPr="0051350A" w:rsidRDefault="0042019B" w:rsidP="00AD4891">
      <w:pPr>
        <w:numPr>
          <w:ilvl w:val="0"/>
          <w:numId w:val="20"/>
        </w:numPr>
        <w:overflowPunct/>
        <w:autoSpaceDE/>
        <w:autoSpaceDN/>
        <w:adjustRightInd/>
        <w:spacing w:after="200" w:line="276" w:lineRule="auto"/>
        <w:contextualSpacing/>
        <w:jc w:val="both"/>
        <w:textAlignment w:val="auto"/>
        <w:rPr>
          <w:rFonts w:eastAsiaTheme="minorHAnsi"/>
          <w:szCs w:val="22"/>
        </w:rPr>
      </w:pPr>
      <w:r w:rsidRPr="0051350A">
        <w:rPr>
          <w:rFonts w:eastAsiaTheme="minorHAnsi"/>
          <w:szCs w:val="22"/>
        </w:rPr>
        <w:t xml:space="preserve">Innovative technologies </w:t>
      </w:r>
      <w:r w:rsidR="00871105">
        <w:rPr>
          <w:rFonts w:eastAsiaTheme="minorHAnsi"/>
          <w:szCs w:val="22"/>
        </w:rPr>
        <w:t>—</w:t>
      </w:r>
      <w:r w:rsidR="00871105" w:rsidRPr="0051350A">
        <w:rPr>
          <w:rFonts w:eastAsiaTheme="minorHAnsi"/>
          <w:szCs w:val="22"/>
        </w:rPr>
        <w:t xml:space="preserve"> </w:t>
      </w:r>
      <w:r w:rsidR="00EC372A">
        <w:rPr>
          <w:rFonts w:eastAsiaTheme="minorHAnsi"/>
          <w:szCs w:val="22"/>
        </w:rPr>
        <w:t xml:space="preserve">e.g. </w:t>
      </w:r>
      <w:r w:rsidR="00A405E8">
        <w:rPr>
          <w:rFonts w:eastAsiaTheme="minorHAnsi"/>
          <w:szCs w:val="22"/>
        </w:rPr>
        <w:t>for</w:t>
      </w:r>
      <w:r w:rsidR="00A405E8" w:rsidRPr="0051350A">
        <w:rPr>
          <w:rFonts w:eastAsiaTheme="minorHAnsi"/>
          <w:szCs w:val="22"/>
        </w:rPr>
        <w:t xml:space="preserve"> </w:t>
      </w:r>
      <w:r w:rsidRPr="0051350A">
        <w:rPr>
          <w:rFonts w:eastAsiaTheme="minorHAnsi"/>
          <w:szCs w:val="22"/>
        </w:rPr>
        <w:t>conditioning</w:t>
      </w:r>
      <w:r w:rsidR="00A405E8">
        <w:rPr>
          <w:rFonts w:eastAsiaTheme="minorHAnsi"/>
          <w:szCs w:val="22"/>
        </w:rPr>
        <w:t xml:space="preserve"> </w:t>
      </w:r>
      <w:r w:rsidR="00871105">
        <w:rPr>
          <w:rFonts w:eastAsiaTheme="minorHAnsi"/>
          <w:szCs w:val="22"/>
        </w:rPr>
        <w:t>and</w:t>
      </w:r>
      <w:r w:rsidRPr="0051350A">
        <w:rPr>
          <w:rFonts w:eastAsiaTheme="minorHAnsi"/>
          <w:szCs w:val="22"/>
        </w:rPr>
        <w:t xml:space="preserve"> characteri</w:t>
      </w:r>
      <w:r w:rsidR="00A405E8">
        <w:rPr>
          <w:rFonts w:eastAsiaTheme="minorHAnsi"/>
          <w:szCs w:val="22"/>
        </w:rPr>
        <w:t>z</w:t>
      </w:r>
      <w:r w:rsidRPr="0051350A">
        <w:rPr>
          <w:rFonts w:eastAsiaTheme="minorHAnsi"/>
          <w:szCs w:val="22"/>
        </w:rPr>
        <w:t>ation</w:t>
      </w:r>
    </w:p>
    <w:p w14:paraId="0B0DF0CB" w14:textId="77777777" w:rsidR="0042019B" w:rsidRPr="0051350A" w:rsidRDefault="0042019B" w:rsidP="00871105">
      <w:pPr>
        <w:numPr>
          <w:ilvl w:val="0"/>
          <w:numId w:val="20"/>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Clearance levels and application of clearance levels</w:t>
      </w:r>
    </w:p>
    <w:p w14:paraId="30DB64CD" w14:textId="0363CBFF" w:rsidR="0042019B" w:rsidRPr="0051350A" w:rsidRDefault="0042019B" w:rsidP="00871105">
      <w:pPr>
        <w:numPr>
          <w:ilvl w:val="0"/>
          <w:numId w:val="20"/>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 xml:space="preserve">Challenges in </w:t>
      </w:r>
      <w:r w:rsidR="009D43BF">
        <w:rPr>
          <w:rFonts w:eastAsiaTheme="minorHAnsi"/>
          <w:szCs w:val="22"/>
        </w:rPr>
        <w:t xml:space="preserve">the </w:t>
      </w:r>
      <w:r w:rsidRPr="0051350A">
        <w:rPr>
          <w:rFonts w:eastAsiaTheme="minorHAnsi"/>
          <w:szCs w:val="22"/>
        </w:rPr>
        <w:t xml:space="preserve">management of legacy and special wastes (e.g. </w:t>
      </w:r>
      <w:r w:rsidR="009D43BF">
        <w:rPr>
          <w:rFonts w:eastAsiaTheme="minorHAnsi"/>
          <w:szCs w:val="22"/>
        </w:rPr>
        <w:t>g</w:t>
      </w:r>
      <w:r w:rsidRPr="0051350A">
        <w:rPr>
          <w:rFonts w:eastAsiaTheme="minorHAnsi"/>
          <w:szCs w:val="22"/>
        </w:rPr>
        <w:t xml:space="preserve">raphite, </w:t>
      </w:r>
      <w:r w:rsidR="009D43BF">
        <w:rPr>
          <w:rFonts w:eastAsiaTheme="minorHAnsi"/>
          <w:szCs w:val="22"/>
        </w:rPr>
        <w:t>b</w:t>
      </w:r>
      <w:r w:rsidRPr="0051350A">
        <w:rPr>
          <w:rFonts w:eastAsiaTheme="minorHAnsi"/>
          <w:szCs w:val="22"/>
        </w:rPr>
        <w:t>eryllium), and mixed hazard waste</w:t>
      </w:r>
    </w:p>
    <w:p w14:paraId="6BB6EA21" w14:textId="558E5A54" w:rsidR="0042019B" w:rsidRPr="0051350A" w:rsidRDefault="0042019B" w:rsidP="00871105">
      <w:pPr>
        <w:numPr>
          <w:ilvl w:val="0"/>
          <w:numId w:val="20"/>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Approaches and solutions for treatment and conditioning without a defined end</w:t>
      </w:r>
      <w:r w:rsidR="009D43BF">
        <w:rPr>
          <w:rFonts w:eastAsiaTheme="minorHAnsi"/>
          <w:szCs w:val="22"/>
        </w:rPr>
        <w:t xml:space="preserve"> </w:t>
      </w:r>
      <w:r w:rsidRPr="0051350A">
        <w:rPr>
          <w:rFonts w:eastAsiaTheme="minorHAnsi"/>
          <w:szCs w:val="22"/>
        </w:rPr>
        <w:t xml:space="preserve">point </w:t>
      </w:r>
      <w:r w:rsidR="009D43BF">
        <w:rPr>
          <w:rFonts w:eastAsiaTheme="minorHAnsi"/>
          <w:szCs w:val="22"/>
        </w:rPr>
        <w:t>—</w:t>
      </w:r>
      <w:r w:rsidR="009D43BF" w:rsidRPr="0051350A">
        <w:rPr>
          <w:rFonts w:eastAsiaTheme="minorHAnsi"/>
          <w:szCs w:val="22"/>
        </w:rPr>
        <w:t xml:space="preserve"> </w:t>
      </w:r>
      <w:r w:rsidRPr="0051350A">
        <w:rPr>
          <w:rFonts w:eastAsiaTheme="minorHAnsi"/>
          <w:szCs w:val="22"/>
        </w:rPr>
        <w:t>options and interdependences of different waste management steps to be considered</w:t>
      </w:r>
    </w:p>
    <w:p w14:paraId="6340F623" w14:textId="267C3FBB" w:rsidR="0042019B" w:rsidRPr="0051350A" w:rsidRDefault="0042019B" w:rsidP="00871105">
      <w:pPr>
        <w:numPr>
          <w:ilvl w:val="0"/>
          <w:numId w:val="20"/>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Regulatory approach for predisposal oversight: requirements, compliance control, review and assessment, inspections, enforcement actions</w:t>
      </w:r>
    </w:p>
    <w:p w14:paraId="4E2F8A2F" w14:textId="7A7656E5" w:rsidR="0042019B" w:rsidRPr="0051350A" w:rsidRDefault="0042019B" w:rsidP="00EC372A">
      <w:pPr>
        <w:overflowPunct/>
        <w:autoSpaceDE/>
        <w:autoSpaceDN/>
        <w:adjustRightInd/>
        <w:spacing w:before="480" w:after="170" w:line="280" w:lineRule="atLeast"/>
        <w:jc w:val="both"/>
        <w:textAlignment w:val="auto"/>
        <w:rPr>
          <w:b/>
          <w:szCs w:val="22"/>
        </w:rPr>
      </w:pPr>
      <w:r w:rsidRPr="0051350A">
        <w:rPr>
          <w:b/>
          <w:szCs w:val="22"/>
        </w:rPr>
        <w:t xml:space="preserve">Predisposal </w:t>
      </w:r>
      <w:r w:rsidR="00371269">
        <w:rPr>
          <w:b/>
          <w:szCs w:val="22"/>
        </w:rPr>
        <w:t>—</w:t>
      </w:r>
      <w:r w:rsidR="00371269" w:rsidRPr="0051350A">
        <w:rPr>
          <w:b/>
          <w:szCs w:val="22"/>
        </w:rPr>
        <w:t xml:space="preserve"> </w:t>
      </w:r>
      <w:r w:rsidRPr="0051350A">
        <w:rPr>
          <w:b/>
          <w:szCs w:val="22"/>
        </w:rPr>
        <w:t>Storage</w:t>
      </w:r>
    </w:p>
    <w:p w14:paraId="10D51561" w14:textId="74037475" w:rsidR="0042019B" w:rsidRDefault="0042019B" w:rsidP="00EC372A">
      <w:p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Within overall radioactive waste management, including for disused sealed radioactive sources, storage is a necessary interim step, where proven technology exists. Storage is not</w:t>
      </w:r>
      <w:r w:rsidR="009D43BF">
        <w:rPr>
          <w:rFonts w:eastAsiaTheme="minorHAnsi"/>
          <w:szCs w:val="22"/>
        </w:rPr>
        <w:t xml:space="preserve"> in</w:t>
      </w:r>
      <w:r w:rsidRPr="0051350A">
        <w:rPr>
          <w:rFonts w:eastAsiaTheme="minorHAnsi"/>
          <w:szCs w:val="22"/>
        </w:rPr>
        <w:t xml:space="preserve"> itself a long term solution although it may be a </w:t>
      </w:r>
      <w:r w:rsidR="009D43BF">
        <w:rPr>
          <w:rFonts w:eastAsiaTheme="minorHAnsi"/>
          <w:szCs w:val="22"/>
        </w:rPr>
        <w:t>‘</w:t>
      </w:r>
      <w:r w:rsidRPr="0051350A">
        <w:rPr>
          <w:rFonts w:eastAsiaTheme="minorHAnsi"/>
          <w:szCs w:val="22"/>
        </w:rPr>
        <w:t xml:space="preserve">step </w:t>
      </w:r>
      <w:r w:rsidRPr="00052C61">
        <w:rPr>
          <w:rFonts w:eastAsiaTheme="minorHAnsi"/>
          <w:szCs w:val="22"/>
        </w:rPr>
        <w:t>towards</w:t>
      </w:r>
      <w:r w:rsidRPr="0051350A">
        <w:rPr>
          <w:rFonts w:eastAsiaTheme="minorHAnsi"/>
          <w:szCs w:val="22"/>
        </w:rPr>
        <w:t xml:space="preserve"> a solution</w:t>
      </w:r>
      <w:r w:rsidR="009D43BF">
        <w:rPr>
          <w:rFonts w:eastAsiaTheme="minorHAnsi"/>
          <w:szCs w:val="22"/>
        </w:rPr>
        <w:t>’</w:t>
      </w:r>
      <w:r w:rsidRPr="0051350A">
        <w:rPr>
          <w:rFonts w:eastAsiaTheme="minorHAnsi"/>
          <w:szCs w:val="22"/>
        </w:rPr>
        <w:t>. For some type</w:t>
      </w:r>
      <w:r w:rsidR="009D43BF">
        <w:rPr>
          <w:rFonts w:eastAsiaTheme="minorHAnsi"/>
          <w:szCs w:val="22"/>
        </w:rPr>
        <w:t>s</w:t>
      </w:r>
      <w:r w:rsidRPr="0051350A">
        <w:rPr>
          <w:rFonts w:eastAsiaTheme="minorHAnsi"/>
          <w:szCs w:val="22"/>
        </w:rPr>
        <w:t xml:space="preserve"> of waste (</w:t>
      </w:r>
      <w:r w:rsidR="009D43BF">
        <w:rPr>
          <w:rFonts w:eastAsiaTheme="minorHAnsi"/>
          <w:szCs w:val="22"/>
        </w:rPr>
        <w:t>high level waste (</w:t>
      </w:r>
      <w:r w:rsidRPr="0051350A">
        <w:rPr>
          <w:rFonts w:eastAsiaTheme="minorHAnsi"/>
          <w:szCs w:val="22"/>
        </w:rPr>
        <w:t>HLW</w:t>
      </w:r>
      <w:r w:rsidR="009D43BF">
        <w:rPr>
          <w:rFonts w:eastAsiaTheme="minorHAnsi"/>
          <w:szCs w:val="22"/>
        </w:rPr>
        <w:t>) and spent fuel</w:t>
      </w:r>
      <w:r w:rsidRPr="0051350A">
        <w:rPr>
          <w:rFonts w:eastAsiaTheme="minorHAnsi"/>
          <w:szCs w:val="22"/>
        </w:rPr>
        <w:t>) there can be a real safety reason for storage (e.g. to allow cooling or decay)</w:t>
      </w:r>
      <w:r w:rsidR="009D43BF">
        <w:rPr>
          <w:rFonts w:eastAsiaTheme="minorHAnsi"/>
          <w:szCs w:val="22"/>
        </w:rPr>
        <w:t>,</w:t>
      </w:r>
      <w:r w:rsidRPr="0051350A">
        <w:rPr>
          <w:rFonts w:eastAsiaTheme="minorHAnsi"/>
          <w:szCs w:val="22"/>
        </w:rPr>
        <w:t xml:space="preserve"> but for some other waste types storage is </w:t>
      </w:r>
      <w:r w:rsidR="009D43BF" w:rsidRPr="0051350A">
        <w:rPr>
          <w:rFonts w:eastAsiaTheme="minorHAnsi"/>
          <w:szCs w:val="22"/>
        </w:rPr>
        <w:t xml:space="preserve">driven </w:t>
      </w:r>
      <w:r w:rsidRPr="0051350A">
        <w:rPr>
          <w:rFonts w:eastAsiaTheme="minorHAnsi"/>
          <w:szCs w:val="22"/>
        </w:rPr>
        <w:t xml:space="preserve">more by operational factors such as availability of disposal routes or cost effectiveness. </w:t>
      </w:r>
      <w:r w:rsidR="00472498">
        <w:rPr>
          <w:rFonts w:eastAsiaTheme="minorHAnsi"/>
          <w:szCs w:val="22"/>
        </w:rPr>
        <w:t>Whe</w:t>
      </w:r>
      <w:r w:rsidRPr="0051350A">
        <w:rPr>
          <w:rFonts w:eastAsiaTheme="minorHAnsi"/>
          <w:szCs w:val="22"/>
        </w:rPr>
        <w:t xml:space="preserve">n developing storage facilities it is necessary to ensure from the </w:t>
      </w:r>
      <w:r w:rsidR="00472498">
        <w:rPr>
          <w:rFonts w:eastAsiaTheme="minorHAnsi"/>
          <w:szCs w:val="22"/>
        </w:rPr>
        <w:t>very start</w:t>
      </w:r>
      <w:r w:rsidR="00472498" w:rsidRPr="0051350A">
        <w:rPr>
          <w:rFonts w:eastAsiaTheme="minorHAnsi"/>
          <w:szCs w:val="22"/>
        </w:rPr>
        <w:t xml:space="preserve"> </w:t>
      </w:r>
      <w:r w:rsidRPr="0051350A">
        <w:rPr>
          <w:rFonts w:eastAsiaTheme="minorHAnsi"/>
          <w:szCs w:val="22"/>
        </w:rPr>
        <w:t>that wastes can be controlled and monitored and safely retrieved.</w:t>
      </w:r>
    </w:p>
    <w:p w14:paraId="310A214B" w14:textId="30AB9330" w:rsidR="00603762" w:rsidRPr="0051350A" w:rsidRDefault="00603762" w:rsidP="00EC372A">
      <w:pPr>
        <w:overflowPunct/>
        <w:autoSpaceDE/>
        <w:autoSpaceDN/>
        <w:adjustRightInd/>
        <w:spacing w:after="170" w:line="280" w:lineRule="atLeast"/>
        <w:jc w:val="both"/>
        <w:textAlignment w:val="auto"/>
        <w:rPr>
          <w:rFonts w:eastAsiaTheme="minorHAnsi"/>
          <w:szCs w:val="22"/>
        </w:rPr>
      </w:pPr>
      <w:r w:rsidRPr="00603762">
        <w:rPr>
          <w:rFonts w:eastAsiaTheme="minorHAnsi"/>
          <w:szCs w:val="22"/>
        </w:rPr>
        <w:t>The session will address the following points:</w:t>
      </w:r>
    </w:p>
    <w:p w14:paraId="59A1D7B8" w14:textId="77777777" w:rsidR="0042019B" w:rsidRPr="0051350A" w:rsidRDefault="0042019B" w:rsidP="00EC372A">
      <w:pPr>
        <w:numPr>
          <w:ilvl w:val="0"/>
          <w:numId w:val="20"/>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Developing the safety case for storage</w:t>
      </w:r>
    </w:p>
    <w:p w14:paraId="30DD9180" w14:textId="3DF808A9" w:rsidR="0042019B" w:rsidRPr="0051350A" w:rsidRDefault="0042019B" w:rsidP="00B14651">
      <w:pPr>
        <w:numPr>
          <w:ilvl w:val="0"/>
          <w:numId w:val="20"/>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Examples of good practice</w:t>
      </w:r>
      <w:r w:rsidR="00472498">
        <w:rPr>
          <w:rFonts w:eastAsiaTheme="minorHAnsi"/>
          <w:szCs w:val="22"/>
        </w:rPr>
        <w:t>s</w:t>
      </w:r>
      <w:r w:rsidRPr="0051350A">
        <w:rPr>
          <w:rFonts w:eastAsiaTheme="minorHAnsi"/>
          <w:szCs w:val="22"/>
        </w:rPr>
        <w:t xml:space="preserve">, including </w:t>
      </w:r>
      <w:r w:rsidR="00472498">
        <w:rPr>
          <w:rFonts w:eastAsiaTheme="minorHAnsi"/>
          <w:szCs w:val="22"/>
        </w:rPr>
        <w:t xml:space="preserve">in </w:t>
      </w:r>
      <w:r w:rsidRPr="0051350A">
        <w:rPr>
          <w:rFonts w:eastAsiaTheme="minorHAnsi"/>
          <w:szCs w:val="22"/>
        </w:rPr>
        <w:t>monitoring, inspection</w:t>
      </w:r>
      <w:r w:rsidR="00472498">
        <w:rPr>
          <w:rFonts w:eastAsiaTheme="minorHAnsi"/>
          <w:szCs w:val="22"/>
        </w:rPr>
        <w:t xml:space="preserve"> and</w:t>
      </w:r>
      <w:r w:rsidRPr="0051350A">
        <w:rPr>
          <w:rFonts w:eastAsiaTheme="minorHAnsi"/>
          <w:szCs w:val="22"/>
        </w:rPr>
        <w:t xml:space="preserve"> knowledge management</w:t>
      </w:r>
    </w:p>
    <w:p w14:paraId="3F23A54E" w14:textId="019AB5E4" w:rsidR="0042019B" w:rsidRPr="0051350A" w:rsidRDefault="0042019B" w:rsidP="00B14651">
      <w:pPr>
        <w:numPr>
          <w:ilvl w:val="0"/>
          <w:numId w:val="20"/>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Regulatory aspects: expectations for demonstration of safety</w:t>
      </w:r>
      <w:r w:rsidR="00472498">
        <w:rPr>
          <w:rFonts w:eastAsiaTheme="minorHAnsi"/>
          <w:szCs w:val="22"/>
        </w:rPr>
        <w:t>,</w:t>
      </w:r>
      <w:r w:rsidRPr="0051350A">
        <w:rPr>
          <w:rFonts w:eastAsiaTheme="minorHAnsi"/>
          <w:szCs w:val="22"/>
        </w:rPr>
        <w:t xml:space="preserve"> inspections</w:t>
      </w:r>
      <w:r w:rsidR="00472498">
        <w:rPr>
          <w:rFonts w:eastAsiaTheme="minorHAnsi"/>
          <w:szCs w:val="22"/>
        </w:rPr>
        <w:t>,</w:t>
      </w:r>
      <w:r w:rsidRPr="0051350A">
        <w:rPr>
          <w:rFonts w:eastAsiaTheme="minorHAnsi"/>
          <w:szCs w:val="22"/>
        </w:rPr>
        <w:t xml:space="preserve"> decisions</w:t>
      </w:r>
      <w:r w:rsidR="00E6272D">
        <w:rPr>
          <w:rFonts w:eastAsiaTheme="minorHAnsi"/>
          <w:szCs w:val="22"/>
        </w:rPr>
        <w:t>,</w:t>
      </w:r>
      <w:r w:rsidRPr="0051350A">
        <w:rPr>
          <w:rFonts w:eastAsiaTheme="minorHAnsi"/>
          <w:szCs w:val="22"/>
        </w:rPr>
        <w:t xml:space="preserve"> and actions upon non-compliance</w:t>
      </w:r>
    </w:p>
    <w:p w14:paraId="558977F4" w14:textId="6049E217" w:rsidR="0042019B" w:rsidRPr="0051350A" w:rsidRDefault="0042019B" w:rsidP="00B14651">
      <w:pPr>
        <w:numPr>
          <w:ilvl w:val="0"/>
          <w:numId w:val="20"/>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 xml:space="preserve">Challenges when storage time </w:t>
      </w:r>
      <w:r w:rsidR="00472498">
        <w:rPr>
          <w:rFonts w:eastAsiaTheme="minorHAnsi"/>
          <w:szCs w:val="22"/>
        </w:rPr>
        <w:t xml:space="preserve">is </w:t>
      </w:r>
      <w:r w:rsidRPr="0051350A">
        <w:rPr>
          <w:rFonts w:eastAsiaTheme="minorHAnsi"/>
          <w:szCs w:val="22"/>
        </w:rPr>
        <w:t>extended</w:t>
      </w:r>
      <w:r w:rsidR="00472498">
        <w:rPr>
          <w:rFonts w:eastAsiaTheme="minorHAnsi"/>
          <w:szCs w:val="22"/>
        </w:rPr>
        <w:t xml:space="preserve"> for</w:t>
      </w:r>
      <w:r w:rsidRPr="0051350A">
        <w:rPr>
          <w:rFonts w:eastAsiaTheme="minorHAnsi"/>
          <w:szCs w:val="22"/>
        </w:rPr>
        <w:t xml:space="preserve"> longer than planned: waste form evolution/degradation</w:t>
      </w:r>
      <w:r w:rsidR="00472498">
        <w:rPr>
          <w:rFonts w:eastAsiaTheme="minorHAnsi"/>
          <w:szCs w:val="22"/>
        </w:rPr>
        <w:t>,</w:t>
      </w:r>
      <w:r w:rsidRPr="0051350A">
        <w:rPr>
          <w:rFonts w:eastAsiaTheme="minorHAnsi"/>
          <w:szCs w:val="22"/>
        </w:rPr>
        <w:t xml:space="preserve"> relicensing</w:t>
      </w:r>
      <w:r w:rsidR="00472498">
        <w:rPr>
          <w:rFonts w:eastAsiaTheme="minorHAnsi"/>
          <w:szCs w:val="22"/>
        </w:rPr>
        <w:t>,</w:t>
      </w:r>
      <w:r w:rsidRPr="0051350A">
        <w:rPr>
          <w:rFonts w:eastAsiaTheme="minorHAnsi"/>
          <w:szCs w:val="22"/>
        </w:rPr>
        <w:t xml:space="preserve"> ageing management</w:t>
      </w:r>
      <w:r w:rsidR="00472498">
        <w:rPr>
          <w:rFonts w:eastAsiaTheme="minorHAnsi"/>
          <w:szCs w:val="22"/>
        </w:rPr>
        <w:t>,</w:t>
      </w:r>
      <w:r w:rsidRPr="0051350A">
        <w:rPr>
          <w:rFonts w:eastAsiaTheme="minorHAnsi"/>
          <w:szCs w:val="22"/>
        </w:rPr>
        <w:t xml:space="preserve"> regulatory considerations for storage time extensions</w:t>
      </w:r>
    </w:p>
    <w:p w14:paraId="15CBA495" w14:textId="77777777" w:rsidR="0042019B" w:rsidRPr="0051350A" w:rsidRDefault="0042019B" w:rsidP="00B14651">
      <w:pPr>
        <w:numPr>
          <w:ilvl w:val="0"/>
          <w:numId w:val="20"/>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lastRenderedPageBreak/>
        <w:t>Technological and safety aspects of multi-purpose casks (storage/transport/disposal)</w:t>
      </w:r>
    </w:p>
    <w:p w14:paraId="7E5D52C2" w14:textId="1CBC6050" w:rsidR="0042019B" w:rsidRPr="00106216" w:rsidRDefault="0042019B" w:rsidP="00106216">
      <w:pPr>
        <w:overflowPunct/>
        <w:autoSpaceDE/>
        <w:autoSpaceDN/>
        <w:adjustRightInd/>
        <w:spacing w:before="480" w:after="170" w:line="280" w:lineRule="atLeast"/>
        <w:jc w:val="both"/>
        <w:textAlignment w:val="auto"/>
        <w:rPr>
          <w:b/>
          <w:szCs w:val="22"/>
        </w:rPr>
      </w:pPr>
      <w:r w:rsidRPr="0051350A">
        <w:rPr>
          <w:b/>
          <w:szCs w:val="22"/>
        </w:rPr>
        <w:t xml:space="preserve">Disposal of Very Low Level Waste </w:t>
      </w:r>
      <w:r w:rsidR="00472498">
        <w:rPr>
          <w:b/>
          <w:szCs w:val="22"/>
        </w:rPr>
        <w:t>and</w:t>
      </w:r>
      <w:r w:rsidRPr="0051350A">
        <w:rPr>
          <w:b/>
          <w:szCs w:val="22"/>
        </w:rPr>
        <w:t xml:space="preserve"> Low Level Waste</w:t>
      </w:r>
    </w:p>
    <w:p w14:paraId="5D3CCC91" w14:textId="3D46C020" w:rsidR="0042019B" w:rsidRDefault="0042019B" w:rsidP="00106216">
      <w:p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 xml:space="preserve">There is an existing safe disposal solution for most waste types and many examples where disposal facilities for </w:t>
      </w:r>
      <w:r w:rsidR="00472498">
        <w:rPr>
          <w:rFonts w:eastAsiaTheme="minorHAnsi"/>
          <w:szCs w:val="22"/>
        </w:rPr>
        <w:t>very low level waste (</w:t>
      </w:r>
      <w:r w:rsidRPr="0051350A">
        <w:rPr>
          <w:rFonts w:eastAsiaTheme="minorHAnsi"/>
          <w:szCs w:val="22"/>
        </w:rPr>
        <w:t>VLLW</w:t>
      </w:r>
      <w:r w:rsidR="00472498">
        <w:rPr>
          <w:rFonts w:eastAsiaTheme="minorHAnsi"/>
          <w:szCs w:val="22"/>
        </w:rPr>
        <w:t>)</w:t>
      </w:r>
      <w:r w:rsidRPr="0051350A">
        <w:rPr>
          <w:rFonts w:eastAsiaTheme="minorHAnsi"/>
          <w:szCs w:val="22"/>
        </w:rPr>
        <w:t xml:space="preserve"> and </w:t>
      </w:r>
      <w:r w:rsidR="00472498">
        <w:rPr>
          <w:rFonts w:eastAsiaTheme="minorHAnsi"/>
          <w:szCs w:val="22"/>
        </w:rPr>
        <w:t>low level waste (</w:t>
      </w:r>
      <w:r w:rsidRPr="0051350A">
        <w:rPr>
          <w:rFonts w:eastAsiaTheme="minorHAnsi"/>
          <w:szCs w:val="22"/>
        </w:rPr>
        <w:t>LLW</w:t>
      </w:r>
      <w:r w:rsidR="00472498">
        <w:rPr>
          <w:rFonts w:eastAsiaTheme="minorHAnsi"/>
          <w:szCs w:val="22"/>
        </w:rPr>
        <w:t>)</w:t>
      </w:r>
      <w:r w:rsidRPr="0051350A">
        <w:rPr>
          <w:rFonts w:eastAsiaTheme="minorHAnsi"/>
          <w:szCs w:val="22"/>
        </w:rPr>
        <w:t xml:space="preserve"> are operated safely and for which post-closure safety has been demonstrated. Member States may take advantage of existing experience/disposal concepts</w:t>
      </w:r>
      <w:r w:rsidR="00472498">
        <w:rPr>
          <w:rFonts w:eastAsiaTheme="minorHAnsi"/>
          <w:szCs w:val="22"/>
        </w:rPr>
        <w:t>,</w:t>
      </w:r>
      <w:r w:rsidRPr="0051350A">
        <w:rPr>
          <w:rFonts w:eastAsiaTheme="minorHAnsi"/>
          <w:szCs w:val="22"/>
        </w:rPr>
        <w:t xml:space="preserve"> but in all cases a safety case and supporting safety assessment specific to their wastes and site</w:t>
      </w:r>
      <w:r w:rsidR="00472498">
        <w:rPr>
          <w:rFonts w:eastAsiaTheme="minorHAnsi"/>
          <w:szCs w:val="22"/>
        </w:rPr>
        <w:t>s</w:t>
      </w:r>
      <w:r w:rsidRPr="0051350A">
        <w:rPr>
          <w:rFonts w:eastAsiaTheme="minorHAnsi"/>
          <w:szCs w:val="22"/>
        </w:rPr>
        <w:t xml:space="preserve"> will have to be developed. The safety case must take account of the inventory of the wastes (including the long-lived radionuclides), the proposed waste handling operations and evolution of the engineered and natural barriers. International collaboration is actively being undertaken on many aspects</w:t>
      </w:r>
      <w:r w:rsidR="00472498">
        <w:rPr>
          <w:rFonts w:eastAsiaTheme="minorHAnsi"/>
          <w:szCs w:val="22"/>
        </w:rPr>
        <w:t>,</w:t>
      </w:r>
      <w:r w:rsidRPr="0051350A">
        <w:rPr>
          <w:rFonts w:eastAsiaTheme="minorHAnsi"/>
          <w:szCs w:val="22"/>
        </w:rPr>
        <w:t xml:space="preserve"> including safety case methodologies, approaches to </w:t>
      </w:r>
      <w:r w:rsidR="00472498">
        <w:rPr>
          <w:rFonts w:eastAsiaTheme="minorHAnsi"/>
          <w:szCs w:val="22"/>
        </w:rPr>
        <w:t>i</w:t>
      </w:r>
      <w:r w:rsidRPr="0051350A">
        <w:rPr>
          <w:rFonts w:eastAsiaTheme="minorHAnsi"/>
          <w:szCs w:val="22"/>
        </w:rPr>
        <w:t xml:space="preserve">nstitutional </w:t>
      </w:r>
      <w:r w:rsidR="00472498">
        <w:rPr>
          <w:rFonts w:eastAsiaTheme="minorHAnsi"/>
          <w:szCs w:val="22"/>
        </w:rPr>
        <w:t>c</w:t>
      </w:r>
      <w:r w:rsidRPr="0051350A">
        <w:rPr>
          <w:rFonts w:eastAsiaTheme="minorHAnsi"/>
          <w:szCs w:val="22"/>
        </w:rPr>
        <w:t>ontrol and demonstrating continued safety even in the event of human intrusion after closure.</w:t>
      </w:r>
    </w:p>
    <w:p w14:paraId="413A6D2F" w14:textId="67A0C3BB" w:rsidR="00603762" w:rsidRPr="0051350A" w:rsidRDefault="00603762" w:rsidP="00106216">
      <w:pPr>
        <w:overflowPunct/>
        <w:autoSpaceDE/>
        <w:autoSpaceDN/>
        <w:adjustRightInd/>
        <w:spacing w:after="170" w:line="280" w:lineRule="atLeast"/>
        <w:jc w:val="both"/>
        <w:textAlignment w:val="auto"/>
        <w:rPr>
          <w:rFonts w:eastAsiaTheme="minorHAnsi"/>
          <w:szCs w:val="22"/>
        </w:rPr>
      </w:pPr>
      <w:r w:rsidRPr="00603762">
        <w:rPr>
          <w:rFonts w:eastAsiaTheme="minorHAnsi"/>
          <w:szCs w:val="22"/>
        </w:rPr>
        <w:t>The session will address the following points:</w:t>
      </w:r>
    </w:p>
    <w:p w14:paraId="0080CCB1" w14:textId="77777777" w:rsidR="0042019B" w:rsidRPr="0051350A" w:rsidRDefault="0042019B" w:rsidP="00603762">
      <w:pPr>
        <w:numPr>
          <w:ilvl w:val="0"/>
          <w:numId w:val="20"/>
        </w:numPr>
        <w:overflowPunct/>
        <w:autoSpaceDE/>
        <w:autoSpaceDN/>
        <w:adjustRightInd/>
        <w:spacing w:after="170" w:line="280" w:lineRule="atLeast"/>
        <w:ind w:left="714" w:hanging="357"/>
        <w:jc w:val="both"/>
        <w:textAlignment w:val="auto"/>
        <w:rPr>
          <w:rFonts w:eastAsiaTheme="minorHAnsi"/>
          <w:szCs w:val="22"/>
        </w:rPr>
      </w:pPr>
      <w:r w:rsidRPr="0051350A">
        <w:rPr>
          <w:rFonts w:eastAsiaTheme="minorHAnsi"/>
          <w:szCs w:val="22"/>
        </w:rPr>
        <w:t>Developing the safety case for VLLW and LLW disposal</w:t>
      </w:r>
    </w:p>
    <w:p w14:paraId="683958FF" w14:textId="5E456C6E" w:rsidR="0042019B" w:rsidRPr="0051350A" w:rsidRDefault="0042019B" w:rsidP="00106216">
      <w:pPr>
        <w:numPr>
          <w:ilvl w:val="0"/>
          <w:numId w:val="20"/>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Specific safety aspects and technological solutions for disposal of VLLW and LLW containing long-lived radionuclides e.g. uranium, radium bearing waste</w:t>
      </w:r>
    </w:p>
    <w:p w14:paraId="7B181F67" w14:textId="4C9B51C8" w:rsidR="0042019B" w:rsidRPr="0051350A" w:rsidRDefault="0042019B" w:rsidP="00106216">
      <w:pPr>
        <w:numPr>
          <w:ilvl w:val="0"/>
          <w:numId w:val="20"/>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Regulatory aspects: expectations for demonstration of safety</w:t>
      </w:r>
      <w:r w:rsidR="00472498">
        <w:rPr>
          <w:rFonts w:eastAsiaTheme="minorHAnsi"/>
          <w:szCs w:val="22"/>
        </w:rPr>
        <w:t>,</w:t>
      </w:r>
      <w:r w:rsidRPr="0051350A">
        <w:rPr>
          <w:rFonts w:eastAsiaTheme="minorHAnsi"/>
          <w:szCs w:val="22"/>
        </w:rPr>
        <w:t xml:space="preserve"> inspections</w:t>
      </w:r>
      <w:r w:rsidR="00472498">
        <w:rPr>
          <w:rFonts w:eastAsiaTheme="minorHAnsi"/>
          <w:szCs w:val="22"/>
        </w:rPr>
        <w:t>,</w:t>
      </w:r>
      <w:r w:rsidRPr="0051350A">
        <w:rPr>
          <w:rFonts w:eastAsiaTheme="minorHAnsi"/>
          <w:szCs w:val="22"/>
        </w:rPr>
        <w:t xml:space="preserve"> decisions</w:t>
      </w:r>
      <w:r w:rsidR="00E6272D">
        <w:rPr>
          <w:rFonts w:eastAsiaTheme="minorHAnsi"/>
          <w:szCs w:val="22"/>
        </w:rPr>
        <w:t>,</w:t>
      </w:r>
      <w:r w:rsidRPr="0051350A">
        <w:rPr>
          <w:rFonts w:eastAsiaTheme="minorHAnsi"/>
          <w:szCs w:val="22"/>
        </w:rPr>
        <w:t xml:space="preserve"> and actions upon non-compliance</w:t>
      </w:r>
    </w:p>
    <w:p w14:paraId="6779A5E1" w14:textId="77777777" w:rsidR="0042019B" w:rsidRPr="0051350A" w:rsidRDefault="0042019B" w:rsidP="00106216">
      <w:pPr>
        <w:numPr>
          <w:ilvl w:val="0"/>
          <w:numId w:val="20"/>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Monitoring and institutional control</w:t>
      </w:r>
    </w:p>
    <w:p w14:paraId="40DDA57F" w14:textId="77777777" w:rsidR="0042019B" w:rsidRPr="0051350A" w:rsidRDefault="0042019B" w:rsidP="00106216">
      <w:pPr>
        <w:numPr>
          <w:ilvl w:val="0"/>
          <w:numId w:val="20"/>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Consideration of human intrusion in the safety case</w:t>
      </w:r>
    </w:p>
    <w:p w14:paraId="1222BD2D" w14:textId="7D9D432A" w:rsidR="0042019B" w:rsidRPr="0051350A" w:rsidRDefault="00E6272D" w:rsidP="00106216">
      <w:pPr>
        <w:numPr>
          <w:ilvl w:val="0"/>
          <w:numId w:val="20"/>
        </w:numPr>
        <w:overflowPunct/>
        <w:autoSpaceDE/>
        <w:autoSpaceDN/>
        <w:adjustRightInd/>
        <w:spacing w:after="170" w:line="280" w:lineRule="atLeast"/>
        <w:jc w:val="both"/>
        <w:textAlignment w:val="auto"/>
        <w:rPr>
          <w:rFonts w:eastAsiaTheme="minorHAnsi"/>
          <w:szCs w:val="22"/>
        </w:rPr>
      </w:pPr>
      <w:r>
        <w:rPr>
          <w:rFonts w:eastAsiaTheme="minorHAnsi"/>
          <w:szCs w:val="22"/>
        </w:rPr>
        <w:t>S</w:t>
      </w:r>
      <w:r w:rsidR="0042019B" w:rsidRPr="0051350A">
        <w:rPr>
          <w:rFonts w:eastAsiaTheme="minorHAnsi"/>
          <w:szCs w:val="22"/>
        </w:rPr>
        <w:t>ite selection process and screening criteria</w:t>
      </w:r>
    </w:p>
    <w:p w14:paraId="59C01820" w14:textId="77777777" w:rsidR="0042019B" w:rsidRPr="0051350A" w:rsidRDefault="0042019B" w:rsidP="00106216">
      <w:pPr>
        <w:numPr>
          <w:ilvl w:val="0"/>
          <w:numId w:val="20"/>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Challenges of adapting overseas concepts and designing for local conditions</w:t>
      </w:r>
    </w:p>
    <w:p w14:paraId="396A66FB" w14:textId="15269679" w:rsidR="0042019B" w:rsidRPr="0051350A" w:rsidRDefault="0042019B" w:rsidP="00106216">
      <w:pPr>
        <w:numPr>
          <w:ilvl w:val="0"/>
          <w:numId w:val="20"/>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Lessons learned from operation of facilities</w:t>
      </w:r>
    </w:p>
    <w:p w14:paraId="41FD7F7A" w14:textId="3CB0E15A" w:rsidR="0042019B" w:rsidRPr="0051350A" w:rsidRDefault="0042019B" w:rsidP="00106216">
      <w:pPr>
        <w:numPr>
          <w:ilvl w:val="0"/>
          <w:numId w:val="20"/>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 xml:space="preserve">Approaches </w:t>
      </w:r>
      <w:r w:rsidR="00106216">
        <w:rPr>
          <w:rFonts w:eastAsiaTheme="minorHAnsi"/>
          <w:szCs w:val="22"/>
        </w:rPr>
        <w:t>the</w:t>
      </w:r>
      <w:r w:rsidRPr="0051350A">
        <w:rPr>
          <w:rFonts w:eastAsiaTheme="minorHAnsi"/>
          <w:szCs w:val="22"/>
        </w:rPr>
        <w:t xml:space="preserve"> manage</w:t>
      </w:r>
      <w:r w:rsidR="00E6272D">
        <w:rPr>
          <w:rFonts w:eastAsiaTheme="minorHAnsi"/>
          <w:szCs w:val="22"/>
        </w:rPr>
        <w:t>ment of</w:t>
      </w:r>
      <w:r w:rsidRPr="0051350A">
        <w:rPr>
          <w:rFonts w:eastAsiaTheme="minorHAnsi"/>
          <w:szCs w:val="22"/>
        </w:rPr>
        <w:t xml:space="preserve"> existing facilities which do not comply with current safety standards (e.g. historical facilities)</w:t>
      </w:r>
    </w:p>
    <w:p w14:paraId="3510526C" w14:textId="0F25EAE4" w:rsidR="0042019B" w:rsidRPr="0051350A" w:rsidRDefault="0042019B" w:rsidP="00106216">
      <w:pPr>
        <w:numPr>
          <w:ilvl w:val="0"/>
          <w:numId w:val="20"/>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Experience</w:t>
      </w:r>
      <w:r w:rsidR="00E6272D">
        <w:rPr>
          <w:rFonts w:eastAsiaTheme="minorHAnsi"/>
          <w:szCs w:val="22"/>
        </w:rPr>
        <w:t>s</w:t>
      </w:r>
      <w:r w:rsidRPr="0051350A">
        <w:rPr>
          <w:rFonts w:eastAsiaTheme="minorHAnsi"/>
          <w:szCs w:val="22"/>
        </w:rPr>
        <w:t xml:space="preserve"> with </w:t>
      </w:r>
      <w:r w:rsidR="00E6272D">
        <w:rPr>
          <w:rFonts w:eastAsiaTheme="minorHAnsi"/>
          <w:szCs w:val="22"/>
        </w:rPr>
        <w:t xml:space="preserve">the </w:t>
      </w:r>
      <w:r w:rsidRPr="0051350A">
        <w:rPr>
          <w:rFonts w:eastAsiaTheme="minorHAnsi"/>
          <w:szCs w:val="22"/>
        </w:rPr>
        <w:t xml:space="preserve">use of </w:t>
      </w:r>
      <w:r w:rsidR="00E6272D">
        <w:rPr>
          <w:rFonts w:eastAsiaTheme="minorHAnsi"/>
          <w:szCs w:val="22"/>
        </w:rPr>
        <w:t>i</w:t>
      </w:r>
      <w:r w:rsidRPr="0051350A">
        <w:rPr>
          <w:rFonts w:eastAsiaTheme="minorHAnsi"/>
          <w:szCs w:val="22"/>
        </w:rPr>
        <w:t>nternational guidance</w:t>
      </w:r>
    </w:p>
    <w:p w14:paraId="27F055B7" w14:textId="77777777" w:rsidR="0042019B" w:rsidRPr="00344BBC" w:rsidRDefault="0042019B" w:rsidP="00344BBC">
      <w:pPr>
        <w:overflowPunct/>
        <w:autoSpaceDE/>
        <w:autoSpaceDN/>
        <w:adjustRightInd/>
        <w:spacing w:before="480" w:after="170" w:line="280" w:lineRule="atLeast"/>
        <w:jc w:val="both"/>
        <w:textAlignment w:val="auto"/>
        <w:rPr>
          <w:b/>
          <w:szCs w:val="22"/>
        </w:rPr>
      </w:pPr>
      <w:r w:rsidRPr="00344BBC">
        <w:rPr>
          <w:b/>
          <w:szCs w:val="22"/>
        </w:rPr>
        <w:t>Disposal of Intermediate Level Waste</w:t>
      </w:r>
    </w:p>
    <w:p w14:paraId="4A15114A" w14:textId="29FBA838" w:rsidR="0042019B" w:rsidRDefault="0042019B" w:rsidP="00AD4891">
      <w:p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The disposal of intermediate level waste</w:t>
      </w:r>
      <w:r w:rsidR="00E6272D">
        <w:rPr>
          <w:rFonts w:eastAsiaTheme="minorHAnsi"/>
          <w:szCs w:val="22"/>
        </w:rPr>
        <w:t xml:space="preserve"> (ILW)</w:t>
      </w:r>
      <w:r w:rsidRPr="0051350A">
        <w:rPr>
          <w:rFonts w:eastAsiaTheme="minorHAnsi"/>
          <w:szCs w:val="22"/>
        </w:rPr>
        <w:t xml:space="preserve"> </w:t>
      </w:r>
      <w:r w:rsidR="00E6272D" w:rsidRPr="0051350A">
        <w:rPr>
          <w:rFonts w:eastAsiaTheme="minorHAnsi"/>
          <w:szCs w:val="22"/>
        </w:rPr>
        <w:t xml:space="preserve">differs </w:t>
      </w:r>
      <w:r w:rsidRPr="0051350A">
        <w:rPr>
          <w:rFonts w:eastAsiaTheme="minorHAnsi"/>
          <w:szCs w:val="22"/>
        </w:rPr>
        <w:t xml:space="preserve">mainly from the disposal of </w:t>
      </w:r>
      <w:r w:rsidR="00E6272D">
        <w:rPr>
          <w:rFonts w:eastAsiaTheme="minorHAnsi"/>
          <w:szCs w:val="22"/>
        </w:rPr>
        <w:t>LLW</w:t>
      </w:r>
      <w:r w:rsidRPr="0051350A">
        <w:rPr>
          <w:rFonts w:eastAsiaTheme="minorHAnsi"/>
          <w:szCs w:val="22"/>
        </w:rPr>
        <w:t xml:space="preserve"> by the need for a greater level of isolation and containment for safe disposal. As a consequence, the safety of disposal rather relies on a combination between the properties of the natural barrier and the engineered barriers. In line with the need for a greater level of containment and isolation</w:t>
      </w:r>
      <w:r w:rsidR="00E6272D">
        <w:rPr>
          <w:rFonts w:eastAsiaTheme="minorHAnsi"/>
          <w:szCs w:val="22"/>
        </w:rPr>
        <w:t>,</w:t>
      </w:r>
      <w:r w:rsidRPr="0051350A">
        <w:rPr>
          <w:rFonts w:eastAsiaTheme="minorHAnsi"/>
          <w:szCs w:val="22"/>
        </w:rPr>
        <w:t xml:space="preserve"> and according to the characteristics of the waste, the depth of disposal of </w:t>
      </w:r>
      <w:r w:rsidR="00E6272D">
        <w:rPr>
          <w:rFonts w:eastAsiaTheme="minorHAnsi"/>
          <w:szCs w:val="22"/>
        </w:rPr>
        <w:t>ILW</w:t>
      </w:r>
      <w:r w:rsidRPr="0051350A">
        <w:rPr>
          <w:rFonts w:eastAsiaTheme="minorHAnsi"/>
          <w:szCs w:val="22"/>
        </w:rPr>
        <w:t xml:space="preserve"> should be adapted to </w:t>
      </w:r>
      <w:r w:rsidR="00E6272D">
        <w:rPr>
          <w:rFonts w:eastAsiaTheme="minorHAnsi"/>
          <w:szCs w:val="22"/>
        </w:rPr>
        <w:t>ensure</w:t>
      </w:r>
      <w:r w:rsidRPr="0051350A">
        <w:rPr>
          <w:rFonts w:eastAsiaTheme="minorHAnsi"/>
          <w:szCs w:val="22"/>
        </w:rPr>
        <w:t xml:space="preserve"> the appropriate level of safety.</w:t>
      </w:r>
    </w:p>
    <w:p w14:paraId="14A99777" w14:textId="109CA486" w:rsidR="00603762" w:rsidRDefault="00603762" w:rsidP="00AD4891">
      <w:pPr>
        <w:overflowPunct/>
        <w:autoSpaceDE/>
        <w:autoSpaceDN/>
        <w:adjustRightInd/>
        <w:spacing w:after="170" w:line="280" w:lineRule="atLeast"/>
        <w:jc w:val="both"/>
        <w:textAlignment w:val="auto"/>
        <w:rPr>
          <w:rFonts w:eastAsiaTheme="minorHAnsi"/>
          <w:szCs w:val="22"/>
        </w:rPr>
      </w:pPr>
      <w:r w:rsidRPr="00603762">
        <w:rPr>
          <w:rFonts w:eastAsiaTheme="minorHAnsi"/>
          <w:szCs w:val="22"/>
        </w:rPr>
        <w:t>The session will address the following points:</w:t>
      </w:r>
    </w:p>
    <w:p w14:paraId="25452C7C" w14:textId="77777777" w:rsidR="0042019B" w:rsidRPr="0051350A" w:rsidRDefault="0042019B" w:rsidP="0002411B">
      <w:pPr>
        <w:numPr>
          <w:ilvl w:val="0"/>
          <w:numId w:val="20"/>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Developing the safety case for ILW disposal</w:t>
      </w:r>
    </w:p>
    <w:p w14:paraId="69C85A66" w14:textId="1E98B241" w:rsidR="0042019B" w:rsidRPr="0051350A" w:rsidRDefault="0042019B" w:rsidP="0002411B">
      <w:pPr>
        <w:numPr>
          <w:ilvl w:val="0"/>
          <w:numId w:val="20"/>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Specific safety aspects and technological solutions for disposal of ILW (e.g. gas generation, optimization of depth of disposal, time</w:t>
      </w:r>
      <w:r w:rsidR="00E6272D">
        <w:rPr>
          <w:rFonts w:eastAsiaTheme="minorHAnsi"/>
          <w:szCs w:val="22"/>
        </w:rPr>
        <w:t xml:space="preserve"> </w:t>
      </w:r>
      <w:r w:rsidRPr="0051350A">
        <w:rPr>
          <w:rFonts w:eastAsiaTheme="minorHAnsi"/>
          <w:szCs w:val="22"/>
        </w:rPr>
        <w:t>frames for safety assessment, long-lived radionuclides)</w:t>
      </w:r>
    </w:p>
    <w:p w14:paraId="4640F497" w14:textId="6C4A1BFC" w:rsidR="0042019B" w:rsidRPr="0051350A" w:rsidRDefault="0042019B" w:rsidP="0002411B">
      <w:pPr>
        <w:numPr>
          <w:ilvl w:val="0"/>
          <w:numId w:val="20"/>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lastRenderedPageBreak/>
        <w:t>Regulatory aspects: expectations for demonstration of safety</w:t>
      </w:r>
      <w:r w:rsidR="00E6272D">
        <w:rPr>
          <w:rFonts w:eastAsiaTheme="minorHAnsi"/>
          <w:szCs w:val="22"/>
        </w:rPr>
        <w:t>,</w:t>
      </w:r>
      <w:r w:rsidRPr="0051350A">
        <w:rPr>
          <w:rFonts w:eastAsiaTheme="minorHAnsi"/>
          <w:szCs w:val="22"/>
        </w:rPr>
        <w:t xml:space="preserve"> inspections</w:t>
      </w:r>
      <w:r w:rsidR="00E6272D">
        <w:rPr>
          <w:rFonts w:eastAsiaTheme="minorHAnsi"/>
          <w:szCs w:val="22"/>
        </w:rPr>
        <w:t>,</w:t>
      </w:r>
      <w:r w:rsidRPr="0051350A">
        <w:rPr>
          <w:rFonts w:eastAsiaTheme="minorHAnsi"/>
          <w:szCs w:val="22"/>
        </w:rPr>
        <w:t xml:space="preserve"> decisions</w:t>
      </w:r>
      <w:r w:rsidR="00E6272D">
        <w:rPr>
          <w:rFonts w:eastAsiaTheme="minorHAnsi"/>
          <w:szCs w:val="22"/>
        </w:rPr>
        <w:t>,</w:t>
      </w:r>
      <w:r w:rsidRPr="0051350A">
        <w:rPr>
          <w:rFonts w:eastAsiaTheme="minorHAnsi"/>
          <w:szCs w:val="22"/>
        </w:rPr>
        <w:t xml:space="preserve"> and actions upon non-compliance</w:t>
      </w:r>
    </w:p>
    <w:p w14:paraId="44F41029" w14:textId="77777777" w:rsidR="0042019B" w:rsidRPr="0051350A" w:rsidRDefault="0042019B" w:rsidP="0002411B">
      <w:pPr>
        <w:numPr>
          <w:ilvl w:val="0"/>
          <w:numId w:val="20"/>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Monitoring and institutional control</w:t>
      </w:r>
    </w:p>
    <w:p w14:paraId="621CBD6C" w14:textId="77777777" w:rsidR="0042019B" w:rsidRPr="0051350A" w:rsidRDefault="0042019B" w:rsidP="0002411B">
      <w:pPr>
        <w:numPr>
          <w:ilvl w:val="0"/>
          <w:numId w:val="20"/>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Consideration of human intrusion in the safety case</w:t>
      </w:r>
    </w:p>
    <w:p w14:paraId="039BD1D9" w14:textId="72208B2E" w:rsidR="0042019B" w:rsidRPr="0051350A" w:rsidRDefault="00E6272D" w:rsidP="0002411B">
      <w:pPr>
        <w:numPr>
          <w:ilvl w:val="0"/>
          <w:numId w:val="20"/>
        </w:numPr>
        <w:overflowPunct/>
        <w:autoSpaceDE/>
        <w:autoSpaceDN/>
        <w:adjustRightInd/>
        <w:spacing w:after="170" w:line="280" w:lineRule="atLeast"/>
        <w:jc w:val="both"/>
        <w:textAlignment w:val="auto"/>
        <w:rPr>
          <w:rFonts w:eastAsiaTheme="minorHAnsi"/>
          <w:szCs w:val="22"/>
        </w:rPr>
      </w:pPr>
      <w:r>
        <w:rPr>
          <w:rFonts w:eastAsiaTheme="minorHAnsi"/>
          <w:szCs w:val="22"/>
        </w:rPr>
        <w:t>S</w:t>
      </w:r>
      <w:r w:rsidR="0042019B" w:rsidRPr="0051350A">
        <w:rPr>
          <w:rFonts w:eastAsiaTheme="minorHAnsi"/>
          <w:szCs w:val="22"/>
        </w:rPr>
        <w:t>ite selection process and screening criteria</w:t>
      </w:r>
    </w:p>
    <w:p w14:paraId="0BCE1DBE" w14:textId="77777777" w:rsidR="0042019B" w:rsidRPr="0051350A" w:rsidRDefault="0042019B" w:rsidP="0002411B">
      <w:pPr>
        <w:numPr>
          <w:ilvl w:val="0"/>
          <w:numId w:val="20"/>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Challenges of adapting overseas concepts and designing for local conditions</w:t>
      </w:r>
    </w:p>
    <w:p w14:paraId="7D57C66E" w14:textId="65884E7B" w:rsidR="0042019B" w:rsidRPr="0051350A" w:rsidRDefault="0042019B" w:rsidP="0002411B">
      <w:pPr>
        <w:numPr>
          <w:ilvl w:val="0"/>
          <w:numId w:val="20"/>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 xml:space="preserve">Lessons learned from </w:t>
      </w:r>
      <w:r w:rsidR="00E6272D">
        <w:rPr>
          <w:rFonts w:eastAsiaTheme="minorHAnsi"/>
          <w:szCs w:val="22"/>
        </w:rPr>
        <w:t xml:space="preserve">the </w:t>
      </w:r>
      <w:r w:rsidRPr="0051350A">
        <w:rPr>
          <w:rFonts w:eastAsiaTheme="minorHAnsi"/>
          <w:szCs w:val="22"/>
        </w:rPr>
        <w:t>operation of facilities</w:t>
      </w:r>
    </w:p>
    <w:p w14:paraId="455B09AA" w14:textId="2A9D54BE" w:rsidR="0042019B" w:rsidRPr="00E6272D" w:rsidRDefault="0042019B" w:rsidP="0002411B">
      <w:pPr>
        <w:numPr>
          <w:ilvl w:val="0"/>
          <w:numId w:val="20"/>
        </w:numPr>
        <w:overflowPunct/>
        <w:autoSpaceDE/>
        <w:autoSpaceDN/>
        <w:adjustRightInd/>
        <w:spacing w:after="170" w:line="280" w:lineRule="atLeast"/>
        <w:jc w:val="both"/>
        <w:textAlignment w:val="auto"/>
        <w:rPr>
          <w:rFonts w:eastAsiaTheme="minorHAnsi"/>
          <w:b/>
          <w:szCs w:val="22"/>
        </w:rPr>
      </w:pPr>
      <w:r w:rsidRPr="00E6272D">
        <w:rPr>
          <w:rFonts w:eastAsiaTheme="minorHAnsi"/>
          <w:szCs w:val="22"/>
        </w:rPr>
        <w:t>Experience</w:t>
      </w:r>
      <w:r w:rsidR="00E6272D">
        <w:rPr>
          <w:rFonts w:eastAsiaTheme="minorHAnsi"/>
          <w:szCs w:val="22"/>
        </w:rPr>
        <w:t>s</w:t>
      </w:r>
      <w:r w:rsidRPr="00E6272D">
        <w:rPr>
          <w:rFonts w:eastAsiaTheme="minorHAnsi"/>
          <w:szCs w:val="22"/>
        </w:rPr>
        <w:t xml:space="preserve"> with </w:t>
      </w:r>
      <w:r w:rsidR="00E6272D">
        <w:rPr>
          <w:rFonts w:eastAsiaTheme="minorHAnsi"/>
          <w:szCs w:val="22"/>
        </w:rPr>
        <w:t xml:space="preserve">the </w:t>
      </w:r>
      <w:r w:rsidRPr="00E6272D">
        <w:rPr>
          <w:rFonts w:eastAsiaTheme="minorHAnsi"/>
          <w:szCs w:val="22"/>
        </w:rPr>
        <w:t xml:space="preserve">use of </w:t>
      </w:r>
      <w:r w:rsidR="00E6272D">
        <w:rPr>
          <w:rFonts w:eastAsiaTheme="minorHAnsi"/>
          <w:szCs w:val="22"/>
        </w:rPr>
        <w:t>i</w:t>
      </w:r>
      <w:r w:rsidRPr="00E6272D">
        <w:rPr>
          <w:rFonts w:eastAsiaTheme="minorHAnsi"/>
          <w:szCs w:val="22"/>
        </w:rPr>
        <w:t>nternational guidance</w:t>
      </w:r>
    </w:p>
    <w:p w14:paraId="508E94ED" w14:textId="77777777" w:rsidR="0042019B" w:rsidRPr="0002411B" w:rsidRDefault="0042019B" w:rsidP="0002411B">
      <w:pPr>
        <w:overflowPunct/>
        <w:autoSpaceDE/>
        <w:autoSpaceDN/>
        <w:adjustRightInd/>
        <w:spacing w:before="480" w:after="170" w:line="280" w:lineRule="atLeast"/>
        <w:jc w:val="both"/>
        <w:textAlignment w:val="auto"/>
        <w:rPr>
          <w:b/>
          <w:szCs w:val="22"/>
        </w:rPr>
      </w:pPr>
      <w:r w:rsidRPr="0002411B">
        <w:rPr>
          <w:b/>
          <w:szCs w:val="22"/>
        </w:rPr>
        <w:t>Disposal of Disused Sealed Radioactive Sources</w:t>
      </w:r>
    </w:p>
    <w:p w14:paraId="08F41D98" w14:textId="38BB4338" w:rsidR="0042019B" w:rsidRPr="0051350A" w:rsidRDefault="0042019B" w:rsidP="0002411B">
      <w:p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Once declared as radioactive waste, a disused sealed radioactive source</w:t>
      </w:r>
      <w:r w:rsidR="00D055EE">
        <w:rPr>
          <w:rFonts w:eastAsiaTheme="minorHAnsi"/>
          <w:szCs w:val="22"/>
        </w:rPr>
        <w:t xml:space="preserve"> (DSRS)</w:t>
      </w:r>
      <w:r w:rsidRPr="0051350A">
        <w:rPr>
          <w:rFonts w:eastAsiaTheme="minorHAnsi"/>
          <w:szCs w:val="22"/>
        </w:rPr>
        <w:t xml:space="preserve"> has to be managed according to the national legal framework and in line with international standards for the management of radioactive waste. While the end</w:t>
      </w:r>
      <w:r w:rsidR="00D055EE">
        <w:rPr>
          <w:rFonts w:eastAsiaTheme="minorHAnsi"/>
          <w:szCs w:val="22"/>
        </w:rPr>
        <w:t xml:space="preserve"> </w:t>
      </w:r>
      <w:r w:rsidRPr="0051350A">
        <w:rPr>
          <w:rFonts w:eastAsiaTheme="minorHAnsi"/>
          <w:szCs w:val="22"/>
        </w:rPr>
        <w:t xml:space="preserve">point solution remains disposal, in the interim it is essential that </w:t>
      </w:r>
      <w:r w:rsidR="00EE6351">
        <w:rPr>
          <w:rFonts w:eastAsiaTheme="minorHAnsi"/>
          <w:szCs w:val="22"/>
        </w:rPr>
        <w:t>DSRS</w:t>
      </w:r>
      <w:r w:rsidR="00871105">
        <w:rPr>
          <w:rFonts w:eastAsiaTheme="minorHAnsi"/>
          <w:szCs w:val="22"/>
        </w:rPr>
        <w:t>s</w:t>
      </w:r>
      <w:r w:rsidRPr="0051350A">
        <w:rPr>
          <w:rFonts w:eastAsiaTheme="minorHAnsi"/>
          <w:szCs w:val="22"/>
        </w:rPr>
        <w:t xml:space="preserve"> be appropriately and safely conditioned and stored.</w:t>
      </w:r>
    </w:p>
    <w:p w14:paraId="18200D5D" w14:textId="7D6E64C3" w:rsidR="0042019B" w:rsidRDefault="0042019B" w:rsidP="0002411B">
      <w:p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 xml:space="preserve">For some situations (e.g. small programmes, small volumes of sources) specific disposal solutions can be implemented in line with international standards. Their implementation requires an appropriate governmental, legal and regulatory framework and a licensing process including the development of </w:t>
      </w:r>
      <w:r w:rsidR="00D055EE">
        <w:rPr>
          <w:rFonts w:eastAsiaTheme="minorHAnsi"/>
          <w:szCs w:val="22"/>
        </w:rPr>
        <w:t xml:space="preserve">a </w:t>
      </w:r>
      <w:r w:rsidRPr="0051350A">
        <w:rPr>
          <w:rFonts w:eastAsiaTheme="minorHAnsi"/>
          <w:szCs w:val="22"/>
        </w:rPr>
        <w:t>safety case.</w:t>
      </w:r>
    </w:p>
    <w:p w14:paraId="2283DB1A" w14:textId="43405479" w:rsidR="00603762" w:rsidRDefault="00603762" w:rsidP="0002411B">
      <w:pPr>
        <w:overflowPunct/>
        <w:autoSpaceDE/>
        <w:autoSpaceDN/>
        <w:adjustRightInd/>
        <w:spacing w:after="170" w:line="280" w:lineRule="atLeast"/>
        <w:jc w:val="both"/>
        <w:textAlignment w:val="auto"/>
        <w:rPr>
          <w:rFonts w:eastAsiaTheme="minorHAnsi"/>
          <w:szCs w:val="22"/>
        </w:rPr>
      </w:pPr>
      <w:r w:rsidRPr="00603762">
        <w:rPr>
          <w:rFonts w:eastAsiaTheme="minorHAnsi"/>
          <w:szCs w:val="22"/>
        </w:rPr>
        <w:t>The session will address the following points:</w:t>
      </w:r>
    </w:p>
    <w:p w14:paraId="20AD64A8" w14:textId="4DB76503" w:rsidR="0042019B" w:rsidRPr="0051350A" w:rsidRDefault="0042019B" w:rsidP="0002411B">
      <w:pPr>
        <w:numPr>
          <w:ilvl w:val="0"/>
          <w:numId w:val="21"/>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Developing the safety case for the disposal of DSRS</w:t>
      </w:r>
      <w:r w:rsidR="00D055EE">
        <w:rPr>
          <w:rFonts w:eastAsiaTheme="minorHAnsi"/>
          <w:szCs w:val="22"/>
        </w:rPr>
        <w:t>s</w:t>
      </w:r>
    </w:p>
    <w:p w14:paraId="36FB3987" w14:textId="1E98FE24" w:rsidR="0042019B" w:rsidRPr="0051350A" w:rsidRDefault="0042019B" w:rsidP="0002411B">
      <w:pPr>
        <w:numPr>
          <w:ilvl w:val="0"/>
          <w:numId w:val="21"/>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Specific safety aspects and technological solutions for the disposal of DSRS</w:t>
      </w:r>
      <w:r w:rsidR="00D055EE">
        <w:rPr>
          <w:rFonts w:eastAsiaTheme="minorHAnsi"/>
          <w:szCs w:val="22"/>
        </w:rPr>
        <w:t>s</w:t>
      </w:r>
    </w:p>
    <w:p w14:paraId="5EDAC83B" w14:textId="538725BF" w:rsidR="0042019B" w:rsidRPr="0051350A" w:rsidRDefault="0042019B" w:rsidP="0002411B">
      <w:pPr>
        <w:numPr>
          <w:ilvl w:val="0"/>
          <w:numId w:val="21"/>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Regulatory aspects: expectations for demonstration of safety</w:t>
      </w:r>
      <w:r w:rsidR="00D055EE">
        <w:rPr>
          <w:rFonts w:eastAsiaTheme="minorHAnsi"/>
          <w:szCs w:val="22"/>
        </w:rPr>
        <w:t>,</w:t>
      </w:r>
      <w:r w:rsidRPr="0051350A">
        <w:rPr>
          <w:rFonts w:eastAsiaTheme="minorHAnsi"/>
          <w:szCs w:val="22"/>
        </w:rPr>
        <w:t xml:space="preserve"> inspections</w:t>
      </w:r>
      <w:r w:rsidR="00D055EE">
        <w:rPr>
          <w:rFonts w:eastAsiaTheme="minorHAnsi"/>
          <w:szCs w:val="22"/>
        </w:rPr>
        <w:t>,</w:t>
      </w:r>
      <w:r w:rsidRPr="0051350A">
        <w:rPr>
          <w:rFonts w:eastAsiaTheme="minorHAnsi"/>
          <w:szCs w:val="22"/>
        </w:rPr>
        <w:t xml:space="preserve"> decisions</w:t>
      </w:r>
      <w:r w:rsidR="00D055EE">
        <w:rPr>
          <w:rFonts w:eastAsiaTheme="minorHAnsi"/>
          <w:szCs w:val="22"/>
        </w:rPr>
        <w:t>,</w:t>
      </w:r>
      <w:r w:rsidRPr="0051350A">
        <w:rPr>
          <w:rFonts w:eastAsiaTheme="minorHAnsi"/>
          <w:szCs w:val="22"/>
        </w:rPr>
        <w:t xml:space="preserve"> and actions upon non-compliance</w:t>
      </w:r>
    </w:p>
    <w:p w14:paraId="0A40779F" w14:textId="66BF2C7F" w:rsidR="0042019B" w:rsidRPr="0051350A" w:rsidRDefault="0042019B" w:rsidP="0002411B">
      <w:pPr>
        <w:numPr>
          <w:ilvl w:val="0"/>
          <w:numId w:val="21"/>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Dedicated disposal solution</w:t>
      </w:r>
      <w:r w:rsidR="00D055EE">
        <w:rPr>
          <w:rFonts w:eastAsiaTheme="minorHAnsi"/>
          <w:szCs w:val="22"/>
        </w:rPr>
        <w:t>s</w:t>
      </w:r>
      <w:r w:rsidRPr="0051350A">
        <w:rPr>
          <w:rFonts w:eastAsiaTheme="minorHAnsi"/>
          <w:szCs w:val="22"/>
        </w:rPr>
        <w:t xml:space="preserve"> and challenges in their implementation</w:t>
      </w:r>
    </w:p>
    <w:p w14:paraId="52E2D88D" w14:textId="61BC1971" w:rsidR="0042019B" w:rsidRPr="0002411B" w:rsidRDefault="0042019B" w:rsidP="0002411B">
      <w:pPr>
        <w:overflowPunct/>
        <w:autoSpaceDE/>
        <w:autoSpaceDN/>
        <w:adjustRightInd/>
        <w:spacing w:before="480" w:after="170" w:line="280" w:lineRule="atLeast"/>
        <w:jc w:val="both"/>
        <w:textAlignment w:val="auto"/>
        <w:rPr>
          <w:b/>
          <w:szCs w:val="22"/>
        </w:rPr>
      </w:pPr>
      <w:r w:rsidRPr="0002411B">
        <w:rPr>
          <w:b/>
          <w:szCs w:val="22"/>
        </w:rPr>
        <w:t>Disposal of High Level Waste</w:t>
      </w:r>
      <w:r w:rsidR="00D055EE">
        <w:rPr>
          <w:b/>
          <w:szCs w:val="22"/>
        </w:rPr>
        <w:t>,</w:t>
      </w:r>
      <w:r w:rsidRPr="0002411B">
        <w:rPr>
          <w:b/>
          <w:szCs w:val="22"/>
        </w:rPr>
        <w:t xml:space="preserve"> </w:t>
      </w:r>
      <w:r w:rsidR="00D055EE">
        <w:rPr>
          <w:b/>
          <w:szCs w:val="22"/>
        </w:rPr>
        <w:t>I</w:t>
      </w:r>
      <w:r w:rsidRPr="0002411B">
        <w:rPr>
          <w:b/>
          <w:szCs w:val="22"/>
        </w:rPr>
        <w:t xml:space="preserve">ncluding Spent Nuclear Fuel </w:t>
      </w:r>
      <w:r w:rsidR="00D055EE">
        <w:rPr>
          <w:b/>
          <w:szCs w:val="22"/>
        </w:rPr>
        <w:t>D</w:t>
      </w:r>
      <w:r w:rsidRPr="0002411B">
        <w:rPr>
          <w:b/>
          <w:szCs w:val="22"/>
        </w:rPr>
        <w:t xml:space="preserve">eclared as </w:t>
      </w:r>
      <w:r w:rsidR="00D055EE">
        <w:rPr>
          <w:b/>
          <w:szCs w:val="22"/>
        </w:rPr>
        <w:t>W</w:t>
      </w:r>
      <w:r w:rsidRPr="0002411B">
        <w:rPr>
          <w:b/>
          <w:szCs w:val="22"/>
        </w:rPr>
        <w:t>aste</w:t>
      </w:r>
    </w:p>
    <w:p w14:paraId="639A8C16" w14:textId="0EF05A7E" w:rsidR="0042019B" w:rsidRPr="0051350A" w:rsidRDefault="0042019B" w:rsidP="0002411B">
      <w:p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 xml:space="preserve">Technical solutions for the disposal of </w:t>
      </w:r>
      <w:r w:rsidR="00D055EE">
        <w:rPr>
          <w:rFonts w:eastAsiaTheme="minorHAnsi"/>
          <w:szCs w:val="22"/>
        </w:rPr>
        <w:t>HLW</w:t>
      </w:r>
      <w:r w:rsidRPr="0051350A">
        <w:rPr>
          <w:rFonts w:eastAsiaTheme="minorHAnsi"/>
          <w:szCs w:val="22"/>
        </w:rPr>
        <w:t xml:space="preserve"> (including spent nuclear fuel if declared as waste) exist and safety cases supporting licence applications have been developed in some countries. </w:t>
      </w:r>
      <w:r w:rsidR="00D055EE">
        <w:rPr>
          <w:rFonts w:eastAsiaTheme="minorHAnsi"/>
          <w:szCs w:val="22"/>
        </w:rPr>
        <w:t>Also,</w:t>
      </w:r>
      <w:r w:rsidRPr="0051350A">
        <w:rPr>
          <w:rFonts w:eastAsiaTheme="minorHAnsi"/>
          <w:szCs w:val="22"/>
        </w:rPr>
        <w:t xml:space="preserve"> some countries are progressing in the development of geological disposal programmes, </w:t>
      </w:r>
      <w:r w:rsidR="00722468">
        <w:rPr>
          <w:rFonts w:eastAsiaTheme="minorHAnsi"/>
          <w:szCs w:val="22"/>
        </w:rPr>
        <w:t>mainly for the siting process, while one Member State recently granted the authorization for construction of a geological disposal facility for spent nuclear fuel</w:t>
      </w:r>
      <w:r w:rsidRPr="0051350A">
        <w:rPr>
          <w:rFonts w:eastAsiaTheme="minorHAnsi"/>
          <w:szCs w:val="22"/>
        </w:rPr>
        <w:t xml:space="preserve">. However, for different reasons (e.g. public acceptance, political commitment) many countries are not showing such progress in the development and implementation of geological disposal for </w:t>
      </w:r>
      <w:r w:rsidR="00D055EE">
        <w:rPr>
          <w:rFonts w:eastAsiaTheme="minorHAnsi"/>
          <w:szCs w:val="22"/>
        </w:rPr>
        <w:t>HLW</w:t>
      </w:r>
      <w:r w:rsidRPr="0051350A">
        <w:rPr>
          <w:rFonts w:eastAsiaTheme="minorHAnsi"/>
          <w:szCs w:val="22"/>
        </w:rPr>
        <w:t>.</w:t>
      </w:r>
    </w:p>
    <w:p w14:paraId="3AFD134A" w14:textId="31DAE70F" w:rsidR="0042019B" w:rsidRDefault="0042019B" w:rsidP="0002411B">
      <w:p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Experience shows that the successful implementation of a safe geological disposal facility requires initiating such a process as early as possible as part of a nuclear programme. The implementer has the prime responsibility for developing a safe disposal concept. Within this process and even during the pre-licensing phase, the involvement of the regulator is essential for ensuring that safety and radiological criteria are appropriately taken into account both in the long</w:t>
      </w:r>
      <w:r w:rsidR="0029545B">
        <w:rPr>
          <w:rFonts w:eastAsiaTheme="minorHAnsi"/>
          <w:szCs w:val="22"/>
        </w:rPr>
        <w:t xml:space="preserve"> </w:t>
      </w:r>
      <w:r w:rsidRPr="0051350A">
        <w:rPr>
          <w:rFonts w:eastAsiaTheme="minorHAnsi"/>
          <w:szCs w:val="22"/>
        </w:rPr>
        <w:t>term and during operation.</w:t>
      </w:r>
    </w:p>
    <w:p w14:paraId="15F590BC" w14:textId="79B75047" w:rsidR="00603762" w:rsidRPr="0051350A" w:rsidRDefault="00603762" w:rsidP="0002411B">
      <w:pPr>
        <w:overflowPunct/>
        <w:autoSpaceDE/>
        <w:autoSpaceDN/>
        <w:adjustRightInd/>
        <w:spacing w:after="170" w:line="280" w:lineRule="atLeast"/>
        <w:jc w:val="both"/>
        <w:textAlignment w:val="auto"/>
        <w:rPr>
          <w:rFonts w:eastAsiaTheme="minorHAnsi"/>
          <w:szCs w:val="22"/>
        </w:rPr>
      </w:pPr>
      <w:r w:rsidRPr="00603762">
        <w:rPr>
          <w:rFonts w:eastAsiaTheme="minorHAnsi"/>
          <w:szCs w:val="22"/>
        </w:rPr>
        <w:lastRenderedPageBreak/>
        <w:t>The session will address the following points:</w:t>
      </w:r>
    </w:p>
    <w:p w14:paraId="19D9DBEC" w14:textId="488912FC" w:rsidR="0042019B" w:rsidRPr="0051350A" w:rsidRDefault="0042019B" w:rsidP="00937AA4">
      <w:pPr>
        <w:numPr>
          <w:ilvl w:val="0"/>
          <w:numId w:val="21"/>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 xml:space="preserve">Experience in developing and reviewing safety cases for the disposal of </w:t>
      </w:r>
      <w:r w:rsidR="0029545B">
        <w:rPr>
          <w:rFonts w:eastAsiaTheme="minorHAnsi"/>
          <w:szCs w:val="22"/>
        </w:rPr>
        <w:t>HLW</w:t>
      </w:r>
      <w:r w:rsidRPr="0051350A">
        <w:rPr>
          <w:rFonts w:eastAsiaTheme="minorHAnsi"/>
          <w:szCs w:val="22"/>
        </w:rPr>
        <w:t xml:space="preserve"> (operational and long</w:t>
      </w:r>
      <w:r w:rsidR="0029545B">
        <w:rPr>
          <w:rFonts w:eastAsiaTheme="minorHAnsi"/>
          <w:szCs w:val="22"/>
        </w:rPr>
        <w:t xml:space="preserve"> </w:t>
      </w:r>
      <w:r w:rsidRPr="0051350A">
        <w:rPr>
          <w:rFonts w:eastAsiaTheme="minorHAnsi"/>
          <w:szCs w:val="22"/>
        </w:rPr>
        <w:t>term safety)</w:t>
      </w:r>
    </w:p>
    <w:p w14:paraId="55D69EA3" w14:textId="13EF500E" w:rsidR="0042019B" w:rsidRPr="0051350A" w:rsidRDefault="0042019B" w:rsidP="00937AA4">
      <w:pPr>
        <w:numPr>
          <w:ilvl w:val="0"/>
          <w:numId w:val="21"/>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 xml:space="preserve">Experience from </w:t>
      </w:r>
      <w:r w:rsidR="0029545B">
        <w:rPr>
          <w:rFonts w:eastAsiaTheme="minorHAnsi"/>
          <w:szCs w:val="22"/>
        </w:rPr>
        <w:t xml:space="preserve">the </w:t>
      </w:r>
      <w:r w:rsidRPr="0051350A">
        <w:rPr>
          <w:rFonts w:eastAsiaTheme="minorHAnsi"/>
          <w:szCs w:val="22"/>
        </w:rPr>
        <w:t>siting process</w:t>
      </w:r>
      <w:r w:rsidR="0029545B">
        <w:rPr>
          <w:rFonts w:eastAsiaTheme="minorHAnsi"/>
          <w:szCs w:val="22"/>
        </w:rPr>
        <w:t>,</w:t>
      </w:r>
      <w:r w:rsidRPr="0051350A">
        <w:rPr>
          <w:rFonts w:eastAsiaTheme="minorHAnsi"/>
          <w:szCs w:val="22"/>
        </w:rPr>
        <w:t xml:space="preserve"> including the role of</w:t>
      </w:r>
      <w:r w:rsidR="0029545B">
        <w:rPr>
          <w:rFonts w:eastAsiaTheme="minorHAnsi"/>
          <w:szCs w:val="22"/>
        </w:rPr>
        <w:t>,</w:t>
      </w:r>
      <w:r w:rsidRPr="0051350A">
        <w:rPr>
          <w:rFonts w:eastAsiaTheme="minorHAnsi"/>
          <w:szCs w:val="22"/>
        </w:rPr>
        <w:t xml:space="preserve"> and interactions between</w:t>
      </w:r>
      <w:r w:rsidR="0029545B">
        <w:rPr>
          <w:rFonts w:eastAsiaTheme="minorHAnsi"/>
          <w:szCs w:val="22"/>
        </w:rPr>
        <w:t>,</w:t>
      </w:r>
      <w:r w:rsidRPr="0051350A">
        <w:rPr>
          <w:rFonts w:eastAsiaTheme="minorHAnsi"/>
          <w:szCs w:val="22"/>
        </w:rPr>
        <w:t xml:space="preserve"> the </w:t>
      </w:r>
      <w:r w:rsidR="0029545B">
        <w:rPr>
          <w:rFonts w:eastAsiaTheme="minorHAnsi"/>
          <w:szCs w:val="22"/>
        </w:rPr>
        <w:t>various</w:t>
      </w:r>
      <w:r w:rsidR="0029545B" w:rsidRPr="0051350A">
        <w:rPr>
          <w:rFonts w:eastAsiaTheme="minorHAnsi"/>
          <w:szCs w:val="22"/>
        </w:rPr>
        <w:t xml:space="preserve"> </w:t>
      </w:r>
      <w:r w:rsidRPr="0051350A">
        <w:rPr>
          <w:rFonts w:eastAsiaTheme="minorHAnsi"/>
          <w:szCs w:val="22"/>
        </w:rPr>
        <w:t>interested parties (implementer, regulator, government, public</w:t>
      </w:r>
      <w:r w:rsidR="0029545B">
        <w:rPr>
          <w:rFonts w:eastAsiaTheme="minorHAnsi"/>
          <w:szCs w:val="22"/>
        </w:rPr>
        <w:t>, etc.</w:t>
      </w:r>
      <w:r w:rsidR="0029545B" w:rsidRPr="0051350A">
        <w:rPr>
          <w:rFonts w:eastAsiaTheme="minorHAnsi"/>
          <w:szCs w:val="22"/>
        </w:rPr>
        <w:t>)</w:t>
      </w:r>
    </w:p>
    <w:p w14:paraId="2590AC02" w14:textId="25D49C97" w:rsidR="0042019B" w:rsidRPr="0051350A" w:rsidRDefault="0042019B" w:rsidP="00937AA4">
      <w:pPr>
        <w:numPr>
          <w:ilvl w:val="0"/>
          <w:numId w:val="21"/>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 xml:space="preserve">Specific safety aspects and technological solutions for </w:t>
      </w:r>
      <w:r w:rsidR="0029545B">
        <w:rPr>
          <w:rFonts w:eastAsiaTheme="minorHAnsi"/>
          <w:szCs w:val="22"/>
        </w:rPr>
        <w:t xml:space="preserve">the </w:t>
      </w:r>
      <w:r w:rsidRPr="0051350A">
        <w:rPr>
          <w:rFonts w:eastAsiaTheme="minorHAnsi"/>
          <w:szCs w:val="22"/>
        </w:rPr>
        <w:t>disposal of HLW (e.g. monitoring and role to support decision</w:t>
      </w:r>
      <w:r w:rsidR="0029545B">
        <w:rPr>
          <w:rFonts w:eastAsiaTheme="minorHAnsi"/>
          <w:szCs w:val="22"/>
        </w:rPr>
        <w:t>-</w:t>
      </w:r>
      <w:r w:rsidRPr="0051350A">
        <w:rPr>
          <w:rFonts w:eastAsiaTheme="minorHAnsi"/>
          <w:szCs w:val="22"/>
        </w:rPr>
        <w:t>making, reversibility/</w:t>
      </w:r>
      <w:proofErr w:type="spellStart"/>
      <w:r w:rsidRPr="0051350A">
        <w:rPr>
          <w:rFonts w:eastAsiaTheme="minorHAnsi"/>
          <w:szCs w:val="22"/>
        </w:rPr>
        <w:t>retrievability</w:t>
      </w:r>
      <w:proofErr w:type="spellEnd"/>
      <w:r w:rsidRPr="0051350A">
        <w:rPr>
          <w:rFonts w:eastAsiaTheme="minorHAnsi"/>
          <w:szCs w:val="22"/>
        </w:rPr>
        <w:t>, scenario development, knowledge management and memory keeping)</w:t>
      </w:r>
    </w:p>
    <w:p w14:paraId="3A238592" w14:textId="68881EE6" w:rsidR="0042019B" w:rsidRPr="0051350A" w:rsidRDefault="0042019B" w:rsidP="00937AA4">
      <w:pPr>
        <w:numPr>
          <w:ilvl w:val="0"/>
          <w:numId w:val="21"/>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 xml:space="preserve">Flexibility of geological disposal facilities to accommodate </w:t>
      </w:r>
      <w:r w:rsidR="0029545B">
        <w:rPr>
          <w:rFonts w:eastAsiaTheme="minorHAnsi"/>
          <w:szCs w:val="22"/>
        </w:rPr>
        <w:t xml:space="preserve">the </w:t>
      </w:r>
      <w:r w:rsidRPr="0051350A">
        <w:rPr>
          <w:rFonts w:eastAsiaTheme="minorHAnsi"/>
          <w:szCs w:val="22"/>
        </w:rPr>
        <w:t>evolution of inventories and characteristics of waste</w:t>
      </w:r>
    </w:p>
    <w:p w14:paraId="7FC7F865" w14:textId="491659C9" w:rsidR="0042019B" w:rsidRPr="0051350A" w:rsidRDefault="0042019B" w:rsidP="00937AA4">
      <w:pPr>
        <w:numPr>
          <w:ilvl w:val="0"/>
          <w:numId w:val="21"/>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Experience and challenges for operators and regulators in moving from development to the construction and operation of the disposal facility (industrialization, regulatory authorization</w:t>
      </w:r>
      <w:r w:rsidR="00652B25">
        <w:rPr>
          <w:rFonts w:eastAsiaTheme="minorHAnsi"/>
          <w:szCs w:val="22"/>
        </w:rPr>
        <w:t>, etc.</w:t>
      </w:r>
      <w:r w:rsidRPr="0051350A">
        <w:rPr>
          <w:rFonts w:eastAsiaTheme="minorHAnsi"/>
          <w:szCs w:val="22"/>
        </w:rPr>
        <w:t>)</w:t>
      </w:r>
    </w:p>
    <w:p w14:paraId="35912A09" w14:textId="77777777" w:rsidR="0042019B" w:rsidRPr="0051350A" w:rsidRDefault="0042019B" w:rsidP="00937AA4">
      <w:pPr>
        <w:numPr>
          <w:ilvl w:val="0"/>
          <w:numId w:val="21"/>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Using the safety case for prioritization of research and development</w:t>
      </w:r>
    </w:p>
    <w:p w14:paraId="1D0671F7" w14:textId="797F5400" w:rsidR="0042019B" w:rsidRPr="0051350A" w:rsidRDefault="0042019B" w:rsidP="00937AA4">
      <w:pPr>
        <w:numPr>
          <w:ilvl w:val="0"/>
          <w:numId w:val="21"/>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Challenges for Member States contemplating shared disposal facilities (e.g. responsibilities, decision-making, public involvement and acceptance</w:t>
      </w:r>
      <w:r w:rsidR="00652B25">
        <w:rPr>
          <w:rFonts w:eastAsiaTheme="minorHAnsi"/>
          <w:szCs w:val="22"/>
        </w:rPr>
        <w:t>, etc.</w:t>
      </w:r>
      <w:r w:rsidR="00652B25" w:rsidRPr="0051350A">
        <w:rPr>
          <w:rFonts w:eastAsiaTheme="minorHAnsi"/>
          <w:szCs w:val="22"/>
        </w:rPr>
        <w:t>)</w:t>
      </w:r>
    </w:p>
    <w:p w14:paraId="1B4ECA47" w14:textId="24C677FE" w:rsidR="0042019B" w:rsidRPr="0051350A" w:rsidRDefault="0042019B" w:rsidP="00937AA4">
      <w:pPr>
        <w:numPr>
          <w:ilvl w:val="0"/>
          <w:numId w:val="21"/>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Experience</w:t>
      </w:r>
      <w:r w:rsidR="00652B25">
        <w:rPr>
          <w:rFonts w:eastAsiaTheme="minorHAnsi"/>
          <w:szCs w:val="22"/>
        </w:rPr>
        <w:t>s</w:t>
      </w:r>
      <w:r w:rsidRPr="0051350A">
        <w:rPr>
          <w:rFonts w:eastAsiaTheme="minorHAnsi"/>
          <w:szCs w:val="22"/>
        </w:rPr>
        <w:t xml:space="preserve"> with </w:t>
      </w:r>
      <w:r w:rsidR="00652B25">
        <w:rPr>
          <w:rFonts w:eastAsiaTheme="minorHAnsi"/>
          <w:szCs w:val="22"/>
        </w:rPr>
        <w:t xml:space="preserve">the </w:t>
      </w:r>
      <w:r w:rsidRPr="0051350A">
        <w:rPr>
          <w:rFonts w:eastAsiaTheme="minorHAnsi"/>
          <w:szCs w:val="22"/>
        </w:rPr>
        <w:t xml:space="preserve">use of </w:t>
      </w:r>
      <w:r w:rsidR="00652B25">
        <w:rPr>
          <w:rFonts w:eastAsiaTheme="minorHAnsi"/>
          <w:szCs w:val="22"/>
        </w:rPr>
        <w:t>i</w:t>
      </w:r>
      <w:r w:rsidRPr="0051350A">
        <w:rPr>
          <w:rFonts w:eastAsiaTheme="minorHAnsi"/>
          <w:szCs w:val="22"/>
        </w:rPr>
        <w:t>nternational guidance</w:t>
      </w:r>
    </w:p>
    <w:p w14:paraId="3E5A3CA2" w14:textId="729B5F90" w:rsidR="0042019B" w:rsidRPr="00B80BFB" w:rsidRDefault="0042019B" w:rsidP="00937AA4">
      <w:pPr>
        <w:overflowPunct/>
        <w:autoSpaceDE/>
        <w:autoSpaceDN/>
        <w:adjustRightInd/>
        <w:spacing w:before="480" w:after="170" w:line="280" w:lineRule="atLeast"/>
        <w:jc w:val="both"/>
        <w:textAlignment w:val="auto"/>
        <w:rPr>
          <w:b/>
          <w:szCs w:val="22"/>
        </w:rPr>
      </w:pPr>
      <w:r w:rsidRPr="00531765">
        <w:rPr>
          <w:b/>
          <w:szCs w:val="22"/>
        </w:rPr>
        <w:t>Post-</w:t>
      </w:r>
      <w:r w:rsidR="00652B25">
        <w:rPr>
          <w:b/>
          <w:szCs w:val="22"/>
        </w:rPr>
        <w:t>A</w:t>
      </w:r>
      <w:r w:rsidRPr="00531765">
        <w:rPr>
          <w:b/>
          <w:szCs w:val="22"/>
        </w:rPr>
        <w:t xml:space="preserve">ccident Waste Management: Lessons </w:t>
      </w:r>
      <w:r w:rsidR="00652B25">
        <w:rPr>
          <w:b/>
          <w:szCs w:val="22"/>
        </w:rPr>
        <w:t>L</w:t>
      </w:r>
      <w:r w:rsidRPr="00531765">
        <w:rPr>
          <w:b/>
          <w:szCs w:val="22"/>
        </w:rPr>
        <w:t xml:space="preserve">earned and </w:t>
      </w:r>
      <w:r w:rsidR="00652B25">
        <w:rPr>
          <w:b/>
          <w:szCs w:val="22"/>
        </w:rPr>
        <w:t>P</w:t>
      </w:r>
      <w:r w:rsidRPr="00531765">
        <w:rPr>
          <w:b/>
          <w:szCs w:val="22"/>
        </w:rPr>
        <w:t>reparedness</w:t>
      </w:r>
    </w:p>
    <w:p w14:paraId="26D4D910" w14:textId="2875EF66" w:rsidR="0042019B" w:rsidRPr="0051350A" w:rsidRDefault="0042019B" w:rsidP="00937AA4">
      <w:p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 xml:space="preserve">Events at Fukushima and elsewhere have demonstrated that accidents can happen and </w:t>
      </w:r>
      <w:r w:rsidR="00652B25">
        <w:rPr>
          <w:rFonts w:eastAsiaTheme="minorHAnsi"/>
          <w:szCs w:val="22"/>
        </w:rPr>
        <w:t xml:space="preserve">that </w:t>
      </w:r>
      <w:r w:rsidRPr="0051350A">
        <w:rPr>
          <w:rFonts w:eastAsiaTheme="minorHAnsi"/>
          <w:szCs w:val="22"/>
        </w:rPr>
        <w:t>Member States should be prepared for such eventualities and have in place structures and frameworks to cover post-accident waste management. This will require consideration to be given to waste management strategies and to the roles and responsibilities of the various parties</w:t>
      </w:r>
      <w:r w:rsidR="00652B25">
        <w:rPr>
          <w:rFonts w:eastAsiaTheme="minorHAnsi"/>
          <w:szCs w:val="22"/>
        </w:rPr>
        <w:t>,</w:t>
      </w:r>
      <w:r w:rsidRPr="0051350A">
        <w:rPr>
          <w:rFonts w:eastAsiaTheme="minorHAnsi"/>
          <w:szCs w:val="22"/>
        </w:rPr>
        <w:t xml:space="preserve"> including operator, regulator, emergency services, local and </w:t>
      </w:r>
      <w:r w:rsidR="00652B25">
        <w:rPr>
          <w:rFonts w:eastAsiaTheme="minorHAnsi"/>
          <w:szCs w:val="22"/>
        </w:rPr>
        <w:t>n</w:t>
      </w:r>
      <w:r w:rsidRPr="0051350A">
        <w:rPr>
          <w:rFonts w:eastAsiaTheme="minorHAnsi"/>
          <w:szCs w:val="22"/>
        </w:rPr>
        <w:t>ational decision-makers</w:t>
      </w:r>
      <w:r w:rsidR="00652B25">
        <w:rPr>
          <w:rFonts w:eastAsiaTheme="minorHAnsi"/>
          <w:szCs w:val="22"/>
        </w:rPr>
        <w:t>,</w:t>
      </w:r>
      <w:r w:rsidRPr="0051350A">
        <w:rPr>
          <w:rFonts w:eastAsiaTheme="minorHAnsi"/>
          <w:szCs w:val="22"/>
        </w:rPr>
        <w:t xml:space="preserve"> etc. Lessons learned suggest that these issues should be planned for in advance and that there should be flexibility (if needed) in the application of regulatory criteria to facilitate optimi</w:t>
      </w:r>
      <w:r w:rsidR="00652B25">
        <w:rPr>
          <w:rFonts w:eastAsiaTheme="minorHAnsi"/>
          <w:szCs w:val="22"/>
        </w:rPr>
        <w:t>z</w:t>
      </w:r>
      <w:r w:rsidRPr="0051350A">
        <w:rPr>
          <w:rFonts w:eastAsiaTheme="minorHAnsi"/>
          <w:szCs w:val="22"/>
        </w:rPr>
        <w:t>ed waste management.</w:t>
      </w:r>
    </w:p>
    <w:p w14:paraId="4E97F5DB" w14:textId="45CD48D4" w:rsidR="0042019B" w:rsidRPr="0051350A" w:rsidRDefault="0042019B" w:rsidP="00937AA4">
      <w:p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 xml:space="preserve">The scope of this session is </w:t>
      </w:r>
      <w:r w:rsidR="00652B25">
        <w:rPr>
          <w:rFonts w:eastAsiaTheme="minorHAnsi"/>
          <w:szCs w:val="22"/>
        </w:rPr>
        <w:t>intended</w:t>
      </w:r>
      <w:r w:rsidR="00652B25" w:rsidRPr="0051350A">
        <w:rPr>
          <w:rFonts w:eastAsiaTheme="minorHAnsi"/>
          <w:szCs w:val="22"/>
        </w:rPr>
        <w:t xml:space="preserve"> </w:t>
      </w:r>
      <w:r w:rsidRPr="0051350A">
        <w:rPr>
          <w:rFonts w:eastAsiaTheme="minorHAnsi"/>
          <w:szCs w:val="22"/>
        </w:rPr>
        <w:t xml:space="preserve">to address </w:t>
      </w:r>
      <w:r w:rsidR="00652B25">
        <w:rPr>
          <w:rFonts w:eastAsiaTheme="minorHAnsi"/>
          <w:szCs w:val="22"/>
        </w:rPr>
        <w:t xml:space="preserve">the </w:t>
      </w:r>
      <w:r w:rsidRPr="0051350A">
        <w:rPr>
          <w:rFonts w:eastAsiaTheme="minorHAnsi"/>
          <w:szCs w:val="22"/>
        </w:rPr>
        <w:t>management of waste a</w:t>
      </w:r>
      <w:r w:rsidR="00603762">
        <w:rPr>
          <w:rFonts w:eastAsiaTheme="minorHAnsi"/>
          <w:szCs w:val="22"/>
        </w:rPr>
        <w:t>nd not the remediation of sites and will address the following points:</w:t>
      </w:r>
    </w:p>
    <w:p w14:paraId="36BFB17E" w14:textId="4D5D7815" w:rsidR="0042019B" w:rsidRPr="0051350A" w:rsidRDefault="0042019B" w:rsidP="00937AA4">
      <w:pPr>
        <w:numPr>
          <w:ilvl w:val="0"/>
          <w:numId w:val="22"/>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 xml:space="preserve">Experience of post-accident waste management (e.g. management of large amounts of waste (generally low activity) or damaged fuel, characterization of waste, </w:t>
      </w:r>
      <w:r w:rsidR="00652B25">
        <w:rPr>
          <w:rFonts w:eastAsiaTheme="minorHAnsi"/>
          <w:szCs w:val="22"/>
        </w:rPr>
        <w:t>etc.</w:t>
      </w:r>
      <w:r w:rsidR="00652B25" w:rsidRPr="0051350A">
        <w:rPr>
          <w:rFonts w:eastAsiaTheme="minorHAnsi"/>
          <w:szCs w:val="22"/>
        </w:rPr>
        <w:t>)</w:t>
      </w:r>
      <w:r w:rsidR="00652B25">
        <w:rPr>
          <w:rFonts w:eastAsiaTheme="minorHAnsi"/>
          <w:szCs w:val="22"/>
        </w:rPr>
        <w:t>,</w:t>
      </w:r>
      <w:r w:rsidR="00652B25" w:rsidRPr="0051350A">
        <w:rPr>
          <w:rFonts w:eastAsiaTheme="minorHAnsi"/>
          <w:szCs w:val="22"/>
        </w:rPr>
        <w:t xml:space="preserve"> </w:t>
      </w:r>
      <w:r w:rsidRPr="0051350A">
        <w:rPr>
          <w:rFonts w:eastAsiaTheme="minorHAnsi"/>
          <w:szCs w:val="22"/>
        </w:rPr>
        <w:t>including</w:t>
      </w:r>
      <w:r w:rsidR="00652B25">
        <w:rPr>
          <w:rFonts w:eastAsiaTheme="minorHAnsi"/>
          <w:szCs w:val="22"/>
        </w:rPr>
        <w:t>:</w:t>
      </w:r>
    </w:p>
    <w:p w14:paraId="73090DEE" w14:textId="77777777" w:rsidR="0042019B" w:rsidRPr="0051350A" w:rsidRDefault="0042019B" w:rsidP="00937AA4">
      <w:pPr>
        <w:numPr>
          <w:ilvl w:val="1"/>
          <w:numId w:val="22"/>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Strategies for identifying and developing storage sites, conditioning techniques, and disposal concepts</w:t>
      </w:r>
    </w:p>
    <w:p w14:paraId="3D685786" w14:textId="77777777" w:rsidR="0042019B" w:rsidRPr="0051350A" w:rsidRDefault="0042019B" w:rsidP="00937AA4">
      <w:pPr>
        <w:numPr>
          <w:ilvl w:val="1"/>
          <w:numId w:val="22"/>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Establishment of radiological protection criteria for post-accident conditions</w:t>
      </w:r>
    </w:p>
    <w:p w14:paraId="66F29774" w14:textId="26CD0427" w:rsidR="0042019B" w:rsidRPr="0051350A" w:rsidRDefault="0042019B" w:rsidP="00937AA4">
      <w:pPr>
        <w:numPr>
          <w:ilvl w:val="0"/>
          <w:numId w:val="22"/>
        </w:numPr>
        <w:overflowPunct/>
        <w:autoSpaceDE/>
        <w:autoSpaceDN/>
        <w:adjustRightInd/>
        <w:spacing w:after="170" w:line="280" w:lineRule="atLeast"/>
        <w:jc w:val="both"/>
        <w:textAlignment w:val="auto"/>
        <w:rPr>
          <w:rFonts w:eastAsiaTheme="minorHAnsi"/>
          <w:szCs w:val="22"/>
        </w:rPr>
      </w:pPr>
      <w:r w:rsidRPr="0051350A">
        <w:rPr>
          <w:rFonts w:eastAsiaTheme="minorHAnsi"/>
          <w:szCs w:val="22"/>
        </w:rPr>
        <w:t xml:space="preserve">Lessons learned </w:t>
      </w:r>
      <w:r w:rsidR="00652B25">
        <w:rPr>
          <w:rFonts w:eastAsiaTheme="minorHAnsi"/>
          <w:szCs w:val="22"/>
        </w:rPr>
        <w:t>—</w:t>
      </w:r>
      <w:r w:rsidR="00652B25" w:rsidRPr="0051350A">
        <w:rPr>
          <w:rFonts w:eastAsiaTheme="minorHAnsi"/>
          <w:szCs w:val="22"/>
        </w:rPr>
        <w:t xml:space="preserve"> </w:t>
      </w:r>
      <w:r w:rsidRPr="0051350A">
        <w:rPr>
          <w:rFonts w:eastAsiaTheme="minorHAnsi"/>
          <w:szCs w:val="22"/>
        </w:rPr>
        <w:t xml:space="preserve">Member States’ planning for post-accident waste management and </w:t>
      </w:r>
      <w:r w:rsidR="00652B25">
        <w:rPr>
          <w:rFonts w:eastAsiaTheme="minorHAnsi"/>
          <w:szCs w:val="22"/>
        </w:rPr>
        <w:t xml:space="preserve">the </w:t>
      </w:r>
      <w:r w:rsidRPr="0051350A">
        <w:rPr>
          <w:rFonts w:eastAsiaTheme="minorHAnsi"/>
          <w:szCs w:val="22"/>
        </w:rPr>
        <w:t>necessary organi</w:t>
      </w:r>
      <w:r w:rsidR="00652B25">
        <w:rPr>
          <w:rFonts w:eastAsiaTheme="minorHAnsi"/>
          <w:szCs w:val="22"/>
        </w:rPr>
        <w:t>z</w:t>
      </w:r>
      <w:r w:rsidRPr="0051350A">
        <w:rPr>
          <w:rFonts w:eastAsiaTheme="minorHAnsi"/>
          <w:szCs w:val="22"/>
        </w:rPr>
        <w:t>ational and regulatory framework, including</w:t>
      </w:r>
      <w:r w:rsidR="00652B25">
        <w:rPr>
          <w:rFonts w:eastAsiaTheme="minorHAnsi"/>
          <w:szCs w:val="22"/>
        </w:rPr>
        <w:t>:</w:t>
      </w:r>
    </w:p>
    <w:p w14:paraId="03A92CF0" w14:textId="77777777" w:rsidR="0042019B" w:rsidRPr="0051350A" w:rsidRDefault="0042019B" w:rsidP="00937AA4">
      <w:pPr>
        <w:numPr>
          <w:ilvl w:val="1"/>
          <w:numId w:val="22"/>
        </w:numPr>
        <w:overflowPunct/>
        <w:autoSpaceDE/>
        <w:autoSpaceDN/>
        <w:adjustRightInd/>
        <w:spacing w:after="170" w:line="280" w:lineRule="atLeast"/>
        <w:jc w:val="both"/>
        <w:textAlignment w:val="auto"/>
        <w:rPr>
          <w:szCs w:val="22"/>
        </w:rPr>
      </w:pPr>
      <w:r w:rsidRPr="0051350A">
        <w:rPr>
          <w:szCs w:val="22"/>
        </w:rPr>
        <w:t>Scenarios to consider for evaluating and selecting appropriate waste management strategies</w:t>
      </w:r>
    </w:p>
    <w:p w14:paraId="0C2DA6F7" w14:textId="22251E4B" w:rsidR="0042019B" w:rsidRPr="0051350A" w:rsidRDefault="0042019B" w:rsidP="00937AA4">
      <w:pPr>
        <w:numPr>
          <w:ilvl w:val="0"/>
          <w:numId w:val="22"/>
        </w:numPr>
        <w:overflowPunct/>
        <w:autoSpaceDE/>
        <w:autoSpaceDN/>
        <w:adjustRightInd/>
        <w:spacing w:after="170" w:line="280" w:lineRule="atLeast"/>
        <w:jc w:val="both"/>
        <w:textAlignment w:val="auto"/>
        <w:rPr>
          <w:szCs w:val="22"/>
        </w:rPr>
      </w:pPr>
      <w:r w:rsidRPr="0051350A">
        <w:rPr>
          <w:szCs w:val="22"/>
        </w:rPr>
        <w:t>Licensing process for post-accident waste management activities and facilities</w:t>
      </w:r>
    </w:p>
    <w:p w14:paraId="4E6B18E9" w14:textId="0507D9B9" w:rsidR="0042019B" w:rsidRPr="0051350A" w:rsidRDefault="0042019B" w:rsidP="00937AA4">
      <w:pPr>
        <w:numPr>
          <w:ilvl w:val="0"/>
          <w:numId w:val="22"/>
        </w:numPr>
        <w:overflowPunct/>
        <w:autoSpaceDE/>
        <w:autoSpaceDN/>
        <w:adjustRightInd/>
        <w:spacing w:after="170" w:line="280" w:lineRule="atLeast"/>
        <w:jc w:val="both"/>
        <w:textAlignment w:val="auto"/>
        <w:rPr>
          <w:szCs w:val="22"/>
        </w:rPr>
      </w:pPr>
      <w:r w:rsidRPr="0051350A">
        <w:rPr>
          <w:szCs w:val="22"/>
        </w:rPr>
        <w:lastRenderedPageBreak/>
        <w:t xml:space="preserve">Public involvement e.g. in </w:t>
      </w:r>
      <w:r w:rsidR="00652B25">
        <w:rPr>
          <w:szCs w:val="22"/>
        </w:rPr>
        <w:t xml:space="preserve">the </w:t>
      </w:r>
      <w:r w:rsidRPr="0051350A">
        <w:rPr>
          <w:szCs w:val="22"/>
        </w:rPr>
        <w:t>preparation and implementation of post-accident waste management strategies</w:t>
      </w:r>
    </w:p>
    <w:p w14:paraId="0E049C22" w14:textId="019D5233" w:rsidR="00D44E9C" w:rsidRDefault="00C81C66" w:rsidP="00C81C66">
      <w:pPr>
        <w:pStyle w:val="Heading1"/>
      </w:pPr>
      <w:bookmarkStart w:id="3" w:name="_Ref431198441"/>
      <w:r>
        <w:t>Contributed</w:t>
      </w:r>
      <w:r w:rsidR="00A375AD" w:rsidRPr="00C81C66">
        <w:t xml:space="preserve"> Abstracts</w:t>
      </w:r>
      <w:bookmarkEnd w:id="3"/>
      <w:r>
        <w:t xml:space="preserve"> and Papers</w:t>
      </w:r>
    </w:p>
    <w:p w14:paraId="445B9EE0" w14:textId="1E8A44C2" w:rsidR="00C81C66" w:rsidRPr="00937AA4" w:rsidRDefault="00C81C66" w:rsidP="00937AA4">
      <w:pPr>
        <w:overflowPunct/>
        <w:autoSpaceDE/>
        <w:autoSpaceDN/>
        <w:adjustRightInd/>
        <w:spacing w:after="170" w:line="280" w:lineRule="atLeast"/>
        <w:jc w:val="both"/>
        <w:textAlignment w:val="auto"/>
        <w:rPr>
          <w:rFonts w:eastAsiaTheme="minorHAnsi"/>
          <w:szCs w:val="22"/>
        </w:rPr>
      </w:pPr>
      <w:r w:rsidRPr="00937AA4">
        <w:rPr>
          <w:rFonts w:eastAsiaTheme="minorHAnsi"/>
          <w:szCs w:val="22"/>
        </w:rPr>
        <w:t xml:space="preserve">Papers on issues falling within the topics outlined in Section </w:t>
      </w:r>
      <w:r w:rsidR="00652B25">
        <w:rPr>
          <w:rFonts w:eastAsiaTheme="minorHAnsi"/>
          <w:szCs w:val="22"/>
        </w:rPr>
        <w:fldChar w:fldCharType="begin"/>
      </w:r>
      <w:r w:rsidR="00652B25">
        <w:rPr>
          <w:rFonts w:eastAsiaTheme="minorHAnsi"/>
          <w:szCs w:val="22"/>
        </w:rPr>
        <w:instrText xml:space="preserve"> REF _Ref434486761 \r \h </w:instrText>
      </w:r>
      <w:r w:rsidR="00652B25">
        <w:rPr>
          <w:rFonts w:eastAsiaTheme="minorHAnsi"/>
          <w:szCs w:val="22"/>
        </w:rPr>
      </w:r>
      <w:r w:rsidR="00652B25">
        <w:rPr>
          <w:rFonts w:eastAsiaTheme="minorHAnsi"/>
          <w:szCs w:val="22"/>
        </w:rPr>
        <w:fldChar w:fldCharType="separate"/>
      </w:r>
      <w:r w:rsidR="00CB498F">
        <w:rPr>
          <w:rFonts w:eastAsiaTheme="minorHAnsi"/>
          <w:szCs w:val="22"/>
        </w:rPr>
        <w:t>C</w:t>
      </w:r>
      <w:r w:rsidR="00652B25">
        <w:rPr>
          <w:rFonts w:eastAsiaTheme="minorHAnsi"/>
          <w:szCs w:val="22"/>
        </w:rPr>
        <w:fldChar w:fldCharType="end"/>
      </w:r>
      <w:r w:rsidRPr="00937AA4">
        <w:rPr>
          <w:rFonts w:eastAsiaTheme="minorHAnsi"/>
          <w:szCs w:val="22"/>
        </w:rPr>
        <w:t xml:space="preserve"> above may be submitted as contributions to the conference. All papers, apart from invited papers, must present original work and should not have been published elsewhere.</w:t>
      </w:r>
    </w:p>
    <w:p w14:paraId="4AA10CB4" w14:textId="77777777" w:rsidR="00C81C66" w:rsidRPr="00652B25" w:rsidRDefault="00C81C66" w:rsidP="00937AA4">
      <w:pPr>
        <w:pStyle w:val="Heading2"/>
      </w:pPr>
      <w:r w:rsidRPr="00652B25">
        <w:t>Submission of Abstracts</w:t>
      </w:r>
    </w:p>
    <w:p w14:paraId="1F71348D" w14:textId="397C7D53" w:rsidR="00C81C66" w:rsidRPr="00C81C66" w:rsidRDefault="00C81C66" w:rsidP="00652B25">
      <w:pPr>
        <w:tabs>
          <w:tab w:val="left" w:pos="7938"/>
        </w:tabs>
        <w:overflowPunct/>
        <w:autoSpaceDE/>
        <w:autoSpaceDN/>
        <w:adjustRightInd/>
        <w:spacing w:after="170" w:line="280" w:lineRule="atLeast"/>
        <w:jc w:val="both"/>
        <w:textAlignment w:val="auto"/>
        <w:rPr>
          <w:szCs w:val="22"/>
        </w:rPr>
      </w:pPr>
      <w:r w:rsidRPr="00C81C66">
        <w:rPr>
          <w:szCs w:val="22"/>
        </w:rPr>
        <w:t xml:space="preserve">Persons wishing to present a paper at the conference — either orally or in the form of a poster — must submit an abstract of between 250 and 400 words </w:t>
      </w:r>
      <w:r w:rsidRPr="00C81C66">
        <w:rPr>
          <w:b/>
          <w:szCs w:val="22"/>
        </w:rPr>
        <w:t xml:space="preserve">in electronic format </w:t>
      </w:r>
      <w:r w:rsidRPr="00C81C66">
        <w:rPr>
          <w:szCs w:val="22"/>
        </w:rPr>
        <w:t xml:space="preserve">directly to the IAEA. Instructions on how to upload the abstract to the conference’s web browser-based file submission system (IAEA-INDICO) are available on the IAEA conference web page (see Section </w:t>
      </w:r>
      <w:r w:rsidR="00652B25">
        <w:rPr>
          <w:szCs w:val="22"/>
        </w:rPr>
        <w:fldChar w:fldCharType="begin"/>
      </w:r>
      <w:r w:rsidR="00652B25">
        <w:rPr>
          <w:szCs w:val="22"/>
        </w:rPr>
        <w:instrText xml:space="preserve"> REF _Ref434486780 \r \h </w:instrText>
      </w:r>
      <w:r w:rsidR="00652B25">
        <w:rPr>
          <w:szCs w:val="22"/>
        </w:rPr>
      </w:r>
      <w:r w:rsidR="00652B25">
        <w:rPr>
          <w:szCs w:val="22"/>
        </w:rPr>
        <w:fldChar w:fldCharType="separate"/>
      </w:r>
      <w:r w:rsidR="00CB498F">
        <w:rPr>
          <w:szCs w:val="22"/>
        </w:rPr>
        <w:t>M</w:t>
      </w:r>
      <w:r w:rsidR="00652B25">
        <w:rPr>
          <w:szCs w:val="22"/>
        </w:rPr>
        <w:fldChar w:fldCharType="end"/>
      </w:r>
      <w:r w:rsidRPr="00C81C66">
        <w:rPr>
          <w:szCs w:val="22"/>
        </w:rPr>
        <w:t>).</w:t>
      </w:r>
    </w:p>
    <w:p w14:paraId="54F9D2EC" w14:textId="77777777" w:rsidR="00C81C66" w:rsidRPr="00C81C66" w:rsidRDefault="00C81C66" w:rsidP="00C81C66">
      <w:pPr>
        <w:tabs>
          <w:tab w:val="left" w:pos="7938"/>
        </w:tabs>
        <w:overflowPunct/>
        <w:autoSpaceDE/>
        <w:autoSpaceDN/>
        <w:adjustRightInd/>
        <w:spacing w:after="170" w:line="280" w:lineRule="atLeast"/>
        <w:jc w:val="both"/>
        <w:textAlignment w:val="auto"/>
        <w:rPr>
          <w:szCs w:val="22"/>
        </w:rPr>
      </w:pPr>
      <w:r w:rsidRPr="00C81C66">
        <w:rPr>
          <w:szCs w:val="22"/>
        </w:rPr>
        <w:t xml:space="preserve">The abstracts </w:t>
      </w:r>
      <w:r w:rsidRPr="00C81C66">
        <w:rPr>
          <w:b/>
          <w:szCs w:val="22"/>
        </w:rPr>
        <w:t xml:space="preserve">must </w:t>
      </w:r>
      <w:r w:rsidRPr="00C81C66">
        <w:rPr>
          <w:szCs w:val="22"/>
        </w:rPr>
        <w:t>be submitted through this system. No other form of submission will be accepted.</w:t>
      </w:r>
    </w:p>
    <w:p w14:paraId="0F1D8F70" w14:textId="77E0B17D" w:rsidR="00C81C66" w:rsidRPr="00C81C66" w:rsidRDefault="00C81C66" w:rsidP="00652B25">
      <w:pPr>
        <w:tabs>
          <w:tab w:val="left" w:pos="7938"/>
        </w:tabs>
        <w:overflowPunct/>
        <w:autoSpaceDE/>
        <w:autoSpaceDN/>
        <w:adjustRightInd/>
        <w:spacing w:after="170" w:line="280" w:lineRule="atLeast"/>
        <w:jc w:val="both"/>
        <w:textAlignment w:val="auto"/>
        <w:rPr>
          <w:szCs w:val="22"/>
        </w:rPr>
      </w:pPr>
      <w:r w:rsidRPr="00C81C66">
        <w:rPr>
          <w:szCs w:val="22"/>
        </w:rPr>
        <w:t xml:space="preserve">The abstract should give enough information on the contents of the proposed paper to enable the Programme Committee to evaluate it. Authors should state to which of the topics outlined in Section </w:t>
      </w:r>
      <w:r w:rsidR="00652B25">
        <w:rPr>
          <w:szCs w:val="22"/>
        </w:rPr>
        <w:fldChar w:fldCharType="begin"/>
      </w:r>
      <w:r w:rsidR="00652B25">
        <w:rPr>
          <w:szCs w:val="22"/>
        </w:rPr>
        <w:instrText xml:space="preserve"> REF _Ref434486761 \r \h </w:instrText>
      </w:r>
      <w:r w:rsidR="00652B25">
        <w:rPr>
          <w:szCs w:val="22"/>
        </w:rPr>
      </w:r>
      <w:r w:rsidR="00652B25">
        <w:rPr>
          <w:szCs w:val="22"/>
        </w:rPr>
        <w:fldChar w:fldCharType="separate"/>
      </w:r>
      <w:r w:rsidR="00CB498F">
        <w:rPr>
          <w:szCs w:val="22"/>
        </w:rPr>
        <w:t>C</w:t>
      </w:r>
      <w:r w:rsidR="00652B25">
        <w:rPr>
          <w:szCs w:val="22"/>
        </w:rPr>
        <w:fldChar w:fldCharType="end"/>
      </w:r>
      <w:r w:rsidRPr="00C81C66">
        <w:rPr>
          <w:szCs w:val="22"/>
        </w:rPr>
        <w:t xml:space="preserve"> their contribution relates. The accepted abstracts will be reproduced unedited in the </w:t>
      </w:r>
      <w:r w:rsidRPr="00C81C66">
        <w:rPr>
          <w:i/>
          <w:szCs w:val="22"/>
        </w:rPr>
        <w:t>Book of Abstracts</w:t>
      </w:r>
      <w:r w:rsidRPr="00C81C66">
        <w:rPr>
          <w:szCs w:val="22"/>
        </w:rPr>
        <w:t xml:space="preserve"> which will be distributed to all participants at the conference.</w:t>
      </w:r>
    </w:p>
    <w:p w14:paraId="7C147E25" w14:textId="02060E89" w:rsidR="00C81C66" w:rsidRPr="00C81C66" w:rsidRDefault="00C81C66" w:rsidP="00652B25">
      <w:pPr>
        <w:tabs>
          <w:tab w:val="left" w:pos="7938"/>
        </w:tabs>
        <w:overflowPunct/>
        <w:autoSpaceDE/>
        <w:autoSpaceDN/>
        <w:adjustRightInd/>
        <w:spacing w:after="170" w:line="280" w:lineRule="atLeast"/>
        <w:jc w:val="both"/>
        <w:textAlignment w:val="auto"/>
        <w:rPr>
          <w:bCs/>
        </w:rPr>
      </w:pPr>
      <w:r w:rsidRPr="00C81C66">
        <w:t xml:space="preserve">Authors must further submit the following two forms to their appropriate official authority (see Section </w:t>
      </w:r>
      <w:r w:rsidR="00652B25">
        <w:fldChar w:fldCharType="begin"/>
      </w:r>
      <w:r w:rsidR="00652B25">
        <w:instrText xml:space="preserve"> REF _Ref434486814 \r \h </w:instrText>
      </w:r>
      <w:r w:rsidR="00652B25">
        <w:fldChar w:fldCharType="separate"/>
      </w:r>
      <w:r w:rsidR="00CB498F">
        <w:t>E</w:t>
      </w:r>
      <w:r w:rsidR="00652B25">
        <w:fldChar w:fldCharType="end"/>
      </w:r>
      <w:r w:rsidRPr="00C81C66">
        <w:t xml:space="preserve">) for transmission to the IAEA. These forms must be received by the IAEA no later than </w:t>
      </w:r>
      <w:r w:rsidRPr="00C81C66">
        <w:rPr>
          <w:b/>
        </w:rPr>
        <w:t>15 April 2016</w:t>
      </w:r>
      <w:r w:rsidRPr="00C81C66">
        <w:rPr>
          <w:bCs/>
        </w:rPr>
        <w:t>:</w:t>
      </w:r>
    </w:p>
    <w:p w14:paraId="39385611" w14:textId="77777777" w:rsidR="00C81C66" w:rsidRPr="00C81C66" w:rsidRDefault="00C81C66" w:rsidP="00C81C66">
      <w:pPr>
        <w:numPr>
          <w:ilvl w:val="0"/>
          <w:numId w:val="24"/>
        </w:numPr>
        <w:tabs>
          <w:tab w:val="left" w:pos="7938"/>
        </w:tabs>
        <w:overflowPunct/>
        <w:autoSpaceDE/>
        <w:autoSpaceDN/>
        <w:adjustRightInd/>
        <w:spacing w:after="170" w:line="280" w:lineRule="atLeast"/>
        <w:jc w:val="both"/>
        <w:textAlignment w:val="auto"/>
      </w:pPr>
      <w:r w:rsidRPr="00C81C66">
        <w:rPr>
          <w:bCs/>
        </w:rPr>
        <w:t>Participation Form (Form A)</w:t>
      </w:r>
    </w:p>
    <w:p w14:paraId="414A90FC" w14:textId="77777777" w:rsidR="00C81C66" w:rsidRPr="00C81C66" w:rsidRDefault="00C81C66" w:rsidP="00C81C66">
      <w:pPr>
        <w:numPr>
          <w:ilvl w:val="0"/>
          <w:numId w:val="24"/>
        </w:numPr>
        <w:tabs>
          <w:tab w:val="left" w:pos="7938"/>
        </w:tabs>
        <w:overflowPunct/>
        <w:autoSpaceDE/>
        <w:autoSpaceDN/>
        <w:adjustRightInd/>
        <w:spacing w:after="170" w:line="280" w:lineRule="atLeast"/>
        <w:jc w:val="both"/>
        <w:textAlignment w:val="auto"/>
      </w:pPr>
      <w:r w:rsidRPr="00C81C66">
        <w:rPr>
          <w:bCs/>
        </w:rPr>
        <w:t>Form for Submission of a Paper (Form B)</w:t>
      </w:r>
    </w:p>
    <w:p w14:paraId="64A8DFF9" w14:textId="77777777" w:rsidR="00C81C66" w:rsidRPr="00C81C66" w:rsidRDefault="00C81C66" w:rsidP="00937AA4">
      <w:pPr>
        <w:pStyle w:val="Heading2"/>
      </w:pPr>
      <w:r w:rsidRPr="00C81C66">
        <w:t>Acceptance of Papers for Oral or Poster Presentation</w:t>
      </w:r>
    </w:p>
    <w:p w14:paraId="3DA537C9" w14:textId="77777777" w:rsidR="00C81C66" w:rsidRPr="00C81C66" w:rsidRDefault="00C81C66" w:rsidP="00C81C66">
      <w:pPr>
        <w:overflowPunct/>
        <w:autoSpaceDE/>
        <w:autoSpaceDN/>
        <w:adjustRightInd/>
        <w:spacing w:after="170" w:line="280" w:lineRule="atLeast"/>
        <w:jc w:val="both"/>
        <w:textAlignment w:val="auto"/>
        <w:rPr>
          <w:szCs w:val="22"/>
        </w:rPr>
      </w:pPr>
      <w:r w:rsidRPr="00C81C66">
        <w:t xml:space="preserve">Authors will be notified by email by </w:t>
      </w:r>
      <w:r w:rsidRPr="00C81C66">
        <w:rPr>
          <w:b/>
        </w:rPr>
        <w:t>20 June 2016</w:t>
      </w:r>
      <w:r w:rsidRPr="00C81C66">
        <w:t xml:space="preserve"> as to whether, on the basis of the electronically received abstract, their paper has been accepted, and whether it is accepted for oral presentation or for poster presentation.</w:t>
      </w:r>
    </w:p>
    <w:p w14:paraId="0659FC2E" w14:textId="198EF4F7" w:rsidR="00C81C66" w:rsidRPr="00C81C66" w:rsidRDefault="00C81C66" w:rsidP="00652B25">
      <w:pPr>
        <w:overflowPunct/>
        <w:autoSpaceDE/>
        <w:autoSpaceDN/>
        <w:adjustRightInd/>
        <w:spacing w:after="170" w:line="280" w:lineRule="atLeast"/>
        <w:jc w:val="both"/>
        <w:textAlignment w:val="auto"/>
      </w:pPr>
      <w:r w:rsidRPr="00C81C66">
        <w:rPr>
          <w:szCs w:val="22"/>
        </w:rPr>
        <w:t>Authors of accepted abstracts will be requested to provide a full length paper (</w:t>
      </w:r>
      <w:r w:rsidR="00581605" w:rsidRPr="00581605">
        <w:rPr>
          <w:szCs w:val="22"/>
        </w:rPr>
        <w:t>4 pages max.</w:t>
      </w:r>
      <w:r w:rsidRPr="00C81C66">
        <w:rPr>
          <w:szCs w:val="22"/>
        </w:rPr>
        <w:t xml:space="preserve">) by </w:t>
      </w:r>
      <w:r w:rsidRPr="00C81C66">
        <w:rPr>
          <w:b/>
          <w:szCs w:val="22"/>
        </w:rPr>
        <w:t xml:space="preserve">15 September 2016 </w:t>
      </w:r>
      <w:r w:rsidRPr="00C81C66">
        <w:t>using the IAEA proceedings template</w:t>
      </w:r>
      <w:r w:rsidRPr="00C81C66">
        <w:rPr>
          <w:szCs w:val="22"/>
        </w:rPr>
        <w:t xml:space="preserve">. This paper must also be submitted through the IAEA-INDICO system. </w:t>
      </w:r>
      <w:r w:rsidRPr="00C81C66">
        <w:t xml:space="preserve">The Conference Secretariat reserves the right to exclude papers that do not comply with its quality standards and/or that do not apply to one of the topics outlined in Section </w:t>
      </w:r>
      <w:r w:rsidR="00652B25">
        <w:fldChar w:fldCharType="begin"/>
      </w:r>
      <w:r w:rsidR="00652B25">
        <w:instrText xml:space="preserve"> REF _Ref434486761 \r \h </w:instrText>
      </w:r>
      <w:r w:rsidR="00652B25">
        <w:fldChar w:fldCharType="separate"/>
      </w:r>
      <w:r w:rsidR="00CB498F">
        <w:t>C</w:t>
      </w:r>
      <w:r w:rsidR="00652B25">
        <w:fldChar w:fldCharType="end"/>
      </w:r>
      <w:r w:rsidRPr="00C81C66">
        <w:t xml:space="preserve"> above.</w:t>
      </w:r>
    </w:p>
    <w:p w14:paraId="452C223D" w14:textId="77777777" w:rsidR="00C81C66" w:rsidRPr="00C81C66" w:rsidRDefault="00C81C66" w:rsidP="00937AA4">
      <w:pPr>
        <w:pStyle w:val="Heading2"/>
      </w:pPr>
      <w:r w:rsidRPr="00C81C66">
        <w:t>Proceedings</w:t>
      </w:r>
    </w:p>
    <w:p w14:paraId="492A5A79" w14:textId="77777777" w:rsidR="00C81C66" w:rsidRPr="00C81C66" w:rsidRDefault="00C81C66" w:rsidP="00C81C66">
      <w:pPr>
        <w:overflowPunct/>
        <w:autoSpaceDE/>
        <w:autoSpaceDN/>
        <w:adjustRightInd/>
        <w:spacing w:after="170" w:line="280" w:lineRule="atLeast"/>
        <w:jc w:val="both"/>
        <w:textAlignment w:val="auto"/>
        <w:rPr>
          <w:lang w:eastAsia="en-GB"/>
        </w:rPr>
      </w:pPr>
      <w:r w:rsidRPr="00C81C66">
        <w:t>The proceedings of the conference will be published by the IAEA as soon as possible after the conference.</w:t>
      </w:r>
    </w:p>
    <w:p w14:paraId="15CB7A8F" w14:textId="77777777" w:rsidR="00BF4AF7" w:rsidRPr="00C81C66" w:rsidRDefault="00BF4AF7" w:rsidP="00BF4AF7">
      <w:pPr>
        <w:pStyle w:val="Heading1"/>
      </w:pPr>
      <w:bookmarkStart w:id="4" w:name="_Ref434486814"/>
      <w:r w:rsidRPr="00C81C66">
        <w:lastRenderedPageBreak/>
        <w:t>Participation</w:t>
      </w:r>
      <w:bookmarkEnd w:id="4"/>
    </w:p>
    <w:p w14:paraId="3A298569" w14:textId="53D27E63" w:rsidR="00BF4AF7" w:rsidRDefault="00BF4AF7" w:rsidP="00652B25">
      <w:pPr>
        <w:pStyle w:val="BodyText"/>
      </w:pPr>
      <w:r>
        <w:t xml:space="preserve">The </w:t>
      </w:r>
      <w:r w:rsidR="00652B25">
        <w:t>IAEA organizes i</w:t>
      </w:r>
      <w:r>
        <w:t xml:space="preserve">nternational </w:t>
      </w:r>
      <w:r w:rsidR="00652B25">
        <w:t>c</w:t>
      </w:r>
      <w:r>
        <w:t>onference</w:t>
      </w:r>
      <w:r w:rsidR="00652B25">
        <w:t>s</w:t>
      </w:r>
      <w:r>
        <w:t xml:space="preserve"> on the </w:t>
      </w:r>
      <w:r w:rsidR="00652B25">
        <w:t>s</w:t>
      </w:r>
      <w:r>
        <w:t xml:space="preserve">afety of </w:t>
      </w:r>
      <w:r w:rsidR="00652B25">
        <w:t>r</w:t>
      </w:r>
      <w:r>
        <w:t xml:space="preserve">adioactive </w:t>
      </w:r>
      <w:r w:rsidR="00652B25">
        <w:t>w</w:t>
      </w:r>
      <w:r>
        <w:t xml:space="preserve">aste </w:t>
      </w:r>
      <w:r w:rsidR="00652B25">
        <w:t>m</w:t>
      </w:r>
      <w:r>
        <w:t xml:space="preserve">anagement on a regular basis </w:t>
      </w:r>
      <w:r w:rsidR="00652B25">
        <w:t>and these are meant to</w:t>
      </w:r>
      <w:r>
        <w:t xml:space="preserve"> bring together participants from the waste management community, including policymakers and representatives of governmental organizations, regulatory bodies, industry, technical support organizations and spent fuel and waste management organizations.</w:t>
      </w:r>
    </w:p>
    <w:p w14:paraId="65EFCF3B" w14:textId="4D478337" w:rsidR="00BF4AF7" w:rsidRDefault="00BF4AF7" w:rsidP="00652B25">
      <w:pPr>
        <w:pStyle w:val="BodyText"/>
      </w:pPr>
      <w:r>
        <w:t xml:space="preserve">All persons wishing to participate in the conference are requested to register online in advance through the conference web page (see Section </w:t>
      </w:r>
      <w:r w:rsidR="00652B25">
        <w:fldChar w:fldCharType="begin"/>
      </w:r>
      <w:r w:rsidR="00652B25">
        <w:instrText xml:space="preserve"> REF _Ref434487089 \r \h </w:instrText>
      </w:r>
      <w:r w:rsidR="00652B25">
        <w:fldChar w:fldCharType="separate"/>
      </w:r>
      <w:r w:rsidR="00CB498F">
        <w:t>M</w:t>
      </w:r>
      <w:r w:rsidR="00652B25">
        <w:fldChar w:fldCharType="end"/>
      </w:r>
      <w:r>
        <w:t>). In addition, they are required to send a completed Participation Form (Form A) and, if applicable, the Form for Submission of a Paper (Form B) and the Grant Application Form (Form C) to their competent national authority (e.g. Ministry of Foreign Affairs or National Atomic Energy Authority), or to one of the organizations invited to participate, for subsequent electronic transmission to the IAEA (</w:t>
      </w:r>
      <w:hyperlink r:id="rId10" w:history="1">
        <w:r w:rsidR="008F7207" w:rsidRPr="00030FA2">
          <w:rPr>
            <w:rStyle w:val="Hyperlink"/>
          </w:rPr>
          <w:t>Official.Mail@iaea.org</w:t>
        </w:r>
      </w:hyperlink>
      <w:r>
        <w:t>).</w:t>
      </w:r>
    </w:p>
    <w:p w14:paraId="3BEDEC37" w14:textId="77777777" w:rsidR="00BF4AF7" w:rsidRDefault="00BF4AF7" w:rsidP="00BF4AF7">
      <w:pPr>
        <w:pStyle w:val="BodyText"/>
      </w:pPr>
      <w:r>
        <w:t>A participant will be accepted only if the Participation Form is transmitted through the competent national authority of a Member State of the IAEA or by an organization invited to participate.</w:t>
      </w:r>
    </w:p>
    <w:p w14:paraId="318BD565" w14:textId="4B81BA5C" w:rsidR="00BF4AF7" w:rsidRPr="0006245C" w:rsidRDefault="00BF4AF7" w:rsidP="00652B25">
      <w:pPr>
        <w:pStyle w:val="BodyText"/>
        <w:rPr>
          <w:b/>
        </w:rPr>
      </w:pPr>
      <w:r>
        <w:t xml:space="preserve">Participants whose official designations have been received by the IAEA will receive from the IAEA further information approximately four months before the conference. This information will also be posted on the conference web page (see Section </w:t>
      </w:r>
      <w:r w:rsidR="00652B25">
        <w:fldChar w:fldCharType="begin"/>
      </w:r>
      <w:r w:rsidR="00652B25">
        <w:instrText xml:space="preserve"> REF _Ref434487089 \r \h </w:instrText>
      </w:r>
      <w:r w:rsidR="00652B25">
        <w:fldChar w:fldCharType="separate"/>
      </w:r>
      <w:r w:rsidR="00CB498F">
        <w:t>M</w:t>
      </w:r>
      <w:r w:rsidR="00652B25">
        <w:fldChar w:fldCharType="end"/>
      </w:r>
      <w:r>
        <w:t>).</w:t>
      </w:r>
    </w:p>
    <w:p w14:paraId="1FAC860D" w14:textId="77777777" w:rsidR="00733D7D" w:rsidRPr="0006245C" w:rsidRDefault="00733D7D" w:rsidP="00733D7D">
      <w:pPr>
        <w:pStyle w:val="Heading1"/>
      </w:pPr>
      <w:r w:rsidRPr="0006245C">
        <w:t>Expenditures</w:t>
      </w:r>
    </w:p>
    <w:p w14:paraId="69D978EF" w14:textId="77777777" w:rsidR="00C81C66" w:rsidRDefault="00C81C66" w:rsidP="00C81C66">
      <w:pPr>
        <w:pStyle w:val="BodyText"/>
      </w:pPr>
      <w:r>
        <w:t>No registration fee is charged to participants.</w:t>
      </w:r>
    </w:p>
    <w:p w14:paraId="5701631B" w14:textId="77777777" w:rsidR="00C81C66" w:rsidRDefault="00C81C66" w:rsidP="00C81C66">
      <w:pPr>
        <w:pStyle w:val="BodyText"/>
      </w:pPr>
      <w:r>
        <w:t>The IAEA is generally not in a position to bear the travel and other costs of designated participants in the conference. The IAEA has, however, limited funds at its disposal to help cover the cost of attendance of selected participants. Generally not more than one grant may be awarded to any one country.</w:t>
      </w:r>
    </w:p>
    <w:p w14:paraId="6B43ED6E" w14:textId="77777777" w:rsidR="00C81C66" w:rsidRDefault="00C81C66" w:rsidP="00C81C66">
      <w:pPr>
        <w:pStyle w:val="BodyText"/>
      </w:pPr>
      <w:r>
        <w:t>If Governments wish to apply for a grant on behalf of one of their specialists, they should address specific requests to the IAEA to this effect. Governments should ensure that applications for grants are:</w:t>
      </w:r>
    </w:p>
    <w:p w14:paraId="27F88102" w14:textId="77777777" w:rsidR="00C81C66" w:rsidRDefault="00C81C66" w:rsidP="00C81C66">
      <w:pPr>
        <w:pStyle w:val="BodyText"/>
      </w:pPr>
      <w:r>
        <w:t>1.</w:t>
      </w:r>
      <w:r>
        <w:tab/>
        <w:t xml:space="preserve">Submitted by </w:t>
      </w:r>
      <w:r w:rsidRPr="008F7207">
        <w:rPr>
          <w:b/>
        </w:rPr>
        <w:t>15 April 2016</w:t>
      </w:r>
      <w:r>
        <w:t>;</w:t>
      </w:r>
    </w:p>
    <w:p w14:paraId="037A00B9" w14:textId="77777777" w:rsidR="00C81C66" w:rsidRDefault="00C81C66" w:rsidP="00C81C66">
      <w:pPr>
        <w:pStyle w:val="BodyText"/>
      </w:pPr>
      <w:r>
        <w:t>2.</w:t>
      </w:r>
      <w:r>
        <w:tab/>
        <w:t>Accompanied by a completed and signed Grant Application Form (Form C); and</w:t>
      </w:r>
    </w:p>
    <w:p w14:paraId="7A7A6842" w14:textId="77777777" w:rsidR="00C81C66" w:rsidRDefault="00C81C66" w:rsidP="00C81C66">
      <w:pPr>
        <w:pStyle w:val="BodyText"/>
      </w:pPr>
      <w:r>
        <w:t>3.</w:t>
      </w:r>
      <w:r>
        <w:tab/>
        <w:t>Accompanied by a completed Participation Form (Form A).</w:t>
      </w:r>
    </w:p>
    <w:p w14:paraId="44FEAEE0" w14:textId="77777777" w:rsidR="00C81C66" w:rsidRDefault="00C81C66" w:rsidP="00C81C66">
      <w:pPr>
        <w:pStyle w:val="BodyText"/>
      </w:pPr>
      <w:r>
        <w:t>Applications that do not comply with the above conditions cannot be considered.</w:t>
      </w:r>
    </w:p>
    <w:p w14:paraId="310F296B" w14:textId="7987ADCC" w:rsidR="00A375AD" w:rsidRPr="0006245C" w:rsidRDefault="00C81C66" w:rsidP="00C81C66">
      <w:pPr>
        <w:pStyle w:val="BodyText"/>
      </w:pPr>
      <w:r>
        <w:t>Approved grants will be issued in the form of a lump sum payment that usually covers only part of the cost of attendance.</w:t>
      </w:r>
    </w:p>
    <w:p w14:paraId="2DB4AF5C" w14:textId="1C9639B1" w:rsidR="00D44E9C" w:rsidRDefault="00C81C66" w:rsidP="00A375AD">
      <w:pPr>
        <w:pStyle w:val="Heading1"/>
      </w:pPr>
      <w:r>
        <w:lastRenderedPageBreak/>
        <w:t>Distribution of Documents</w:t>
      </w:r>
    </w:p>
    <w:p w14:paraId="35736344" w14:textId="6073960F" w:rsidR="00C81C66" w:rsidRPr="00C81C66" w:rsidRDefault="00C81C66" w:rsidP="00C81C66">
      <w:pPr>
        <w:pStyle w:val="BodyTextMultiline"/>
        <w:numPr>
          <w:ilvl w:val="0"/>
          <w:numId w:val="0"/>
        </w:numPr>
      </w:pPr>
      <w:r w:rsidRPr="00C81C66">
        <w:t xml:space="preserve">A preliminary programme will be posted on the IAEA conference web page as soon as possible. The final programme and the </w:t>
      </w:r>
      <w:r w:rsidRPr="008F7207">
        <w:rPr>
          <w:i/>
        </w:rPr>
        <w:t>Book of Abstracts</w:t>
      </w:r>
      <w:r w:rsidRPr="00C81C66">
        <w:t xml:space="preserve"> will be available free of charge upon registration at the conference.</w:t>
      </w:r>
    </w:p>
    <w:p w14:paraId="0CF476D3" w14:textId="77777777" w:rsidR="00733D7D" w:rsidRPr="0006245C" w:rsidRDefault="00733D7D" w:rsidP="00733D7D">
      <w:pPr>
        <w:pStyle w:val="Heading1"/>
      </w:pPr>
      <w:r w:rsidRPr="0006245C">
        <w:t>Working Language</w:t>
      </w:r>
    </w:p>
    <w:p w14:paraId="197F3154" w14:textId="0DA83178" w:rsidR="00733D7D" w:rsidRPr="0006245C" w:rsidRDefault="00733D7D" w:rsidP="00733D7D">
      <w:pPr>
        <w:pStyle w:val="BodyText"/>
      </w:pPr>
      <w:r w:rsidRPr="0006245C">
        <w:t>The working language of the conference will be English.</w:t>
      </w:r>
      <w:r w:rsidR="0015302E" w:rsidRPr="0006245C">
        <w:t xml:space="preserve"> </w:t>
      </w:r>
      <w:r w:rsidR="002C4D30" w:rsidRPr="002C4D30">
        <w:t>All communications and papers must be sent to the IAEA in English.</w:t>
      </w:r>
    </w:p>
    <w:p w14:paraId="3F943197" w14:textId="087E7421" w:rsidR="00733D7D" w:rsidRPr="0006245C" w:rsidRDefault="002C4D30" w:rsidP="00733D7D">
      <w:pPr>
        <w:pStyle w:val="Heading1"/>
      </w:pPr>
      <w:r>
        <w:t xml:space="preserve">Venue and </w:t>
      </w:r>
      <w:r w:rsidR="00733D7D" w:rsidRPr="0006245C">
        <w:t>Accommodation</w:t>
      </w:r>
    </w:p>
    <w:p w14:paraId="333F5209" w14:textId="4AD72C0B" w:rsidR="00733D7D" w:rsidRPr="0006245C" w:rsidRDefault="002C4D30" w:rsidP="00652B25">
      <w:pPr>
        <w:pStyle w:val="BodyText"/>
      </w:pPr>
      <w:r w:rsidRPr="002C4D30">
        <w:t xml:space="preserve">The conference will be held at the IAEA’s Headquarters in Vienna, Austria. Participants must make their own travel and accommodation arrangements. Hotels which are offering a reduced rate for conference participants will be listed on the conference web page (see Section </w:t>
      </w:r>
      <w:r w:rsidR="00652B25">
        <w:fldChar w:fldCharType="begin"/>
      </w:r>
      <w:r w:rsidR="00652B25">
        <w:instrText xml:space="preserve"> REF _Ref434487089 \r \h </w:instrText>
      </w:r>
      <w:r w:rsidR="00652B25">
        <w:fldChar w:fldCharType="separate"/>
      </w:r>
      <w:r w:rsidR="00CB498F">
        <w:t>M</w:t>
      </w:r>
      <w:r w:rsidR="00652B25">
        <w:fldChar w:fldCharType="end"/>
      </w:r>
      <w:r w:rsidRPr="002C4D30">
        <w:t>). Please note that the IAEA is not in a position to assist participants with hotel bookings, nor can the IAEA assume responsibility for paying cancellation fees or for re-booking and no shows.</w:t>
      </w:r>
    </w:p>
    <w:p w14:paraId="1F3AF77E" w14:textId="77777777" w:rsidR="00733D7D" w:rsidRPr="0006245C" w:rsidRDefault="00733D7D" w:rsidP="00733D7D">
      <w:pPr>
        <w:pStyle w:val="Heading1"/>
      </w:pPr>
      <w:r w:rsidRPr="0006245C">
        <w:t>Visa</w:t>
      </w:r>
      <w:r w:rsidR="001948E9" w:rsidRPr="0006245C">
        <w:t>s</w:t>
      </w:r>
    </w:p>
    <w:p w14:paraId="3435568B" w14:textId="6BD8BCF5" w:rsidR="00A54824" w:rsidRPr="0006245C" w:rsidRDefault="002C4D30" w:rsidP="00E82E28">
      <w:pPr>
        <w:pStyle w:val="BodyText"/>
        <w:rPr>
          <w:sz w:val="28"/>
          <w:szCs w:val="28"/>
        </w:rPr>
      </w:pPr>
      <w:r w:rsidRPr="002C4D30">
        <w:t>Designated participants who require a visa to enter Austria should submit the necessary application to the nearest diplomatic or consular representative of Austria at least four weeks before they travel to Austria. Since Austria is a Schengen State, persons requiring a visa will have to apply for a Schengen visa. In States where Austria has no diplomatic mission, visas can be obtained from the consular authority of a Schengen Partner State representing Austria in the country in question.</w:t>
      </w:r>
    </w:p>
    <w:p w14:paraId="1E204420" w14:textId="6E87C08A" w:rsidR="002C4D30" w:rsidRDefault="002C4D30" w:rsidP="006E3F3B">
      <w:pPr>
        <w:pStyle w:val="Heading1"/>
      </w:pPr>
      <w:r>
        <w:t>Key Deadlines</w:t>
      </w:r>
    </w:p>
    <w:p w14:paraId="4D8C06A3" w14:textId="77777777" w:rsidR="002C4D30" w:rsidRDefault="002C4D30" w:rsidP="002C4D30">
      <w:pPr>
        <w:pStyle w:val="BodyTextMultiline"/>
        <w:numPr>
          <w:ilvl w:val="0"/>
          <w:numId w:val="0"/>
        </w:numPr>
      </w:pPr>
      <w:r>
        <w:t>Submission of Form for Submission of a Paper (Form B) and abstract:</w:t>
      </w:r>
      <w:r>
        <w:tab/>
      </w:r>
      <w:r>
        <w:tab/>
      </w:r>
      <w:r w:rsidRPr="002C4D30">
        <w:rPr>
          <w:b/>
        </w:rPr>
        <w:t>15 April 2016</w:t>
      </w:r>
    </w:p>
    <w:p w14:paraId="0FE76D6A" w14:textId="555EF282" w:rsidR="002C4D30" w:rsidRPr="002C4D30" w:rsidRDefault="002C4D30" w:rsidP="002C4D30">
      <w:pPr>
        <w:pStyle w:val="BodyTextMultiline"/>
        <w:numPr>
          <w:ilvl w:val="0"/>
          <w:numId w:val="0"/>
        </w:numPr>
        <w:rPr>
          <w:b/>
        </w:rPr>
      </w:pPr>
      <w:r>
        <w:t>Submission of Grant Application Form (Form C):</w:t>
      </w:r>
      <w:r>
        <w:tab/>
      </w:r>
      <w:r>
        <w:tab/>
      </w:r>
      <w:r>
        <w:tab/>
      </w:r>
      <w:r>
        <w:tab/>
      </w:r>
      <w:r>
        <w:tab/>
      </w:r>
      <w:r w:rsidRPr="002C4D30">
        <w:rPr>
          <w:b/>
        </w:rPr>
        <w:t>15 April 2016</w:t>
      </w:r>
    </w:p>
    <w:p w14:paraId="3C5D38F3" w14:textId="368A46DC" w:rsidR="002C4D30" w:rsidRDefault="002C4D30" w:rsidP="002C4D30">
      <w:pPr>
        <w:pStyle w:val="BodyTextMultiline"/>
        <w:numPr>
          <w:ilvl w:val="0"/>
          <w:numId w:val="0"/>
        </w:numPr>
      </w:pPr>
      <w:r>
        <w:t>Notification of acceptance of papers:</w:t>
      </w:r>
      <w:r>
        <w:tab/>
      </w:r>
      <w:r>
        <w:tab/>
      </w:r>
      <w:r>
        <w:tab/>
      </w:r>
      <w:r>
        <w:tab/>
      </w:r>
      <w:r>
        <w:tab/>
      </w:r>
      <w:r>
        <w:tab/>
      </w:r>
      <w:r>
        <w:tab/>
      </w:r>
      <w:r w:rsidRPr="002C4D30">
        <w:rPr>
          <w:b/>
        </w:rPr>
        <w:t>20 June 2016</w:t>
      </w:r>
    </w:p>
    <w:p w14:paraId="56E24B4D" w14:textId="71CD3365" w:rsidR="002C4D30" w:rsidRPr="002C4D30" w:rsidRDefault="002C4D30" w:rsidP="002C4D30">
      <w:pPr>
        <w:pStyle w:val="BodyTextMultiline"/>
        <w:numPr>
          <w:ilvl w:val="0"/>
          <w:numId w:val="0"/>
        </w:numPr>
        <w:rPr>
          <w:b/>
        </w:rPr>
      </w:pPr>
      <w:r>
        <w:t>Submission of accepted full paper (4 pages max.):</w:t>
      </w:r>
      <w:r>
        <w:tab/>
      </w:r>
      <w:r>
        <w:tab/>
      </w:r>
      <w:r>
        <w:tab/>
      </w:r>
      <w:r>
        <w:tab/>
      </w:r>
      <w:r>
        <w:tab/>
      </w:r>
      <w:r w:rsidRPr="002C4D30">
        <w:rPr>
          <w:b/>
        </w:rPr>
        <w:t>15 September 2016</w:t>
      </w:r>
    </w:p>
    <w:p w14:paraId="1BDDA591" w14:textId="77777777" w:rsidR="00733D7D" w:rsidRPr="0006245C" w:rsidRDefault="00F82C2F" w:rsidP="00F82C2F">
      <w:pPr>
        <w:pStyle w:val="Heading1"/>
      </w:pPr>
      <w:r w:rsidRPr="0006245C">
        <w:lastRenderedPageBreak/>
        <w:t>Conference Secretariat</w:t>
      </w:r>
    </w:p>
    <w:p w14:paraId="7350B604" w14:textId="77777777" w:rsidR="002C4D30" w:rsidRPr="006610BA" w:rsidRDefault="002C4D30" w:rsidP="002C4D30">
      <w:pPr>
        <w:keepNext/>
        <w:keepLines/>
        <w:spacing w:after="170" w:line="280" w:lineRule="atLeast"/>
        <w:jc w:val="both"/>
        <w:rPr>
          <w:b/>
        </w:rPr>
      </w:pPr>
      <w:bookmarkStart w:id="5" w:name="_Ref431198142"/>
      <w:r w:rsidRPr="006610BA">
        <w:rPr>
          <w:b/>
        </w:rPr>
        <w:t>General contact details of the Conference Secretariat:</w:t>
      </w:r>
    </w:p>
    <w:p w14:paraId="7A63B5C7" w14:textId="3CFE3E8F" w:rsidR="002C4D30" w:rsidRPr="006610BA" w:rsidRDefault="002C4D30" w:rsidP="00652B25">
      <w:pPr>
        <w:keepNext/>
        <w:keepLines/>
        <w:spacing w:after="170" w:line="280" w:lineRule="atLeast"/>
      </w:pPr>
      <w:r w:rsidRPr="006610BA">
        <w:rPr>
          <w:rFonts w:eastAsia="MS Mincho"/>
        </w:rPr>
        <w:t>International Atomic Energy Agency</w:t>
      </w:r>
      <w:r w:rsidRPr="006610BA">
        <w:br/>
      </w:r>
      <w:r w:rsidRPr="006610BA">
        <w:rPr>
          <w:rFonts w:eastAsia="MS Mincho"/>
        </w:rPr>
        <w:t>Vienna International Centre</w:t>
      </w:r>
      <w:r w:rsidRPr="006610BA">
        <w:rPr>
          <w:rFonts w:eastAsia="MS Mincho"/>
        </w:rPr>
        <w:br/>
        <w:t>PO Box 100</w:t>
      </w:r>
      <w:r w:rsidRPr="006610BA">
        <w:br/>
      </w:r>
      <w:r w:rsidRPr="006610BA">
        <w:rPr>
          <w:rFonts w:eastAsia="MS Mincho"/>
        </w:rPr>
        <w:t>1400 VIENNA</w:t>
      </w:r>
      <w:r w:rsidRPr="006610BA">
        <w:rPr>
          <w:rFonts w:eastAsia="MS Mincho"/>
        </w:rPr>
        <w:br/>
        <w:t>AUSTRIA</w:t>
      </w:r>
      <w:r w:rsidRPr="006610BA">
        <w:br/>
      </w:r>
      <w:r w:rsidRPr="006610BA">
        <w:rPr>
          <w:rFonts w:eastAsia="MS Mincho"/>
          <w:lang w:eastAsia="ja-JP"/>
        </w:rPr>
        <w:t>Tel.: +43 1 2600</w:t>
      </w:r>
      <w:r w:rsidRPr="006610BA">
        <w:br/>
      </w:r>
      <w:r w:rsidRPr="006610BA">
        <w:rPr>
          <w:rFonts w:eastAsia="MS Mincho"/>
          <w:lang w:eastAsia="ja-JP"/>
        </w:rPr>
        <w:t>Fax: +43 1 2600 2007</w:t>
      </w:r>
      <w:r w:rsidRPr="006610BA">
        <w:br/>
      </w:r>
      <w:r w:rsidRPr="006610BA">
        <w:rPr>
          <w:rFonts w:eastAsia="MS Mincho"/>
          <w:lang w:eastAsia="ja-JP"/>
        </w:rPr>
        <w:t xml:space="preserve">Email: </w:t>
      </w:r>
      <w:hyperlink r:id="rId11" w:history="1">
        <w:r w:rsidRPr="006610BA">
          <w:rPr>
            <w:rFonts w:eastAsia="Batang"/>
            <w:color w:val="0000FF" w:themeColor="hyperlink"/>
            <w:u w:val="single"/>
            <w:lang w:eastAsia="ko-KR"/>
          </w:rPr>
          <w:t>Official.Mail@iaea.org</w:t>
        </w:r>
      </w:hyperlink>
    </w:p>
    <w:p w14:paraId="5E419CEF" w14:textId="77777777" w:rsidR="002C4D30" w:rsidRPr="006610BA" w:rsidRDefault="002C4D30" w:rsidP="002C4D30">
      <w:pPr>
        <w:spacing w:after="120"/>
        <w:jc w:val="both"/>
        <w:rPr>
          <w:b/>
          <w:bCs/>
          <w:color w:val="000000"/>
          <w:lang w:eastAsia="en-GB"/>
        </w:rPr>
      </w:pPr>
    </w:p>
    <w:p w14:paraId="162E7097" w14:textId="77777777" w:rsidR="002C4D30" w:rsidRPr="006610BA" w:rsidRDefault="002C4D30" w:rsidP="002C4D30">
      <w:pPr>
        <w:keepNext/>
        <w:keepLines/>
        <w:spacing w:after="120"/>
        <w:jc w:val="both"/>
        <w:rPr>
          <w:b/>
          <w:bCs/>
          <w:color w:val="000000"/>
          <w:sz w:val="32"/>
          <w:szCs w:val="32"/>
          <w:lang w:eastAsia="en-GB"/>
        </w:rPr>
      </w:pPr>
      <w:r w:rsidRPr="006610BA">
        <w:rPr>
          <w:b/>
          <w:bCs/>
          <w:color w:val="000000"/>
          <w:lang w:eastAsia="en-GB"/>
        </w:rPr>
        <w:t>Scientific Secretaries of the conference:</w:t>
      </w:r>
    </w:p>
    <w:p w14:paraId="7C333884" w14:textId="77777777" w:rsidR="002C4D30" w:rsidRPr="006610BA" w:rsidRDefault="002C4D30" w:rsidP="002C4D30">
      <w:pPr>
        <w:keepNext/>
        <w:keepLines/>
        <w:jc w:val="both"/>
        <w:rPr>
          <w:b/>
          <w:bCs/>
          <w:lang w:eastAsia="en-GB"/>
        </w:rPr>
      </w:pPr>
      <w:r w:rsidRPr="006610BA">
        <w:rPr>
          <w:b/>
          <w:bCs/>
          <w:lang w:eastAsia="en-GB"/>
        </w:rPr>
        <w:t>Mr Gerard Bruno</w:t>
      </w:r>
    </w:p>
    <w:p w14:paraId="540C2314" w14:textId="77777777" w:rsidR="002C4D30" w:rsidRPr="006610BA" w:rsidRDefault="002C4D30" w:rsidP="002C4D30">
      <w:pPr>
        <w:keepNext/>
        <w:keepLines/>
        <w:jc w:val="both"/>
      </w:pPr>
      <w:r w:rsidRPr="006610BA">
        <w:t>Division of Radiation, Transport and Waste Safety</w:t>
      </w:r>
    </w:p>
    <w:p w14:paraId="70AA8B28" w14:textId="77777777" w:rsidR="002C4D30" w:rsidRPr="006610BA" w:rsidRDefault="002C4D30" w:rsidP="002C4D30">
      <w:pPr>
        <w:keepNext/>
        <w:keepLines/>
        <w:jc w:val="both"/>
        <w:rPr>
          <w:lang w:eastAsia="en-GB"/>
        </w:rPr>
      </w:pPr>
      <w:r w:rsidRPr="006610BA">
        <w:t>Department of Nuclear Safety and Security</w:t>
      </w:r>
    </w:p>
    <w:p w14:paraId="59A97604" w14:textId="77777777" w:rsidR="002C4D30" w:rsidRPr="006610BA" w:rsidRDefault="002C4D30" w:rsidP="002C4D30">
      <w:pPr>
        <w:keepNext/>
        <w:keepLines/>
        <w:jc w:val="both"/>
        <w:rPr>
          <w:lang w:eastAsia="en-GB"/>
        </w:rPr>
      </w:pPr>
      <w:r w:rsidRPr="006610BA">
        <w:rPr>
          <w:lang w:eastAsia="en-GB"/>
        </w:rPr>
        <w:t>Tel.: +43 1 2600 21469</w:t>
      </w:r>
    </w:p>
    <w:p w14:paraId="5521544A" w14:textId="77777777" w:rsidR="002C4D30" w:rsidRPr="006610BA" w:rsidRDefault="002C4D30" w:rsidP="002C4D30">
      <w:pPr>
        <w:keepNext/>
        <w:keepLines/>
        <w:jc w:val="both"/>
        <w:rPr>
          <w:lang w:eastAsia="en-GB"/>
        </w:rPr>
      </w:pPr>
      <w:r w:rsidRPr="006610BA">
        <w:rPr>
          <w:lang w:eastAsia="en-GB"/>
        </w:rPr>
        <w:t>Fax: +43 1 26007</w:t>
      </w:r>
    </w:p>
    <w:p w14:paraId="7AAB76BE" w14:textId="77777777" w:rsidR="002C4D30" w:rsidRDefault="002C4D30" w:rsidP="002C4D30">
      <w:pPr>
        <w:keepNext/>
        <w:keepLines/>
        <w:spacing w:after="120"/>
        <w:jc w:val="both"/>
        <w:rPr>
          <w:color w:val="0000FF" w:themeColor="hyperlink"/>
          <w:u w:val="single"/>
          <w:lang w:eastAsia="en-GB"/>
        </w:rPr>
      </w:pPr>
      <w:r w:rsidRPr="006610BA">
        <w:rPr>
          <w:lang w:eastAsia="en-GB"/>
        </w:rPr>
        <w:t xml:space="preserve">Email: </w:t>
      </w:r>
      <w:bookmarkStart w:id="6" w:name="OLE_LINK1"/>
      <w:bookmarkStart w:id="7" w:name="OLE_LINK2"/>
      <w:r w:rsidRPr="006610BA">
        <w:fldChar w:fldCharType="begin"/>
      </w:r>
      <w:r w:rsidRPr="006610BA">
        <w:instrText xml:space="preserve"> HYPERLINK "mailto:G.Bruno@iaea.org" </w:instrText>
      </w:r>
      <w:r w:rsidRPr="006610BA">
        <w:fldChar w:fldCharType="separate"/>
      </w:r>
      <w:r w:rsidRPr="006610BA">
        <w:rPr>
          <w:color w:val="0000FF" w:themeColor="hyperlink"/>
          <w:u w:val="single"/>
          <w:lang w:eastAsia="en-GB"/>
        </w:rPr>
        <w:t>G.Bruno@iaea.org</w:t>
      </w:r>
      <w:r w:rsidRPr="006610BA">
        <w:rPr>
          <w:color w:val="0000FF" w:themeColor="hyperlink"/>
          <w:u w:val="single"/>
          <w:lang w:eastAsia="en-GB"/>
        </w:rPr>
        <w:fldChar w:fldCharType="end"/>
      </w:r>
      <w:bookmarkEnd w:id="6"/>
      <w:bookmarkEnd w:id="7"/>
    </w:p>
    <w:p w14:paraId="1EF74B64" w14:textId="77777777" w:rsidR="002C4D30" w:rsidRPr="00344BBC" w:rsidRDefault="002C4D30" w:rsidP="002C4D30">
      <w:pPr>
        <w:keepNext/>
        <w:keepLines/>
        <w:spacing w:after="120"/>
        <w:jc w:val="both"/>
      </w:pPr>
    </w:p>
    <w:p w14:paraId="1013F241" w14:textId="77777777" w:rsidR="002C4D30" w:rsidRPr="006610BA" w:rsidRDefault="002C4D30" w:rsidP="002C4D30">
      <w:pPr>
        <w:keepNext/>
        <w:keepLines/>
        <w:jc w:val="both"/>
        <w:rPr>
          <w:b/>
          <w:bCs/>
          <w:lang w:eastAsia="en-GB"/>
        </w:rPr>
      </w:pPr>
      <w:r>
        <w:rPr>
          <w:b/>
          <w:bCs/>
          <w:lang w:eastAsia="en-GB"/>
        </w:rPr>
        <w:t>Mr Stefan Mayer</w:t>
      </w:r>
    </w:p>
    <w:p w14:paraId="6841608F" w14:textId="77777777" w:rsidR="002C4D30" w:rsidRPr="006610BA" w:rsidRDefault="002C4D30" w:rsidP="002C4D30">
      <w:pPr>
        <w:keepNext/>
        <w:keepLines/>
        <w:jc w:val="both"/>
      </w:pPr>
      <w:r w:rsidRPr="006610BA">
        <w:t>Division of Nuclear Fuel Cycle and Waste Technology</w:t>
      </w:r>
    </w:p>
    <w:p w14:paraId="2F222996" w14:textId="77777777" w:rsidR="002C4D30" w:rsidRPr="006610BA" w:rsidRDefault="002C4D30" w:rsidP="002C4D30">
      <w:pPr>
        <w:keepNext/>
        <w:keepLines/>
        <w:jc w:val="both"/>
        <w:rPr>
          <w:lang w:eastAsia="en-GB"/>
        </w:rPr>
      </w:pPr>
      <w:r w:rsidRPr="006610BA">
        <w:t>Department of Nuclear Energy</w:t>
      </w:r>
    </w:p>
    <w:p w14:paraId="4CA23EF3" w14:textId="77777777" w:rsidR="002C4D30" w:rsidRPr="006610BA" w:rsidRDefault="002C4D30" w:rsidP="002C4D30">
      <w:pPr>
        <w:keepNext/>
        <w:keepLines/>
        <w:jc w:val="both"/>
        <w:rPr>
          <w:lang w:eastAsia="en-GB"/>
        </w:rPr>
      </w:pPr>
      <w:r w:rsidRPr="006610BA">
        <w:rPr>
          <w:lang w:eastAsia="en-GB"/>
        </w:rPr>
        <w:t xml:space="preserve">Tel.: +43 </w:t>
      </w:r>
      <w:r>
        <w:rPr>
          <w:lang w:eastAsia="en-GB"/>
        </w:rPr>
        <w:t>1 2600 22672</w:t>
      </w:r>
    </w:p>
    <w:p w14:paraId="0755D9DB" w14:textId="77777777" w:rsidR="002C4D30" w:rsidRPr="006610BA" w:rsidRDefault="002C4D30" w:rsidP="002C4D30">
      <w:pPr>
        <w:keepNext/>
        <w:keepLines/>
        <w:jc w:val="both"/>
        <w:rPr>
          <w:lang w:val="fr-FR" w:eastAsia="en-GB"/>
        </w:rPr>
      </w:pPr>
      <w:r w:rsidRPr="006610BA">
        <w:rPr>
          <w:lang w:val="fr-FR" w:eastAsia="en-GB"/>
        </w:rPr>
        <w:t>Fax: +43 1 26007</w:t>
      </w:r>
    </w:p>
    <w:p w14:paraId="0393576A" w14:textId="77777777" w:rsidR="002C4D30" w:rsidRPr="006610BA" w:rsidRDefault="002C4D30" w:rsidP="002C4D30">
      <w:pPr>
        <w:keepNext/>
        <w:keepLines/>
        <w:spacing w:after="120"/>
        <w:jc w:val="both"/>
        <w:rPr>
          <w:color w:val="0000FF"/>
          <w:lang w:val="fr-FR"/>
        </w:rPr>
      </w:pPr>
      <w:r w:rsidRPr="006610BA">
        <w:rPr>
          <w:lang w:val="fr-FR" w:eastAsia="en-GB"/>
        </w:rPr>
        <w:t>Email:</w:t>
      </w:r>
      <w:r w:rsidRPr="006610BA">
        <w:rPr>
          <w:color w:val="000000"/>
          <w:lang w:val="fr-FR" w:eastAsia="en-GB"/>
        </w:rPr>
        <w:t xml:space="preserve"> </w:t>
      </w:r>
      <w:hyperlink r:id="rId12" w:history="1">
        <w:r w:rsidRPr="002B1682">
          <w:rPr>
            <w:rStyle w:val="Hyperlink"/>
            <w:lang w:val="fr-FR" w:eastAsia="en-GB"/>
          </w:rPr>
          <w:t>S.Mayer@iaea.org</w:t>
        </w:r>
      </w:hyperlink>
    </w:p>
    <w:p w14:paraId="468D4178" w14:textId="77777777" w:rsidR="002C4D30" w:rsidRPr="00F750F5" w:rsidRDefault="002C4D30" w:rsidP="002C4D30">
      <w:pPr>
        <w:spacing w:after="120"/>
        <w:jc w:val="both"/>
        <w:rPr>
          <w:lang w:val="fr-FR"/>
        </w:rPr>
      </w:pPr>
    </w:p>
    <w:p w14:paraId="341568C5" w14:textId="77777777" w:rsidR="002C4D30" w:rsidRPr="006610BA" w:rsidRDefault="002C4D30" w:rsidP="002C4D30">
      <w:pPr>
        <w:keepNext/>
        <w:keepLines/>
        <w:spacing w:after="120"/>
        <w:jc w:val="both"/>
        <w:rPr>
          <w:b/>
          <w:bCs/>
          <w:lang w:eastAsia="en-GB"/>
        </w:rPr>
      </w:pPr>
      <w:r w:rsidRPr="006610BA">
        <w:rPr>
          <w:b/>
          <w:bCs/>
        </w:rPr>
        <w:t>Administration and organization</w:t>
      </w:r>
      <w:r w:rsidRPr="006610BA">
        <w:rPr>
          <w:b/>
          <w:bCs/>
          <w:lang w:eastAsia="en-GB"/>
        </w:rPr>
        <w:t>:</w:t>
      </w:r>
    </w:p>
    <w:p w14:paraId="34610EAE" w14:textId="77777777" w:rsidR="002C4D30" w:rsidRPr="006610BA" w:rsidRDefault="002C4D30" w:rsidP="002C4D30">
      <w:pPr>
        <w:keepNext/>
        <w:keepLines/>
        <w:jc w:val="both"/>
        <w:rPr>
          <w:b/>
          <w:bCs/>
          <w:lang w:eastAsia="en-GB"/>
        </w:rPr>
      </w:pPr>
      <w:r w:rsidRPr="006610BA">
        <w:rPr>
          <w:b/>
          <w:bCs/>
          <w:lang w:eastAsia="en-GB"/>
        </w:rPr>
        <w:t xml:space="preserve">Ms </w:t>
      </w:r>
      <w:r>
        <w:rPr>
          <w:b/>
          <w:bCs/>
        </w:rPr>
        <w:t xml:space="preserve">Martina </w:t>
      </w:r>
      <w:proofErr w:type="spellStart"/>
      <w:r>
        <w:rPr>
          <w:b/>
          <w:bCs/>
        </w:rPr>
        <w:t>Neuhold</w:t>
      </w:r>
      <w:proofErr w:type="spellEnd"/>
    </w:p>
    <w:p w14:paraId="0A7CFD22" w14:textId="77777777" w:rsidR="002C4D30" w:rsidRPr="006610BA" w:rsidRDefault="002C4D30" w:rsidP="002C4D30">
      <w:pPr>
        <w:keepNext/>
        <w:keepLines/>
        <w:jc w:val="both"/>
      </w:pPr>
      <w:r w:rsidRPr="006610BA">
        <w:t>Conference Services Section</w:t>
      </w:r>
    </w:p>
    <w:p w14:paraId="7807C59C" w14:textId="77777777" w:rsidR="002C4D30" w:rsidRPr="006610BA" w:rsidRDefault="002C4D30" w:rsidP="002C4D30">
      <w:pPr>
        <w:keepNext/>
        <w:keepLines/>
        <w:jc w:val="both"/>
      </w:pPr>
      <w:r w:rsidRPr="006610BA">
        <w:t>Division of Conference and Document Services</w:t>
      </w:r>
    </w:p>
    <w:p w14:paraId="5D34DDB8" w14:textId="77777777" w:rsidR="002C4D30" w:rsidRPr="006610BA" w:rsidRDefault="002C4D30" w:rsidP="002C4D30">
      <w:pPr>
        <w:keepNext/>
        <w:keepLines/>
        <w:jc w:val="both"/>
        <w:rPr>
          <w:lang w:eastAsia="en-GB"/>
        </w:rPr>
      </w:pPr>
      <w:r w:rsidRPr="006610BA">
        <w:t>Department of Management</w:t>
      </w:r>
    </w:p>
    <w:p w14:paraId="502AB2D6" w14:textId="77777777" w:rsidR="002C4D30" w:rsidRPr="006610BA" w:rsidRDefault="002C4D30" w:rsidP="002C4D30">
      <w:pPr>
        <w:keepNext/>
        <w:keepLines/>
        <w:jc w:val="both"/>
        <w:rPr>
          <w:lang w:eastAsia="en-GB"/>
        </w:rPr>
      </w:pPr>
      <w:r w:rsidRPr="0050042D">
        <w:rPr>
          <w:lang w:eastAsia="en-GB"/>
        </w:rPr>
        <w:t>IAEA-CN-242</w:t>
      </w:r>
    </w:p>
    <w:p w14:paraId="111B912A" w14:textId="77777777" w:rsidR="002C4D30" w:rsidRPr="006610BA" w:rsidRDefault="002C4D30" w:rsidP="002C4D30">
      <w:pPr>
        <w:keepNext/>
        <w:keepLines/>
        <w:jc w:val="both"/>
        <w:rPr>
          <w:color w:val="000000"/>
          <w:lang w:eastAsia="en-GB"/>
        </w:rPr>
      </w:pPr>
      <w:r>
        <w:rPr>
          <w:color w:val="000000"/>
          <w:lang w:eastAsia="en-GB"/>
        </w:rPr>
        <w:t>Tel.: +43 1 2600 21314</w:t>
      </w:r>
    </w:p>
    <w:p w14:paraId="699CAE6E" w14:textId="77777777" w:rsidR="002C4D30" w:rsidRPr="006610BA" w:rsidRDefault="002C4D30" w:rsidP="002C4D30">
      <w:pPr>
        <w:keepNext/>
        <w:keepLines/>
        <w:jc w:val="both"/>
        <w:rPr>
          <w:color w:val="000000"/>
          <w:lang w:eastAsia="en-GB"/>
        </w:rPr>
      </w:pPr>
      <w:r w:rsidRPr="006610BA">
        <w:rPr>
          <w:color w:val="000000"/>
          <w:lang w:eastAsia="en-GB"/>
        </w:rPr>
        <w:t>Fax: +43 1 26007</w:t>
      </w:r>
    </w:p>
    <w:p w14:paraId="3ADC9850" w14:textId="27311765" w:rsidR="002C4D30" w:rsidRPr="006610BA" w:rsidRDefault="002C4D30" w:rsidP="002C4D30">
      <w:pPr>
        <w:keepNext/>
        <w:keepLines/>
        <w:spacing w:after="120"/>
        <w:jc w:val="both"/>
        <w:rPr>
          <w:color w:val="0000FF"/>
        </w:rPr>
      </w:pPr>
      <w:r w:rsidRPr="006610BA">
        <w:rPr>
          <w:color w:val="000000"/>
          <w:lang w:eastAsia="en-GB"/>
        </w:rPr>
        <w:t xml:space="preserve">Email: </w:t>
      </w:r>
      <w:hyperlink r:id="rId13" w:history="1">
        <w:r w:rsidR="00F22557" w:rsidRPr="00C178A9">
          <w:rPr>
            <w:rStyle w:val="Hyperlink"/>
          </w:rPr>
          <w:t>RadWaste2016@iaea.org</w:t>
        </w:r>
      </w:hyperlink>
    </w:p>
    <w:p w14:paraId="7203F7BA" w14:textId="77777777" w:rsidR="005D3B7F" w:rsidRDefault="005D3B7F" w:rsidP="002C4D30">
      <w:pPr>
        <w:spacing w:after="120"/>
        <w:jc w:val="both"/>
        <w:rPr>
          <w:color w:val="000000"/>
          <w:lang w:eastAsia="en-GB"/>
        </w:rPr>
      </w:pPr>
    </w:p>
    <w:p w14:paraId="3BCC138C" w14:textId="39A46002" w:rsidR="002C4D30" w:rsidRDefault="005D3B7F" w:rsidP="002C4D30">
      <w:pPr>
        <w:spacing w:after="120"/>
        <w:jc w:val="both"/>
        <w:rPr>
          <w:color w:val="000000"/>
          <w:lang w:eastAsia="en-GB"/>
        </w:rPr>
      </w:pPr>
      <w:r>
        <w:rPr>
          <w:color w:val="000000"/>
          <w:lang w:eastAsia="en-GB"/>
        </w:rPr>
        <w:t>Subsequent correspondence on scientific matters should be sent to the Scientific Secretaries of the conference and correspondence on administrative matters to the IAEA Conference Services Section.</w:t>
      </w:r>
    </w:p>
    <w:p w14:paraId="7108BC2B" w14:textId="1F1D528B" w:rsidR="00733D7D" w:rsidRPr="0006245C" w:rsidRDefault="00F82C2F" w:rsidP="00652B25">
      <w:pPr>
        <w:pStyle w:val="Heading1"/>
      </w:pPr>
      <w:bookmarkStart w:id="8" w:name="_Ref434486780"/>
      <w:bookmarkStart w:id="9" w:name="_Ref434487089"/>
      <w:r w:rsidRPr="0006245C">
        <w:lastRenderedPageBreak/>
        <w:t xml:space="preserve">Conference </w:t>
      </w:r>
      <w:r w:rsidR="001D2A93" w:rsidRPr="0006245C">
        <w:t>W</w:t>
      </w:r>
      <w:r w:rsidRPr="0006245C">
        <w:t>eb</w:t>
      </w:r>
      <w:r w:rsidR="00652B25">
        <w:t xml:space="preserve"> </w:t>
      </w:r>
      <w:bookmarkEnd w:id="5"/>
      <w:bookmarkEnd w:id="8"/>
      <w:r w:rsidR="00652B25">
        <w:t>Page</w:t>
      </w:r>
      <w:bookmarkEnd w:id="9"/>
    </w:p>
    <w:p w14:paraId="3BD6ADAD" w14:textId="77777777" w:rsidR="002C4D30" w:rsidRDefault="002C4D30" w:rsidP="002F02AE">
      <w:pPr>
        <w:pStyle w:val="BodyText"/>
        <w:keepNext/>
      </w:pPr>
      <w:r>
        <w:t>Please visit the following IAE</w:t>
      </w:r>
      <w:bookmarkStart w:id="10" w:name="_GoBack"/>
      <w:bookmarkEnd w:id="10"/>
      <w:r>
        <w:t>A web page regularly for new information regarding this conference:</w:t>
      </w:r>
    </w:p>
    <w:p w14:paraId="4280FBCC" w14:textId="215B379D" w:rsidR="002C4D30" w:rsidRPr="0006245C" w:rsidRDefault="00CB498F" w:rsidP="002C4D30">
      <w:pPr>
        <w:pStyle w:val="BodyText"/>
      </w:pPr>
      <w:hyperlink r:id="rId14" w:history="1">
        <w:r w:rsidR="002C4D30" w:rsidRPr="00030FA2">
          <w:rPr>
            <w:rStyle w:val="Hyperlink"/>
          </w:rPr>
          <w:t>http://www-pub.iaea.org/iaeameetings/50807/International-Conference-on-the-Safety-of-Radioactive-Waste-Management</w:t>
        </w:r>
      </w:hyperlink>
    </w:p>
    <w:sectPr w:rsidR="002C4D30" w:rsidRPr="0006245C">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531" w:right="1418" w:bottom="1134"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E956C" w14:textId="77777777" w:rsidR="002D5218" w:rsidRDefault="002D5218">
      <w:r>
        <w:separator/>
      </w:r>
    </w:p>
  </w:endnote>
  <w:endnote w:type="continuationSeparator" w:id="0">
    <w:p w14:paraId="252CD096" w14:textId="77777777" w:rsidR="002D5218" w:rsidRDefault="002D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29DDB" w14:textId="77777777" w:rsidR="0029545B" w:rsidRDefault="0029545B">
    <w:pPr>
      <w:pStyle w:val="zyxClassification1"/>
    </w:pPr>
    <w:r>
      <w:fldChar w:fldCharType="begin"/>
    </w:r>
    <w:r>
      <w:instrText xml:space="preserve"> DOCPROPERTY "IaeaClassification"  \* MERGEFORMAT </w:instrText>
    </w:r>
    <w:r>
      <w:fldChar w:fldCharType="end"/>
    </w:r>
  </w:p>
  <w:p w14:paraId="430EBD50" w14:textId="77777777" w:rsidR="0029545B" w:rsidRDefault="0029545B">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4B7F3" w14:textId="77777777" w:rsidR="0029545B" w:rsidRDefault="0029545B">
    <w:pPr>
      <w:pStyle w:val="zyxClassification1"/>
    </w:pPr>
    <w:r>
      <w:fldChar w:fldCharType="begin"/>
    </w:r>
    <w:r>
      <w:instrText xml:space="preserve"> DOCPROPERTY "IaeaClassification"  \* MERGEFORMAT </w:instrText>
    </w:r>
    <w:r>
      <w:fldChar w:fldCharType="end"/>
    </w:r>
  </w:p>
  <w:p w14:paraId="22F1B9B9" w14:textId="77777777" w:rsidR="0029545B" w:rsidRDefault="0029545B">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0CC9D" w14:textId="77777777" w:rsidR="0029545B" w:rsidRDefault="002954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7F246" w14:textId="77777777" w:rsidR="002D5218" w:rsidRDefault="002D5218">
      <w:r>
        <w:t>___________________________________________________________________________</w:t>
      </w:r>
    </w:p>
  </w:footnote>
  <w:footnote w:type="continuationSeparator" w:id="0">
    <w:p w14:paraId="767720E5" w14:textId="77777777" w:rsidR="002D5218" w:rsidRDefault="002D5218">
      <w:r>
        <w:t>___________________________________________________________________________</w:t>
      </w:r>
    </w:p>
  </w:footnote>
  <w:footnote w:type="continuationNotice" w:id="1">
    <w:p w14:paraId="54DF9F71" w14:textId="77777777" w:rsidR="002D5218" w:rsidRDefault="002D52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2D5EF" w14:textId="77777777" w:rsidR="0029545B" w:rsidRDefault="0029545B">
    <w:pPr>
      <w:pStyle w:val="Header"/>
      <w:spacing w:after="0"/>
      <w:rPr>
        <w:sz w:val="8"/>
      </w:rPr>
    </w:pPr>
    <w:r>
      <w:br/>
      <w:t xml:space="preserve">Page </w:t>
    </w:r>
    <w:r>
      <w:fldChar w:fldCharType="begin"/>
    </w:r>
    <w:r>
      <w:instrText xml:space="preserve"> PAGE </w:instrText>
    </w:r>
    <w:r>
      <w:fldChar w:fldCharType="separate"/>
    </w:r>
    <w:r w:rsidR="00CB498F">
      <w:rPr>
        <w:noProof/>
      </w:rPr>
      <w:t>12</w:t>
    </w:r>
    <w:r>
      <w:fldChar w:fldCharType="end"/>
    </w:r>
    <w:r>
      <w:br/>
    </w:r>
  </w:p>
  <w:p w14:paraId="57B6060B" w14:textId="77777777" w:rsidR="0029545B" w:rsidRDefault="0029545B">
    <w:pPr>
      <w:pStyle w:val="zyxClassification1"/>
    </w:pPr>
    <w:r>
      <w:fldChar w:fldCharType="begin"/>
    </w:r>
    <w:r>
      <w:instrText xml:space="preserve"> DOCPROPERTY "IaeaClassification"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5318D" w14:textId="7FF2C301" w:rsidR="0029545B" w:rsidRDefault="0029545B">
    <w:pPr>
      <w:pStyle w:val="Header"/>
      <w:spacing w:after="0"/>
      <w:jc w:val="right"/>
      <w:rPr>
        <w:sz w:val="8"/>
      </w:rPr>
    </w:pPr>
    <w:r>
      <w:br/>
      <w:t xml:space="preserve">Page </w:t>
    </w:r>
    <w:r>
      <w:fldChar w:fldCharType="begin"/>
    </w:r>
    <w:r>
      <w:instrText xml:space="preserve"> PAGE </w:instrText>
    </w:r>
    <w:r>
      <w:fldChar w:fldCharType="separate"/>
    </w:r>
    <w:r w:rsidR="00CB498F">
      <w:rPr>
        <w:noProof/>
      </w:rPr>
      <w:t>11</w:t>
    </w:r>
    <w:r>
      <w:fldChar w:fldCharType="end"/>
    </w:r>
    <w:r>
      <w:br/>
    </w:r>
  </w:p>
  <w:p w14:paraId="7F98D32F" w14:textId="77777777" w:rsidR="0029545B" w:rsidRDefault="0029545B">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29545B" w14:paraId="1577070F" w14:textId="77777777">
      <w:trPr>
        <w:cantSplit/>
        <w:trHeight w:val="716"/>
      </w:trPr>
      <w:tc>
        <w:tcPr>
          <w:tcW w:w="979" w:type="dxa"/>
          <w:vMerge w:val="restart"/>
        </w:tcPr>
        <w:p w14:paraId="6950F94C" w14:textId="77777777" w:rsidR="0029545B" w:rsidRDefault="0029545B">
          <w:pPr>
            <w:spacing w:before="180"/>
            <w:ind w:left="17"/>
          </w:pPr>
        </w:p>
      </w:tc>
      <w:tc>
        <w:tcPr>
          <w:tcW w:w="3638" w:type="dxa"/>
          <w:vAlign w:val="bottom"/>
        </w:tcPr>
        <w:p w14:paraId="6278D896" w14:textId="77777777" w:rsidR="0029545B" w:rsidRDefault="0029545B">
          <w:pPr>
            <w:spacing w:after="20"/>
          </w:pPr>
        </w:p>
      </w:tc>
      <w:bookmarkStart w:id="11" w:name="DOC_bkmClassification1"/>
      <w:tc>
        <w:tcPr>
          <w:tcW w:w="5702" w:type="dxa"/>
          <w:vMerge w:val="restart"/>
          <w:tcMar>
            <w:right w:w="193" w:type="dxa"/>
          </w:tcMar>
        </w:tcPr>
        <w:p w14:paraId="5119D59F" w14:textId="77777777" w:rsidR="0029545B" w:rsidRDefault="0029545B">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1"/>
        <w:p w14:paraId="67251A83" w14:textId="77777777" w:rsidR="0029545B" w:rsidRDefault="0029545B">
          <w:pPr>
            <w:pStyle w:val="zyxConfid2Red"/>
          </w:pPr>
          <w:r>
            <w:fldChar w:fldCharType="begin"/>
          </w:r>
          <w:r>
            <w:instrText>DOCPROPERTY "IaeaClassification2"  \* MERGEFORMAT</w:instrText>
          </w:r>
          <w:r>
            <w:fldChar w:fldCharType="end"/>
          </w:r>
        </w:p>
      </w:tc>
    </w:tr>
    <w:tr w:rsidR="0029545B" w14:paraId="0F931FB4" w14:textId="77777777">
      <w:trPr>
        <w:cantSplit/>
        <w:trHeight w:val="167"/>
      </w:trPr>
      <w:tc>
        <w:tcPr>
          <w:tcW w:w="979" w:type="dxa"/>
          <w:vMerge/>
        </w:tcPr>
        <w:p w14:paraId="12567A68" w14:textId="77777777" w:rsidR="0029545B" w:rsidRDefault="0029545B">
          <w:pPr>
            <w:spacing w:before="57"/>
          </w:pPr>
        </w:p>
      </w:tc>
      <w:tc>
        <w:tcPr>
          <w:tcW w:w="3638" w:type="dxa"/>
          <w:vAlign w:val="bottom"/>
        </w:tcPr>
        <w:p w14:paraId="1AA2A4DA" w14:textId="77777777" w:rsidR="0029545B" w:rsidRDefault="0029545B">
          <w:pPr>
            <w:pStyle w:val="Heading9"/>
            <w:spacing w:before="0" w:after="10"/>
          </w:pPr>
        </w:p>
      </w:tc>
      <w:tc>
        <w:tcPr>
          <w:tcW w:w="5702" w:type="dxa"/>
          <w:vMerge/>
          <w:vAlign w:val="bottom"/>
        </w:tcPr>
        <w:p w14:paraId="6C9AF418" w14:textId="77777777" w:rsidR="0029545B" w:rsidRDefault="0029545B">
          <w:pPr>
            <w:pStyle w:val="Heading9"/>
            <w:spacing w:before="0" w:after="10"/>
          </w:pPr>
        </w:p>
      </w:tc>
    </w:tr>
  </w:tbl>
  <w:p w14:paraId="1A33EDEC" w14:textId="77777777" w:rsidR="0029545B" w:rsidRDefault="002954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BFE"/>
    <w:multiLevelType w:val="hybridMultilevel"/>
    <w:tmpl w:val="80C0D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AA0470"/>
    <w:multiLevelType w:val="hybridMultilevel"/>
    <w:tmpl w:val="7968FFDA"/>
    <w:lvl w:ilvl="0" w:tplc="1546857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nsid w:val="15550954"/>
    <w:multiLevelType w:val="hybridMultilevel"/>
    <w:tmpl w:val="F4E0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005080"/>
    <w:multiLevelType w:val="hybridMultilevel"/>
    <w:tmpl w:val="F9E0D372"/>
    <w:lvl w:ilvl="0" w:tplc="696E27F8">
      <w:start w:val="1"/>
      <w:numFmt w:val="bullet"/>
      <w:lvlText w:val=""/>
      <w:lvlJc w:val="left"/>
      <w:pPr>
        <w:tabs>
          <w:tab w:val="num" w:pos="720"/>
        </w:tabs>
        <w:ind w:left="720" w:hanging="360"/>
      </w:pPr>
      <w:rPr>
        <w:rFonts w:ascii="Wingdings" w:hAnsi="Wingdings" w:hint="default"/>
        <w:sz w:val="20"/>
      </w:rPr>
    </w:lvl>
    <w:lvl w:ilvl="1" w:tplc="98161D14" w:tentative="1">
      <w:start w:val="1"/>
      <w:numFmt w:val="bullet"/>
      <w:lvlText w:val=""/>
      <w:lvlJc w:val="left"/>
      <w:pPr>
        <w:tabs>
          <w:tab w:val="num" w:pos="1440"/>
        </w:tabs>
        <w:ind w:left="1440" w:hanging="360"/>
      </w:pPr>
      <w:rPr>
        <w:rFonts w:ascii="Wingdings" w:hAnsi="Wingdings" w:hint="default"/>
        <w:sz w:val="20"/>
      </w:rPr>
    </w:lvl>
    <w:lvl w:ilvl="2" w:tplc="0A9C6B90" w:tentative="1">
      <w:start w:val="1"/>
      <w:numFmt w:val="bullet"/>
      <w:lvlText w:val=""/>
      <w:lvlJc w:val="left"/>
      <w:pPr>
        <w:tabs>
          <w:tab w:val="num" w:pos="2160"/>
        </w:tabs>
        <w:ind w:left="2160" w:hanging="360"/>
      </w:pPr>
      <w:rPr>
        <w:rFonts w:ascii="Wingdings" w:hAnsi="Wingdings" w:hint="default"/>
        <w:sz w:val="20"/>
      </w:rPr>
    </w:lvl>
    <w:lvl w:ilvl="3" w:tplc="E190FCB8" w:tentative="1">
      <w:start w:val="1"/>
      <w:numFmt w:val="bullet"/>
      <w:lvlText w:val=""/>
      <w:lvlJc w:val="left"/>
      <w:pPr>
        <w:tabs>
          <w:tab w:val="num" w:pos="2880"/>
        </w:tabs>
        <w:ind w:left="2880" w:hanging="360"/>
      </w:pPr>
      <w:rPr>
        <w:rFonts w:ascii="Wingdings" w:hAnsi="Wingdings" w:hint="default"/>
        <w:sz w:val="20"/>
      </w:rPr>
    </w:lvl>
    <w:lvl w:ilvl="4" w:tplc="B48029F8" w:tentative="1">
      <w:start w:val="1"/>
      <w:numFmt w:val="bullet"/>
      <w:lvlText w:val=""/>
      <w:lvlJc w:val="left"/>
      <w:pPr>
        <w:tabs>
          <w:tab w:val="num" w:pos="3600"/>
        </w:tabs>
        <w:ind w:left="3600" w:hanging="360"/>
      </w:pPr>
      <w:rPr>
        <w:rFonts w:ascii="Wingdings" w:hAnsi="Wingdings" w:hint="default"/>
        <w:sz w:val="20"/>
      </w:rPr>
    </w:lvl>
    <w:lvl w:ilvl="5" w:tplc="5A389DC8" w:tentative="1">
      <w:start w:val="1"/>
      <w:numFmt w:val="bullet"/>
      <w:lvlText w:val=""/>
      <w:lvlJc w:val="left"/>
      <w:pPr>
        <w:tabs>
          <w:tab w:val="num" w:pos="4320"/>
        </w:tabs>
        <w:ind w:left="4320" w:hanging="360"/>
      </w:pPr>
      <w:rPr>
        <w:rFonts w:ascii="Wingdings" w:hAnsi="Wingdings" w:hint="default"/>
        <w:sz w:val="20"/>
      </w:rPr>
    </w:lvl>
    <w:lvl w:ilvl="6" w:tplc="71A8A79A" w:tentative="1">
      <w:start w:val="1"/>
      <w:numFmt w:val="bullet"/>
      <w:lvlText w:val=""/>
      <w:lvlJc w:val="left"/>
      <w:pPr>
        <w:tabs>
          <w:tab w:val="num" w:pos="5040"/>
        </w:tabs>
        <w:ind w:left="5040" w:hanging="360"/>
      </w:pPr>
      <w:rPr>
        <w:rFonts w:ascii="Wingdings" w:hAnsi="Wingdings" w:hint="default"/>
        <w:sz w:val="20"/>
      </w:rPr>
    </w:lvl>
    <w:lvl w:ilvl="7" w:tplc="5F943F0E" w:tentative="1">
      <w:start w:val="1"/>
      <w:numFmt w:val="bullet"/>
      <w:lvlText w:val=""/>
      <w:lvlJc w:val="left"/>
      <w:pPr>
        <w:tabs>
          <w:tab w:val="num" w:pos="5760"/>
        </w:tabs>
        <w:ind w:left="5760" w:hanging="360"/>
      </w:pPr>
      <w:rPr>
        <w:rFonts w:ascii="Wingdings" w:hAnsi="Wingdings" w:hint="default"/>
        <w:sz w:val="20"/>
      </w:rPr>
    </w:lvl>
    <w:lvl w:ilvl="8" w:tplc="852EB582" w:tentative="1">
      <w:start w:val="1"/>
      <w:numFmt w:val="bullet"/>
      <w:lvlText w:val=""/>
      <w:lvlJc w:val="left"/>
      <w:pPr>
        <w:tabs>
          <w:tab w:val="num" w:pos="6480"/>
        </w:tabs>
        <w:ind w:left="6480" w:hanging="360"/>
      </w:pPr>
      <w:rPr>
        <w:rFonts w:ascii="Wingdings" w:hAnsi="Wingdings" w:hint="default"/>
        <w:sz w:val="20"/>
      </w:rPr>
    </w:lvl>
  </w:abstractNum>
  <w:abstractNum w:abstractNumId="6">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nsid w:val="31F25E00"/>
    <w:multiLevelType w:val="hybridMultilevel"/>
    <w:tmpl w:val="E2B272F8"/>
    <w:lvl w:ilvl="0" w:tplc="29EA4148">
      <w:start w:val="1"/>
      <w:numFmt w:val="bullet"/>
      <w:lvlText w:val=""/>
      <w:lvlJc w:val="left"/>
      <w:pPr>
        <w:tabs>
          <w:tab w:val="num" w:pos="720"/>
        </w:tabs>
        <w:ind w:left="720" w:hanging="360"/>
      </w:pPr>
      <w:rPr>
        <w:rFonts w:ascii="Wingdings" w:hAnsi="Wingdings" w:hint="default"/>
        <w:sz w:val="20"/>
      </w:rPr>
    </w:lvl>
    <w:lvl w:ilvl="1" w:tplc="FC86552A">
      <w:start w:val="1"/>
      <w:numFmt w:val="bullet"/>
      <w:lvlText w:val=""/>
      <w:lvlJc w:val="left"/>
      <w:pPr>
        <w:tabs>
          <w:tab w:val="num" w:pos="1440"/>
        </w:tabs>
        <w:ind w:left="1440" w:hanging="360"/>
      </w:pPr>
      <w:rPr>
        <w:rFonts w:ascii="Wingdings" w:hAnsi="Wingdings" w:hint="default"/>
        <w:sz w:val="20"/>
      </w:rPr>
    </w:lvl>
    <w:lvl w:ilvl="2" w:tplc="9A94B95A">
      <w:start w:val="1"/>
      <w:numFmt w:val="bullet"/>
      <w:lvlText w:val=""/>
      <w:lvlJc w:val="left"/>
      <w:pPr>
        <w:tabs>
          <w:tab w:val="num" w:pos="2160"/>
        </w:tabs>
        <w:ind w:left="2160" w:hanging="360"/>
      </w:pPr>
      <w:rPr>
        <w:rFonts w:ascii="Wingdings" w:hAnsi="Wingdings" w:hint="default"/>
        <w:sz w:val="20"/>
      </w:rPr>
    </w:lvl>
    <w:lvl w:ilvl="3" w:tplc="6380B256">
      <w:start w:val="1"/>
      <w:numFmt w:val="bullet"/>
      <w:lvlText w:val=""/>
      <w:lvlJc w:val="left"/>
      <w:pPr>
        <w:tabs>
          <w:tab w:val="num" w:pos="2880"/>
        </w:tabs>
        <w:ind w:left="2880" w:hanging="360"/>
      </w:pPr>
      <w:rPr>
        <w:rFonts w:ascii="Wingdings" w:hAnsi="Wingdings" w:hint="default"/>
        <w:sz w:val="20"/>
      </w:rPr>
    </w:lvl>
    <w:lvl w:ilvl="4" w:tplc="368E606E">
      <w:start w:val="1"/>
      <w:numFmt w:val="bullet"/>
      <w:lvlText w:val=""/>
      <w:lvlJc w:val="left"/>
      <w:pPr>
        <w:tabs>
          <w:tab w:val="num" w:pos="3600"/>
        </w:tabs>
        <w:ind w:left="3600" w:hanging="360"/>
      </w:pPr>
      <w:rPr>
        <w:rFonts w:ascii="Wingdings" w:hAnsi="Wingdings" w:hint="default"/>
        <w:sz w:val="20"/>
      </w:rPr>
    </w:lvl>
    <w:lvl w:ilvl="5" w:tplc="D076FF26">
      <w:start w:val="1"/>
      <w:numFmt w:val="bullet"/>
      <w:lvlText w:val=""/>
      <w:lvlJc w:val="left"/>
      <w:pPr>
        <w:tabs>
          <w:tab w:val="num" w:pos="4320"/>
        </w:tabs>
        <w:ind w:left="4320" w:hanging="360"/>
      </w:pPr>
      <w:rPr>
        <w:rFonts w:ascii="Wingdings" w:hAnsi="Wingdings" w:hint="default"/>
        <w:sz w:val="20"/>
      </w:rPr>
    </w:lvl>
    <w:lvl w:ilvl="6" w:tplc="0F9C2296">
      <w:start w:val="1"/>
      <w:numFmt w:val="bullet"/>
      <w:lvlText w:val=""/>
      <w:lvlJc w:val="left"/>
      <w:pPr>
        <w:tabs>
          <w:tab w:val="num" w:pos="5040"/>
        </w:tabs>
        <w:ind w:left="5040" w:hanging="360"/>
      </w:pPr>
      <w:rPr>
        <w:rFonts w:ascii="Wingdings" w:hAnsi="Wingdings" w:hint="default"/>
        <w:sz w:val="20"/>
      </w:rPr>
    </w:lvl>
    <w:lvl w:ilvl="7" w:tplc="47DAD0A2">
      <w:start w:val="1"/>
      <w:numFmt w:val="bullet"/>
      <w:lvlText w:val=""/>
      <w:lvlJc w:val="left"/>
      <w:pPr>
        <w:tabs>
          <w:tab w:val="num" w:pos="5760"/>
        </w:tabs>
        <w:ind w:left="5760" w:hanging="360"/>
      </w:pPr>
      <w:rPr>
        <w:rFonts w:ascii="Wingdings" w:hAnsi="Wingdings" w:hint="default"/>
        <w:sz w:val="20"/>
      </w:rPr>
    </w:lvl>
    <w:lvl w:ilvl="8" w:tplc="5150FDD0">
      <w:start w:val="1"/>
      <w:numFmt w:val="bullet"/>
      <w:lvlText w:val=""/>
      <w:lvlJc w:val="left"/>
      <w:pPr>
        <w:tabs>
          <w:tab w:val="num" w:pos="6480"/>
        </w:tabs>
        <w:ind w:left="6480" w:hanging="360"/>
      </w:pPr>
      <w:rPr>
        <w:rFonts w:ascii="Wingdings" w:hAnsi="Wingdings" w:hint="default"/>
        <w:sz w:val="20"/>
      </w:rPr>
    </w:lvl>
  </w:abstractNum>
  <w:abstractNum w:abstractNumId="8">
    <w:nsid w:val="352D46EE"/>
    <w:multiLevelType w:val="hybridMultilevel"/>
    <w:tmpl w:val="A468A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682FE9"/>
    <w:multiLevelType w:val="hybridMultilevel"/>
    <w:tmpl w:val="6A1E8448"/>
    <w:lvl w:ilvl="0" w:tplc="27D6AED2">
      <w:start w:val="1"/>
      <w:numFmt w:val="bullet"/>
      <w:lvlText w:val=""/>
      <w:lvlJc w:val="left"/>
      <w:pPr>
        <w:tabs>
          <w:tab w:val="num" w:pos="720"/>
        </w:tabs>
        <w:ind w:left="720" w:hanging="360"/>
      </w:pPr>
      <w:rPr>
        <w:rFonts w:ascii="Wingdings" w:hAnsi="Wingdings" w:hint="default"/>
        <w:sz w:val="20"/>
      </w:rPr>
    </w:lvl>
    <w:lvl w:ilvl="1" w:tplc="43B6035C" w:tentative="1">
      <w:start w:val="1"/>
      <w:numFmt w:val="bullet"/>
      <w:lvlText w:val=""/>
      <w:lvlJc w:val="left"/>
      <w:pPr>
        <w:tabs>
          <w:tab w:val="num" w:pos="1440"/>
        </w:tabs>
        <w:ind w:left="1440" w:hanging="360"/>
      </w:pPr>
      <w:rPr>
        <w:rFonts w:ascii="Wingdings" w:hAnsi="Wingdings" w:hint="default"/>
        <w:sz w:val="20"/>
      </w:rPr>
    </w:lvl>
    <w:lvl w:ilvl="2" w:tplc="360E2288" w:tentative="1">
      <w:start w:val="1"/>
      <w:numFmt w:val="bullet"/>
      <w:lvlText w:val=""/>
      <w:lvlJc w:val="left"/>
      <w:pPr>
        <w:tabs>
          <w:tab w:val="num" w:pos="2160"/>
        </w:tabs>
        <w:ind w:left="2160" w:hanging="360"/>
      </w:pPr>
      <w:rPr>
        <w:rFonts w:ascii="Wingdings" w:hAnsi="Wingdings" w:hint="default"/>
        <w:sz w:val="20"/>
      </w:rPr>
    </w:lvl>
    <w:lvl w:ilvl="3" w:tplc="2E8E4F2E" w:tentative="1">
      <w:start w:val="1"/>
      <w:numFmt w:val="bullet"/>
      <w:lvlText w:val=""/>
      <w:lvlJc w:val="left"/>
      <w:pPr>
        <w:tabs>
          <w:tab w:val="num" w:pos="2880"/>
        </w:tabs>
        <w:ind w:left="2880" w:hanging="360"/>
      </w:pPr>
      <w:rPr>
        <w:rFonts w:ascii="Wingdings" w:hAnsi="Wingdings" w:hint="default"/>
        <w:sz w:val="20"/>
      </w:rPr>
    </w:lvl>
    <w:lvl w:ilvl="4" w:tplc="16144374" w:tentative="1">
      <w:start w:val="1"/>
      <w:numFmt w:val="bullet"/>
      <w:lvlText w:val=""/>
      <w:lvlJc w:val="left"/>
      <w:pPr>
        <w:tabs>
          <w:tab w:val="num" w:pos="3600"/>
        </w:tabs>
        <w:ind w:left="3600" w:hanging="360"/>
      </w:pPr>
      <w:rPr>
        <w:rFonts w:ascii="Wingdings" w:hAnsi="Wingdings" w:hint="default"/>
        <w:sz w:val="20"/>
      </w:rPr>
    </w:lvl>
    <w:lvl w:ilvl="5" w:tplc="0F687D66" w:tentative="1">
      <w:start w:val="1"/>
      <w:numFmt w:val="bullet"/>
      <w:lvlText w:val=""/>
      <w:lvlJc w:val="left"/>
      <w:pPr>
        <w:tabs>
          <w:tab w:val="num" w:pos="4320"/>
        </w:tabs>
        <w:ind w:left="4320" w:hanging="360"/>
      </w:pPr>
      <w:rPr>
        <w:rFonts w:ascii="Wingdings" w:hAnsi="Wingdings" w:hint="default"/>
        <w:sz w:val="20"/>
      </w:rPr>
    </w:lvl>
    <w:lvl w:ilvl="6" w:tplc="1AB27FD4" w:tentative="1">
      <w:start w:val="1"/>
      <w:numFmt w:val="bullet"/>
      <w:lvlText w:val=""/>
      <w:lvlJc w:val="left"/>
      <w:pPr>
        <w:tabs>
          <w:tab w:val="num" w:pos="5040"/>
        </w:tabs>
        <w:ind w:left="5040" w:hanging="360"/>
      </w:pPr>
      <w:rPr>
        <w:rFonts w:ascii="Wingdings" w:hAnsi="Wingdings" w:hint="default"/>
        <w:sz w:val="20"/>
      </w:rPr>
    </w:lvl>
    <w:lvl w:ilvl="7" w:tplc="82429AF4" w:tentative="1">
      <w:start w:val="1"/>
      <w:numFmt w:val="bullet"/>
      <w:lvlText w:val=""/>
      <w:lvlJc w:val="left"/>
      <w:pPr>
        <w:tabs>
          <w:tab w:val="num" w:pos="5760"/>
        </w:tabs>
        <w:ind w:left="5760" w:hanging="360"/>
      </w:pPr>
      <w:rPr>
        <w:rFonts w:ascii="Wingdings" w:hAnsi="Wingdings" w:hint="default"/>
        <w:sz w:val="20"/>
      </w:rPr>
    </w:lvl>
    <w:lvl w:ilvl="8" w:tplc="0C0452AE"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9C066F"/>
    <w:multiLevelType w:val="hybridMultilevel"/>
    <w:tmpl w:val="75A6C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2">
    <w:nsid w:val="585C0AEA"/>
    <w:multiLevelType w:val="hybridMultilevel"/>
    <w:tmpl w:val="CFE62E1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A77E39"/>
    <w:multiLevelType w:val="hybridMultilevel"/>
    <w:tmpl w:val="E66C4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31783926">
      <w:numFmt w:val="bullet"/>
      <w:lvlText w:val="•"/>
      <w:lvlJc w:val="left"/>
      <w:pPr>
        <w:ind w:left="3240" w:hanging="720"/>
      </w:pPr>
      <w:rPr>
        <w:rFonts w:ascii="Times New Roman" w:eastAsia="Times New Roman"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E17480"/>
    <w:multiLevelType w:val="hybridMultilevel"/>
    <w:tmpl w:val="4834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D51093"/>
    <w:multiLevelType w:val="multilevel"/>
    <w:tmpl w:val="1A0221BC"/>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sz w:val="28"/>
        <w:szCs w:val="28"/>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7">
    <w:nsid w:val="75D543A1"/>
    <w:multiLevelType w:val="hybridMultilevel"/>
    <w:tmpl w:val="792ACF2C"/>
    <w:lvl w:ilvl="0" w:tplc="4C106C92">
      <w:start w:val="1"/>
      <w:numFmt w:val="bullet"/>
      <w:lvlText w:val=""/>
      <w:lvlJc w:val="left"/>
      <w:pPr>
        <w:tabs>
          <w:tab w:val="num" w:pos="720"/>
        </w:tabs>
        <w:ind w:left="720" w:hanging="360"/>
      </w:pPr>
      <w:rPr>
        <w:rFonts w:ascii="Wingdings" w:hAnsi="Wingdings" w:hint="default"/>
        <w:sz w:val="20"/>
      </w:rPr>
    </w:lvl>
    <w:lvl w:ilvl="1" w:tplc="A3C8C2FC" w:tentative="1">
      <w:start w:val="1"/>
      <w:numFmt w:val="bullet"/>
      <w:lvlText w:val=""/>
      <w:lvlJc w:val="left"/>
      <w:pPr>
        <w:tabs>
          <w:tab w:val="num" w:pos="1440"/>
        </w:tabs>
        <w:ind w:left="1440" w:hanging="360"/>
      </w:pPr>
      <w:rPr>
        <w:rFonts w:ascii="Wingdings" w:hAnsi="Wingdings" w:hint="default"/>
        <w:sz w:val="20"/>
      </w:rPr>
    </w:lvl>
    <w:lvl w:ilvl="2" w:tplc="E9F020E6" w:tentative="1">
      <w:start w:val="1"/>
      <w:numFmt w:val="bullet"/>
      <w:lvlText w:val=""/>
      <w:lvlJc w:val="left"/>
      <w:pPr>
        <w:tabs>
          <w:tab w:val="num" w:pos="2160"/>
        </w:tabs>
        <w:ind w:left="2160" w:hanging="360"/>
      </w:pPr>
      <w:rPr>
        <w:rFonts w:ascii="Wingdings" w:hAnsi="Wingdings" w:hint="default"/>
        <w:sz w:val="20"/>
      </w:rPr>
    </w:lvl>
    <w:lvl w:ilvl="3" w:tplc="9E28E47A" w:tentative="1">
      <w:start w:val="1"/>
      <w:numFmt w:val="bullet"/>
      <w:lvlText w:val=""/>
      <w:lvlJc w:val="left"/>
      <w:pPr>
        <w:tabs>
          <w:tab w:val="num" w:pos="2880"/>
        </w:tabs>
        <w:ind w:left="2880" w:hanging="360"/>
      </w:pPr>
      <w:rPr>
        <w:rFonts w:ascii="Wingdings" w:hAnsi="Wingdings" w:hint="default"/>
        <w:sz w:val="20"/>
      </w:rPr>
    </w:lvl>
    <w:lvl w:ilvl="4" w:tplc="B5D64D68" w:tentative="1">
      <w:start w:val="1"/>
      <w:numFmt w:val="bullet"/>
      <w:lvlText w:val=""/>
      <w:lvlJc w:val="left"/>
      <w:pPr>
        <w:tabs>
          <w:tab w:val="num" w:pos="3600"/>
        </w:tabs>
        <w:ind w:left="3600" w:hanging="360"/>
      </w:pPr>
      <w:rPr>
        <w:rFonts w:ascii="Wingdings" w:hAnsi="Wingdings" w:hint="default"/>
        <w:sz w:val="20"/>
      </w:rPr>
    </w:lvl>
    <w:lvl w:ilvl="5" w:tplc="ED905F24" w:tentative="1">
      <w:start w:val="1"/>
      <w:numFmt w:val="bullet"/>
      <w:lvlText w:val=""/>
      <w:lvlJc w:val="left"/>
      <w:pPr>
        <w:tabs>
          <w:tab w:val="num" w:pos="4320"/>
        </w:tabs>
        <w:ind w:left="4320" w:hanging="360"/>
      </w:pPr>
      <w:rPr>
        <w:rFonts w:ascii="Wingdings" w:hAnsi="Wingdings" w:hint="default"/>
        <w:sz w:val="20"/>
      </w:rPr>
    </w:lvl>
    <w:lvl w:ilvl="6" w:tplc="4078852C" w:tentative="1">
      <w:start w:val="1"/>
      <w:numFmt w:val="bullet"/>
      <w:lvlText w:val=""/>
      <w:lvlJc w:val="left"/>
      <w:pPr>
        <w:tabs>
          <w:tab w:val="num" w:pos="5040"/>
        </w:tabs>
        <w:ind w:left="5040" w:hanging="360"/>
      </w:pPr>
      <w:rPr>
        <w:rFonts w:ascii="Wingdings" w:hAnsi="Wingdings" w:hint="default"/>
        <w:sz w:val="20"/>
      </w:rPr>
    </w:lvl>
    <w:lvl w:ilvl="7" w:tplc="8160A592" w:tentative="1">
      <w:start w:val="1"/>
      <w:numFmt w:val="bullet"/>
      <w:lvlText w:val=""/>
      <w:lvlJc w:val="left"/>
      <w:pPr>
        <w:tabs>
          <w:tab w:val="num" w:pos="5760"/>
        </w:tabs>
        <w:ind w:left="5760" w:hanging="360"/>
      </w:pPr>
      <w:rPr>
        <w:rFonts w:ascii="Wingdings" w:hAnsi="Wingdings" w:hint="default"/>
        <w:sz w:val="20"/>
      </w:rPr>
    </w:lvl>
    <w:lvl w:ilvl="8" w:tplc="585071CE"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99633D3"/>
    <w:multiLevelType w:val="hybridMultilevel"/>
    <w:tmpl w:val="41945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6590AA54">
      <w:start w:val="5"/>
      <w:numFmt w:val="bullet"/>
      <w:lvlText w:val="•"/>
      <w:lvlJc w:val="left"/>
      <w:pPr>
        <w:ind w:left="3240" w:hanging="720"/>
      </w:pPr>
      <w:rPr>
        <w:rFonts w:ascii="Calibri" w:eastAsiaTheme="minorHAnsi" w:hAnsi="Calibri"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6"/>
  </w:num>
  <w:num w:numId="4">
    <w:abstractNumId w:val="16"/>
  </w:num>
  <w:num w:numId="5">
    <w:abstractNumId w:val="16"/>
  </w:num>
  <w:num w:numId="6">
    <w:abstractNumId w:val="6"/>
  </w:num>
  <w:num w:numId="7">
    <w:abstractNumId w:val="13"/>
  </w:num>
  <w:num w:numId="8">
    <w:abstractNumId w:val="18"/>
  </w:num>
  <w:num w:numId="9">
    <w:abstractNumId w:val="2"/>
  </w:num>
  <w:num w:numId="10">
    <w:abstractNumId w:val="16"/>
  </w:num>
  <w:num w:numId="11">
    <w:abstractNumId w:val="9"/>
  </w:num>
  <w:num w:numId="12">
    <w:abstractNumId w:val="5"/>
  </w:num>
  <w:num w:numId="13">
    <w:abstractNumId w:val="8"/>
  </w:num>
  <w:num w:numId="14">
    <w:abstractNumId w:val="16"/>
    <w:lvlOverride w:ilvl="0">
      <w:startOverride w:val="3"/>
    </w:lvlOverride>
  </w:num>
  <w:num w:numId="15">
    <w:abstractNumId w:val="17"/>
  </w:num>
  <w:num w:numId="16">
    <w:abstractNumId w:val="16"/>
  </w:num>
  <w:num w:numId="17">
    <w:abstractNumId w:val="16"/>
    <w:lvlOverride w:ilvl="0">
      <w:startOverride w:val="6"/>
    </w:lvlOverride>
  </w:num>
  <w:num w:numId="18">
    <w:abstractNumId w:val="16"/>
  </w:num>
  <w:num w:numId="19">
    <w:abstractNumId w:val="7"/>
  </w:num>
  <w:num w:numId="20">
    <w:abstractNumId w:val="19"/>
  </w:num>
  <w:num w:numId="21">
    <w:abstractNumId w:val="0"/>
  </w:num>
  <w:num w:numId="22">
    <w:abstractNumId w:val="14"/>
  </w:num>
  <w:num w:numId="23">
    <w:abstractNumId w:val="15"/>
  </w:num>
  <w:num w:numId="24">
    <w:abstractNumId w:val="3"/>
  </w:num>
  <w:num w:numId="25">
    <w:abstractNumId w:val="10"/>
  </w:num>
  <w:num w:numId="26">
    <w:abstractNumId w:val="1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CO"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733D7D"/>
    <w:rsid w:val="00016815"/>
    <w:rsid w:val="00017E5B"/>
    <w:rsid w:val="0002411B"/>
    <w:rsid w:val="000269FA"/>
    <w:rsid w:val="00043A9F"/>
    <w:rsid w:val="00052C61"/>
    <w:rsid w:val="0006215E"/>
    <w:rsid w:val="0006245C"/>
    <w:rsid w:val="000631AC"/>
    <w:rsid w:val="0006773C"/>
    <w:rsid w:val="000715D3"/>
    <w:rsid w:val="00096DDE"/>
    <w:rsid w:val="000B65DC"/>
    <w:rsid w:val="000C0995"/>
    <w:rsid w:val="000C1A79"/>
    <w:rsid w:val="000C3FEB"/>
    <w:rsid w:val="000D754F"/>
    <w:rsid w:val="000F1AA8"/>
    <w:rsid w:val="00106216"/>
    <w:rsid w:val="00123603"/>
    <w:rsid w:val="00124166"/>
    <w:rsid w:val="0015302E"/>
    <w:rsid w:val="001753B8"/>
    <w:rsid w:val="00194042"/>
    <w:rsid w:val="001948E9"/>
    <w:rsid w:val="001A11B0"/>
    <w:rsid w:val="001A2582"/>
    <w:rsid w:val="001B27F7"/>
    <w:rsid w:val="001B7CB1"/>
    <w:rsid w:val="001C1C7E"/>
    <w:rsid w:val="001C3D9A"/>
    <w:rsid w:val="001D2A93"/>
    <w:rsid w:val="001E20D8"/>
    <w:rsid w:val="001E4F40"/>
    <w:rsid w:val="001F2229"/>
    <w:rsid w:val="00222725"/>
    <w:rsid w:val="00241BFA"/>
    <w:rsid w:val="00245D80"/>
    <w:rsid w:val="00254D85"/>
    <w:rsid w:val="00261CCC"/>
    <w:rsid w:val="00263DD2"/>
    <w:rsid w:val="002669E4"/>
    <w:rsid w:val="002820A3"/>
    <w:rsid w:val="00285DDD"/>
    <w:rsid w:val="002861CA"/>
    <w:rsid w:val="002909DA"/>
    <w:rsid w:val="0029545B"/>
    <w:rsid w:val="002C11A0"/>
    <w:rsid w:val="002C4D30"/>
    <w:rsid w:val="002D5218"/>
    <w:rsid w:val="002F02AE"/>
    <w:rsid w:val="00304A33"/>
    <w:rsid w:val="0034095A"/>
    <w:rsid w:val="00344BBC"/>
    <w:rsid w:val="00367616"/>
    <w:rsid w:val="00371269"/>
    <w:rsid w:val="00377082"/>
    <w:rsid w:val="00387748"/>
    <w:rsid w:val="0039456C"/>
    <w:rsid w:val="003C5E5C"/>
    <w:rsid w:val="003C60CA"/>
    <w:rsid w:val="003D5043"/>
    <w:rsid w:val="003F15CD"/>
    <w:rsid w:val="003F365B"/>
    <w:rsid w:val="0042019B"/>
    <w:rsid w:val="00422F6E"/>
    <w:rsid w:val="00423668"/>
    <w:rsid w:val="004321C5"/>
    <w:rsid w:val="00472498"/>
    <w:rsid w:val="004B03C2"/>
    <w:rsid w:val="004C65E0"/>
    <w:rsid w:val="004D3FF2"/>
    <w:rsid w:val="004E433F"/>
    <w:rsid w:val="004F0530"/>
    <w:rsid w:val="004F2DBD"/>
    <w:rsid w:val="0050649C"/>
    <w:rsid w:val="0051350A"/>
    <w:rsid w:val="00525A11"/>
    <w:rsid w:val="00531765"/>
    <w:rsid w:val="00531E89"/>
    <w:rsid w:val="00544FA9"/>
    <w:rsid w:val="00552EA3"/>
    <w:rsid w:val="00553830"/>
    <w:rsid w:val="00554E63"/>
    <w:rsid w:val="00555446"/>
    <w:rsid w:val="005612CD"/>
    <w:rsid w:val="00562055"/>
    <w:rsid w:val="0057228B"/>
    <w:rsid w:val="00581605"/>
    <w:rsid w:val="005845AA"/>
    <w:rsid w:val="00584EB3"/>
    <w:rsid w:val="00590ACF"/>
    <w:rsid w:val="005A2760"/>
    <w:rsid w:val="005C71CE"/>
    <w:rsid w:val="005C792D"/>
    <w:rsid w:val="005D0696"/>
    <w:rsid w:val="005D3B7F"/>
    <w:rsid w:val="005E4F9B"/>
    <w:rsid w:val="00603723"/>
    <w:rsid w:val="00603762"/>
    <w:rsid w:val="00605484"/>
    <w:rsid w:val="00606404"/>
    <w:rsid w:val="00652106"/>
    <w:rsid w:val="00652B25"/>
    <w:rsid w:val="00653377"/>
    <w:rsid w:val="00675AA8"/>
    <w:rsid w:val="00685FB0"/>
    <w:rsid w:val="006C1BBB"/>
    <w:rsid w:val="006E3F3B"/>
    <w:rsid w:val="006F0FFA"/>
    <w:rsid w:val="00707A9C"/>
    <w:rsid w:val="00722468"/>
    <w:rsid w:val="00733D7D"/>
    <w:rsid w:val="007426C4"/>
    <w:rsid w:val="00775FF3"/>
    <w:rsid w:val="00790C42"/>
    <w:rsid w:val="007A4FBD"/>
    <w:rsid w:val="007B5E53"/>
    <w:rsid w:val="007E4D50"/>
    <w:rsid w:val="007F564F"/>
    <w:rsid w:val="0084433B"/>
    <w:rsid w:val="00847338"/>
    <w:rsid w:val="00871105"/>
    <w:rsid w:val="00873EFF"/>
    <w:rsid w:val="008A71BA"/>
    <w:rsid w:val="008B4FC5"/>
    <w:rsid w:val="008B7481"/>
    <w:rsid w:val="008E55EE"/>
    <w:rsid w:val="008F3F6E"/>
    <w:rsid w:val="008F7207"/>
    <w:rsid w:val="00905902"/>
    <w:rsid w:val="009154D7"/>
    <w:rsid w:val="00916AC5"/>
    <w:rsid w:val="009212BE"/>
    <w:rsid w:val="00930817"/>
    <w:rsid w:val="00934F78"/>
    <w:rsid w:val="00937AA4"/>
    <w:rsid w:val="00973F07"/>
    <w:rsid w:val="00994C2B"/>
    <w:rsid w:val="009A4B16"/>
    <w:rsid w:val="009D3DF2"/>
    <w:rsid w:val="009D43BF"/>
    <w:rsid w:val="009F543D"/>
    <w:rsid w:val="00A21BC5"/>
    <w:rsid w:val="00A375AD"/>
    <w:rsid w:val="00A405E8"/>
    <w:rsid w:val="00A46554"/>
    <w:rsid w:val="00A524D5"/>
    <w:rsid w:val="00A541B4"/>
    <w:rsid w:val="00A54824"/>
    <w:rsid w:val="00A66559"/>
    <w:rsid w:val="00A72D8D"/>
    <w:rsid w:val="00A74E61"/>
    <w:rsid w:val="00A84584"/>
    <w:rsid w:val="00A84788"/>
    <w:rsid w:val="00A90A40"/>
    <w:rsid w:val="00A9167C"/>
    <w:rsid w:val="00AB33F3"/>
    <w:rsid w:val="00AB50C5"/>
    <w:rsid w:val="00AD4891"/>
    <w:rsid w:val="00AD6DD5"/>
    <w:rsid w:val="00AE4DE8"/>
    <w:rsid w:val="00AF4A20"/>
    <w:rsid w:val="00B0696F"/>
    <w:rsid w:val="00B07AAF"/>
    <w:rsid w:val="00B14651"/>
    <w:rsid w:val="00B1553E"/>
    <w:rsid w:val="00B34F87"/>
    <w:rsid w:val="00B420D1"/>
    <w:rsid w:val="00B429D9"/>
    <w:rsid w:val="00B4451B"/>
    <w:rsid w:val="00B522F8"/>
    <w:rsid w:val="00B54911"/>
    <w:rsid w:val="00B55C80"/>
    <w:rsid w:val="00B7670A"/>
    <w:rsid w:val="00B80BFB"/>
    <w:rsid w:val="00B80FD4"/>
    <w:rsid w:val="00B90EBD"/>
    <w:rsid w:val="00B914A3"/>
    <w:rsid w:val="00BA1CC4"/>
    <w:rsid w:val="00BC5997"/>
    <w:rsid w:val="00BD3ACB"/>
    <w:rsid w:val="00BF4AF7"/>
    <w:rsid w:val="00BF781E"/>
    <w:rsid w:val="00C04A4F"/>
    <w:rsid w:val="00C137E3"/>
    <w:rsid w:val="00C35B1D"/>
    <w:rsid w:val="00C506D5"/>
    <w:rsid w:val="00C54B34"/>
    <w:rsid w:val="00C64DB0"/>
    <w:rsid w:val="00C81C66"/>
    <w:rsid w:val="00C83FFB"/>
    <w:rsid w:val="00C91D08"/>
    <w:rsid w:val="00C95F5B"/>
    <w:rsid w:val="00CA7AF3"/>
    <w:rsid w:val="00CB2A25"/>
    <w:rsid w:val="00CB498F"/>
    <w:rsid w:val="00CC695A"/>
    <w:rsid w:val="00CD09C6"/>
    <w:rsid w:val="00CD17B1"/>
    <w:rsid w:val="00CE601E"/>
    <w:rsid w:val="00D055EE"/>
    <w:rsid w:val="00D1260B"/>
    <w:rsid w:val="00D219E7"/>
    <w:rsid w:val="00D2276A"/>
    <w:rsid w:val="00D42633"/>
    <w:rsid w:val="00D436E8"/>
    <w:rsid w:val="00D44E9C"/>
    <w:rsid w:val="00D45FD2"/>
    <w:rsid w:val="00D51401"/>
    <w:rsid w:val="00D8404F"/>
    <w:rsid w:val="00DC1DBB"/>
    <w:rsid w:val="00DD0621"/>
    <w:rsid w:val="00DD713C"/>
    <w:rsid w:val="00DF5F0B"/>
    <w:rsid w:val="00E0192C"/>
    <w:rsid w:val="00E02D1C"/>
    <w:rsid w:val="00E065ED"/>
    <w:rsid w:val="00E13A2D"/>
    <w:rsid w:val="00E17A2E"/>
    <w:rsid w:val="00E17D50"/>
    <w:rsid w:val="00E22920"/>
    <w:rsid w:val="00E33F52"/>
    <w:rsid w:val="00E34F20"/>
    <w:rsid w:val="00E37178"/>
    <w:rsid w:val="00E43A45"/>
    <w:rsid w:val="00E46BB7"/>
    <w:rsid w:val="00E6272D"/>
    <w:rsid w:val="00E66732"/>
    <w:rsid w:val="00E76A07"/>
    <w:rsid w:val="00E8220E"/>
    <w:rsid w:val="00E82E28"/>
    <w:rsid w:val="00E8767A"/>
    <w:rsid w:val="00EA7839"/>
    <w:rsid w:val="00EC0180"/>
    <w:rsid w:val="00EC372A"/>
    <w:rsid w:val="00ED201B"/>
    <w:rsid w:val="00ED22C4"/>
    <w:rsid w:val="00ED2A09"/>
    <w:rsid w:val="00ED7CC1"/>
    <w:rsid w:val="00EE6351"/>
    <w:rsid w:val="00F22557"/>
    <w:rsid w:val="00F23F0F"/>
    <w:rsid w:val="00F55994"/>
    <w:rsid w:val="00F66D2A"/>
    <w:rsid w:val="00F82C2F"/>
    <w:rsid w:val="00FA22E7"/>
    <w:rsid w:val="00FD20E6"/>
    <w:rsid w:val="00FD28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93F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Body Tex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A74E61"/>
    <w:pPr>
      <w:keepNext/>
      <w:keepLines/>
      <w:widowControl w:val="0"/>
      <w:numPr>
        <w:numId w:val="3"/>
      </w:numPr>
      <w:spacing w:before="851" w:after="390" w:line="360" w:lineRule="exact"/>
      <w:outlineLvl w:val="0"/>
    </w:pPr>
    <w:rPr>
      <w:b/>
      <w:sz w:val="32"/>
      <w:lang w:eastAsia="en-US"/>
    </w:rPr>
  </w:style>
  <w:style w:type="paragraph" w:styleId="Heading2">
    <w:name w:val="heading 2"/>
    <w:next w:val="BodyTextMultiline"/>
    <w:qFormat/>
    <w:rsid w:val="00652B25"/>
    <w:pPr>
      <w:keepNext/>
      <w:keepLines/>
      <w:widowControl w:val="0"/>
      <w:numPr>
        <w:ilvl w:val="1"/>
        <w:numId w:val="3"/>
      </w:numPr>
      <w:spacing w:before="240" w:after="120" w:line="320" w:lineRule="exact"/>
      <w:outlineLvl w:val="1"/>
    </w:pPr>
    <w:rPr>
      <w:b/>
      <w:sz w:val="28"/>
      <w:szCs w:val="28"/>
    </w:rPr>
  </w:style>
  <w:style w:type="paragraph" w:styleId="Heading3">
    <w:name w:val="heading 3"/>
    <w:next w:val="BodyTextMultiline"/>
    <w:qFormat/>
    <w:pPr>
      <w:widowControl w:val="0"/>
      <w:numPr>
        <w:ilvl w:val="2"/>
        <w:numId w:val="3"/>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link w:val="BodyTextChar"/>
    <w:qForma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link w:val="BodyTextSummaryChar"/>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BodyTextSummaryChar">
    <w:name w:val="Body Text Summary Char"/>
    <w:link w:val="BodyTextSummary"/>
    <w:rsid w:val="00733D7D"/>
    <w:rPr>
      <w:sz w:val="22"/>
      <w:szCs w:val="22"/>
      <w:lang w:val="en-GB" w:eastAsia="en-US" w:bidi="ar-SA"/>
    </w:rPr>
  </w:style>
  <w:style w:type="character" w:customStyle="1" w:styleId="Heading1Char">
    <w:name w:val="Heading 1 Char"/>
    <w:link w:val="Heading1"/>
    <w:rsid w:val="00A74E61"/>
    <w:rPr>
      <w:b/>
      <w:sz w:val="32"/>
      <w:lang w:eastAsia="en-US"/>
    </w:rPr>
  </w:style>
  <w:style w:type="character" w:styleId="Hyperlink">
    <w:name w:val="Hyperlink"/>
    <w:uiPriority w:val="99"/>
    <w:rsid w:val="00F82C2F"/>
    <w:rPr>
      <w:color w:val="0000FF"/>
      <w:u w:val="single"/>
    </w:rPr>
  </w:style>
  <w:style w:type="paragraph" w:styleId="NormalWeb">
    <w:name w:val="Normal (Web)"/>
    <w:basedOn w:val="Normal"/>
    <w:rsid w:val="00E33F52"/>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n-US"/>
    </w:rPr>
  </w:style>
  <w:style w:type="character" w:customStyle="1" w:styleId="BodyTextChar">
    <w:name w:val="Body Text Char"/>
    <w:aliases w:val=" Char Char,Char Char"/>
    <w:link w:val="BodyText"/>
    <w:rsid w:val="00D44E9C"/>
    <w:rPr>
      <w:sz w:val="22"/>
      <w:lang w:eastAsia="en-US"/>
    </w:rPr>
  </w:style>
  <w:style w:type="paragraph" w:styleId="BalloonText">
    <w:name w:val="Balloon Text"/>
    <w:basedOn w:val="Normal"/>
    <w:link w:val="BalloonTextChar"/>
    <w:rsid w:val="00C137E3"/>
    <w:rPr>
      <w:rFonts w:ascii="Tahoma" w:hAnsi="Tahoma" w:cs="Tahoma"/>
      <w:sz w:val="16"/>
      <w:szCs w:val="16"/>
    </w:rPr>
  </w:style>
  <w:style w:type="character" w:customStyle="1" w:styleId="BalloonTextChar">
    <w:name w:val="Balloon Text Char"/>
    <w:link w:val="BalloonText"/>
    <w:rsid w:val="00C137E3"/>
    <w:rPr>
      <w:rFonts w:ascii="Tahoma" w:hAnsi="Tahoma" w:cs="Tahoma"/>
      <w:sz w:val="16"/>
      <w:szCs w:val="16"/>
      <w:lang w:eastAsia="en-US"/>
    </w:rPr>
  </w:style>
  <w:style w:type="character" w:styleId="FollowedHyperlink">
    <w:name w:val="FollowedHyperlink"/>
    <w:basedOn w:val="DefaultParagraphFont"/>
    <w:rsid w:val="00552EA3"/>
    <w:rPr>
      <w:color w:val="800080" w:themeColor="followedHyperlink"/>
      <w:u w:val="single"/>
    </w:rPr>
  </w:style>
  <w:style w:type="character" w:styleId="CommentReference">
    <w:name w:val="annotation reference"/>
    <w:basedOn w:val="DefaultParagraphFont"/>
    <w:rsid w:val="00775FF3"/>
    <w:rPr>
      <w:sz w:val="16"/>
      <w:szCs w:val="16"/>
    </w:rPr>
  </w:style>
  <w:style w:type="paragraph" w:styleId="CommentText">
    <w:name w:val="annotation text"/>
    <w:basedOn w:val="Normal"/>
    <w:link w:val="CommentTextChar"/>
    <w:rsid w:val="00775FF3"/>
    <w:rPr>
      <w:sz w:val="20"/>
    </w:rPr>
  </w:style>
  <w:style w:type="character" w:customStyle="1" w:styleId="CommentTextChar">
    <w:name w:val="Comment Text Char"/>
    <w:basedOn w:val="DefaultParagraphFont"/>
    <w:link w:val="CommentText"/>
    <w:rsid w:val="00775FF3"/>
    <w:rPr>
      <w:lang w:eastAsia="en-US"/>
    </w:rPr>
  </w:style>
  <w:style w:type="paragraph" w:styleId="CommentSubject">
    <w:name w:val="annotation subject"/>
    <w:basedOn w:val="CommentText"/>
    <w:next w:val="CommentText"/>
    <w:link w:val="CommentSubjectChar"/>
    <w:rsid w:val="00775FF3"/>
    <w:rPr>
      <w:b/>
      <w:bCs/>
    </w:rPr>
  </w:style>
  <w:style w:type="character" w:customStyle="1" w:styleId="CommentSubjectChar">
    <w:name w:val="Comment Subject Char"/>
    <w:basedOn w:val="CommentTextChar"/>
    <w:link w:val="CommentSubject"/>
    <w:rsid w:val="00775FF3"/>
    <w:rPr>
      <w:b/>
      <w:bCs/>
      <w:lang w:eastAsia="en-US"/>
    </w:rPr>
  </w:style>
  <w:style w:type="paragraph" w:styleId="Revision">
    <w:name w:val="Revision"/>
    <w:hidden/>
    <w:uiPriority w:val="99"/>
    <w:semiHidden/>
    <w:rsid w:val="00775FF3"/>
    <w:rPr>
      <w:sz w:val="22"/>
      <w:lang w:eastAsia="en-US"/>
    </w:rPr>
  </w:style>
  <w:style w:type="character" w:customStyle="1" w:styleId="FooterChar">
    <w:name w:val="Footer Char"/>
    <w:basedOn w:val="DefaultParagraphFont"/>
    <w:link w:val="Footer"/>
    <w:uiPriority w:val="99"/>
    <w:rsid w:val="00E0192C"/>
    <w:rPr>
      <w:sz w:val="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Body Tex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A74E61"/>
    <w:pPr>
      <w:keepNext/>
      <w:keepLines/>
      <w:widowControl w:val="0"/>
      <w:numPr>
        <w:numId w:val="3"/>
      </w:numPr>
      <w:spacing w:before="851" w:after="390" w:line="360" w:lineRule="exact"/>
      <w:outlineLvl w:val="0"/>
    </w:pPr>
    <w:rPr>
      <w:b/>
      <w:sz w:val="32"/>
      <w:lang w:eastAsia="en-US"/>
    </w:rPr>
  </w:style>
  <w:style w:type="paragraph" w:styleId="Heading2">
    <w:name w:val="heading 2"/>
    <w:next w:val="BodyTextMultiline"/>
    <w:qFormat/>
    <w:rsid w:val="00652B25"/>
    <w:pPr>
      <w:keepNext/>
      <w:keepLines/>
      <w:widowControl w:val="0"/>
      <w:numPr>
        <w:ilvl w:val="1"/>
        <w:numId w:val="3"/>
      </w:numPr>
      <w:spacing w:before="240" w:after="120" w:line="320" w:lineRule="exact"/>
      <w:outlineLvl w:val="1"/>
    </w:pPr>
    <w:rPr>
      <w:b/>
      <w:sz w:val="28"/>
      <w:szCs w:val="28"/>
    </w:rPr>
  </w:style>
  <w:style w:type="paragraph" w:styleId="Heading3">
    <w:name w:val="heading 3"/>
    <w:next w:val="BodyTextMultiline"/>
    <w:qFormat/>
    <w:pPr>
      <w:widowControl w:val="0"/>
      <w:numPr>
        <w:ilvl w:val="2"/>
        <w:numId w:val="3"/>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link w:val="BodyTextChar"/>
    <w:qForma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link w:val="BodyTextSummaryChar"/>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BodyTextSummaryChar">
    <w:name w:val="Body Text Summary Char"/>
    <w:link w:val="BodyTextSummary"/>
    <w:rsid w:val="00733D7D"/>
    <w:rPr>
      <w:sz w:val="22"/>
      <w:szCs w:val="22"/>
      <w:lang w:val="en-GB" w:eastAsia="en-US" w:bidi="ar-SA"/>
    </w:rPr>
  </w:style>
  <w:style w:type="character" w:customStyle="1" w:styleId="Heading1Char">
    <w:name w:val="Heading 1 Char"/>
    <w:link w:val="Heading1"/>
    <w:rsid w:val="00A74E61"/>
    <w:rPr>
      <w:b/>
      <w:sz w:val="32"/>
      <w:lang w:eastAsia="en-US"/>
    </w:rPr>
  </w:style>
  <w:style w:type="character" w:styleId="Hyperlink">
    <w:name w:val="Hyperlink"/>
    <w:uiPriority w:val="99"/>
    <w:rsid w:val="00F82C2F"/>
    <w:rPr>
      <w:color w:val="0000FF"/>
      <w:u w:val="single"/>
    </w:rPr>
  </w:style>
  <w:style w:type="paragraph" w:styleId="NormalWeb">
    <w:name w:val="Normal (Web)"/>
    <w:basedOn w:val="Normal"/>
    <w:rsid w:val="00E33F52"/>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n-US"/>
    </w:rPr>
  </w:style>
  <w:style w:type="character" w:customStyle="1" w:styleId="BodyTextChar">
    <w:name w:val="Body Text Char"/>
    <w:aliases w:val=" Char Char,Char Char"/>
    <w:link w:val="BodyText"/>
    <w:rsid w:val="00D44E9C"/>
    <w:rPr>
      <w:sz w:val="22"/>
      <w:lang w:eastAsia="en-US"/>
    </w:rPr>
  </w:style>
  <w:style w:type="paragraph" w:styleId="BalloonText">
    <w:name w:val="Balloon Text"/>
    <w:basedOn w:val="Normal"/>
    <w:link w:val="BalloonTextChar"/>
    <w:rsid w:val="00C137E3"/>
    <w:rPr>
      <w:rFonts w:ascii="Tahoma" w:hAnsi="Tahoma" w:cs="Tahoma"/>
      <w:sz w:val="16"/>
      <w:szCs w:val="16"/>
    </w:rPr>
  </w:style>
  <w:style w:type="character" w:customStyle="1" w:styleId="BalloonTextChar">
    <w:name w:val="Balloon Text Char"/>
    <w:link w:val="BalloonText"/>
    <w:rsid w:val="00C137E3"/>
    <w:rPr>
      <w:rFonts w:ascii="Tahoma" w:hAnsi="Tahoma" w:cs="Tahoma"/>
      <w:sz w:val="16"/>
      <w:szCs w:val="16"/>
      <w:lang w:eastAsia="en-US"/>
    </w:rPr>
  </w:style>
  <w:style w:type="character" w:styleId="FollowedHyperlink">
    <w:name w:val="FollowedHyperlink"/>
    <w:basedOn w:val="DefaultParagraphFont"/>
    <w:rsid w:val="00552EA3"/>
    <w:rPr>
      <w:color w:val="800080" w:themeColor="followedHyperlink"/>
      <w:u w:val="single"/>
    </w:rPr>
  </w:style>
  <w:style w:type="character" w:styleId="CommentReference">
    <w:name w:val="annotation reference"/>
    <w:basedOn w:val="DefaultParagraphFont"/>
    <w:rsid w:val="00775FF3"/>
    <w:rPr>
      <w:sz w:val="16"/>
      <w:szCs w:val="16"/>
    </w:rPr>
  </w:style>
  <w:style w:type="paragraph" w:styleId="CommentText">
    <w:name w:val="annotation text"/>
    <w:basedOn w:val="Normal"/>
    <w:link w:val="CommentTextChar"/>
    <w:rsid w:val="00775FF3"/>
    <w:rPr>
      <w:sz w:val="20"/>
    </w:rPr>
  </w:style>
  <w:style w:type="character" w:customStyle="1" w:styleId="CommentTextChar">
    <w:name w:val="Comment Text Char"/>
    <w:basedOn w:val="DefaultParagraphFont"/>
    <w:link w:val="CommentText"/>
    <w:rsid w:val="00775FF3"/>
    <w:rPr>
      <w:lang w:eastAsia="en-US"/>
    </w:rPr>
  </w:style>
  <w:style w:type="paragraph" w:styleId="CommentSubject">
    <w:name w:val="annotation subject"/>
    <w:basedOn w:val="CommentText"/>
    <w:next w:val="CommentText"/>
    <w:link w:val="CommentSubjectChar"/>
    <w:rsid w:val="00775FF3"/>
    <w:rPr>
      <w:b/>
      <w:bCs/>
    </w:rPr>
  </w:style>
  <w:style w:type="character" w:customStyle="1" w:styleId="CommentSubjectChar">
    <w:name w:val="Comment Subject Char"/>
    <w:basedOn w:val="CommentTextChar"/>
    <w:link w:val="CommentSubject"/>
    <w:rsid w:val="00775FF3"/>
    <w:rPr>
      <w:b/>
      <w:bCs/>
      <w:lang w:eastAsia="en-US"/>
    </w:rPr>
  </w:style>
  <w:style w:type="paragraph" w:styleId="Revision">
    <w:name w:val="Revision"/>
    <w:hidden/>
    <w:uiPriority w:val="99"/>
    <w:semiHidden/>
    <w:rsid w:val="00775FF3"/>
    <w:rPr>
      <w:sz w:val="22"/>
      <w:lang w:eastAsia="en-US"/>
    </w:rPr>
  </w:style>
  <w:style w:type="character" w:customStyle="1" w:styleId="FooterChar">
    <w:name w:val="Footer Char"/>
    <w:basedOn w:val="DefaultParagraphFont"/>
    <w:link w:val="Footer"/>
    <w:uiPriority w:val="99"/>
    <w:rsid w:val="00E0192C"/>
    <w:rPr>
      <w:sz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422">
      <w:bodyDiv w:val="1"/>
      <w:marLeft w:val="0"/>
      <w:marRight w:val="0"/>
      <w:marTop w:val="0"/>
      <w:marBottom w:val="0"/>
      <w:divBdr>
        <w:top w:val="none" w:sz="0" w:space="0" w:color="auto"/>
        <w:left w:val="none" w:sz="0" w:space="0" w:color="auto"/>
        <w:bottom w:val="none" w:sz="0" w:space="0" w:color="auto"/>
        <w:right w:val="none" w:sz="0" w:space="0" w:color="auto"/>
      </w:divBdr>
    </w:div>
    <w:div w:id="438843745">
      <w:bodyDiv w:val="1"/>
      <w:marLeft w:val="0"/>
      <w:marRight w:val="0"/>
      <w:marTop w:val="0"/>
      <w:marBottom w:val="0"/>
      <w:divBdr>
        <w:top w:val="none" w:sz="0" w:space="0" w:color="auto"/>
        <w:left w:val="none" w:sz="0" w:space="0" w:color="auto"/>
        <w:bottom w:val="none" w:sz="0" w:space="0" w:color="auto"/>
        <w:right w:val="none" w:sz="0" w:space="0" w:color="auto"/>
      </w:divBdr>
    </w:div>
    <w:div w:id="154895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dWaste2016@iae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Mayer@iae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ial.mail@iaea.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fficial.Mail@iaea.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ub.iaea.org/iaeameetings/50807/International-Conference-on-the-Safety-of-Radioactive-Waste-Managemen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E8183-B03E-4F80-A47C-60EC0A0F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5</TotalTime>
  <Pages>12</Pages>
  <Words>3578</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25263</CharactersWithSpaces>
  <SharedDoc>false</SharedDoc>
  <HLinks>
    <vt:vector size="24" baseType="variant">
      <vt:variant>
        <vt:i4>5439493</vt:i4>
      </vt:variant>
      <vt:variant>
        <vt:i4>9</vt:i4>
      </vt:variant>
      <vt:variant>
        <vt:i4>0</vt:i4>
      </vt:variant>
      <vt:variant>
        <vt:i4>5</vt:i4>
      </vt:variant>
      <vt:variant>
        <vt:lpwstr>http://www-pub.iaea.org/MTCD/Meetings/Announcements.asp?ConfID=41985</vt:lpwstr>
      </vt:variant>
      <vt:variant>
        <vt:lpwstr/>
      </vt:variant>
      <vt:variant>
        <vt:i4>5767220</vt:i4>
      </vt:variant>
      <vt:variant>
        <vt:i4>6</vt:i4>
      </vt:variant>
      <vt:variant>
        <vt:i4>0</vt:i4>
      </vt:variant>
      <vt:variant>
        <vt:i4>5</vt:i4>
      </vt:variant>
      <vt:variant>
        <vt:lpwstr>mailto:k.morrison@iaea.org</vt:lpwstr>
      </vt:variant>
      <vt:variant>
        <vt:lpwstr/>
      </vt:variant>
      <vt:variant>
        <vt:i4>2162717</vt:i4>
      </vt:variant>
      <vt:variant>
        <vt:i4>3</vt:i4>
      </vt:variant>
      <vt:variant>
        <vt:i4>0</vt:i4>
      </vt:variant>
      <vt:variant>
        <vt:i4>5</vt:i4>
      </vt:variant>
      <vt:variant>
        <vt:lpwstr>mailto:physics@iaea.org</vt:lpwstr>
      </vt:variant>
      <vt:variant>
        <vt:lpwstr/>
      </vt:variant>
      <vt:variant>
        <vt:i4>5111878</vt:i4>
      </vt:variant>
      <vt:variant>
        <vt:i4>0</vt:i4>
      </vt:variant>
      <vt:variant>
        <vt:i4>0</vt:i4>
      </vt:variant>
      <vt:variant>
        <vt:i4>5</vt:i4>
      </vt:variant>
      <vt:variant>
        <vt:lpwstr>http://www-naweb.iaea.org/napc/physics/index.html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IAEA</dc:creator>
  <cp:lastModifiedBy>BOSCH, Elfriede</cp:lastModifiedBy>
  <cp:revision>5</cp:revision>
  <cp:lastPrinted>2016-01-07T14:17:00Z</cp:lastPrinted>
  <dcterms:created xsi:type="dcterms:W3CDTF">2016-01-07T13:43:00Z</dcterms:created>
  <dcterms:modified xsi:type="dcterms:W3CDTF">2016-01-07T14:18:00Z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