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Pr="006B59F8" w:rsidRDefault="00F1752C" w:rsidP="00F1752C">
      <w:pPr>
        <w:pStyle w:val="BodyText"/>
        <w:jc w:val="center"/>
        <w:rPr>
          <w:rFonts w:asciiTheme="minorHAnsi" w:hAnsiTheme="minorHAnsi" w:cstheme="minorHAnsi"/>
        </w:rPr>
      </w:pPr>
      <w:r w:rsidRPr="00322985">
        <w:rPr>
          <w:rFonts w:asciiTheme="minorHAnsi" w:hAnsiTheme="minorHAnsi" w:cstheme="minorHAnsi"/>
          <w:noProof/>
          <w:lang w:eastAsia="en-GB"/>
        </w:rPr>
        <w:drawing>
          <wp:inline distT="0" distB="0" distL="0" distR="0" wp14:anchorId="778CF905" wp14:editId="763A2129">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1752C" w:rsidRPr="006B59F8" w:rsidRDefault="00F1752C" w:rsidP="00F1752C">
      <w:pPr>
        <w:pStyle w:val="BodyText"/>
        <w:spacing w:after="0" w:line="276" w:lineRule="auto"/>
        <w:jc w:val="center"/>
        <w:rPr>
          <w:b/>
          <w:sz w:val="28"/>
          <w:szCs w:val="28"/>
        </w:rPr>
      </w:pPr>
    </w:p>
    <w:p w:rsidR="00C60FD1" w:rsidRDefault="006C496C" w:rsidP="003208EF">
      <w:pPr>
        <w:overflowPunct/>
        <w:spacing w:line="276" w:lineRule="auto"/>
        <w:jc w:val="center"/>
        <w:textAlignment w:val="auto"/>
        <w:rPr>
          <w:b/>
          <w:bCs/>
          <w:sz w:val="42"/>
          <w:szCs w:val="42"/>
        </w:rPr>
      </w:pPr>
      <w:r w:rsidRPr="00637600">
        <w:rPr>
          <w:b/>
          <w:bCs/>
          <w:sz w:val="42"/>
          <w:szCs w:val="42"/>
        </w:rPr>
        <w:t>Third</w:t>
      </w:r>
      <w:r w:rsidRPr="007D2FA1">
        <w:rPr>
          <w:b/>
          <w:bCs/>
          <w:sz w:val="42"/>
          <w:szCs w:val="42"/>
        </w:rPr>
        <w:t xml:space="preserve"> </w:t>
      </w:r>
      <w:r w:rsidR="00C60FD1" w:rsidRPr="000765A7">
        <w:rPr>
          <w:b/>
          <w:bCs/>
          <w:sz w:val="42"/>
          <w:szCs w:val="42"/>
        </w:rPr>
        <w:t>I</w:t>
      </w:r>
      <w:r w:rsidR="00C60FD1" w:rsidRPr="00C60FD1">
        <w:rPr>
          <w:b/>
          <w:bCs/>
          <w:sz w:val="42"/>
          <w:szCs w:val="42"/>
        </w:rPr>
        <w:t xml:space="preserve">nternational Conference on </w:t>
      </w:r>
    </w:p>
    <w:p w:rsidR="00C60FD1" w:rsidRDefault="0085668A" w:rsidP="00A66F48">
      <w:pPr>
        <w:overflowPunct/>
        <w:spacing w:line="276" w:lineRule="auto"/>
        <w:jc w:val="center"/>
        <w:textAlignment w:val="auto"/>
        <w:rPr>
          <w:b/>
          <w:bCs/>
          <w:sz w:val="42"/>
          <w:szCs w:val="42"/>
        </w:rPr>
      </w:pPr>
      <w:r w:rsidRPr="00C60FD1">
        <w:rPr>
          <w:b/>
          <w:bCs/>
          <w:sz w:val="42"/>
          <w:szCs w:val="42"/>
        </w:rPr>
        <w:t xml:space="preserve">Nuclear </w:t>
      </w:r>
      <w:r w:rsidR="00C60FD1" w:rsidRPr="00C60FD1">
        <w:rPr>
          <w:b/>
          <w:bCs/>
          <w:sz w:val="42"/>
          <w:szCs w:val="42"/>
        </w:rPr>
        <w:t>Knowledge Management</w:t>
      </w:r>
      <w:r w:rsidR="00A66F48">
        <w:rPr>
          <w:b/>
          <w:bCs/>
          <w:sz w:val="42"/>
          <w:szCs w:val="42"/>
        </w:rPr>
        <w:t>:</w:t>
      </w:r>
    </w:p>
    <w:p w:rsidR="009943FA" w:rsidRPr="003208EF" w:rsidRDefault="00C60FD1" w:rsidP="00A66F48">
      <w:pPr>
        <w:overflowPunct/>
        <w:spacing w:line="276" w:lineRule="auto"/>
        <w:jc w:val="center"/>
        <w:textAlignment w:val="auto"/>
        <w:rPr>
          <w:b/>
          <w:bCs/>
          <w:sz w:val="42"/>
          <w:szCs w:val="42"/>
        </w:rPr>
      </w:pPr>
      <w:r w:rsidRPr="00C60FD1">
        <w:rPr>
          <w:b/>
          <w:bCs/>
          <w:sz w:val="42"/>
          <w:szCs w:val="42"/>
        </w:rPr>
        <w:t>Challenges and Approaches</w:t>
      </w:r>
    </w:p>
    <w:p w:rsidR="00F1752C" w:rsidRPr="00322985" w:rsidRDefault="00F1752C" w:rsidP="003B1DED">
      <w:pPr>
        <w:overflowPunct/>
        <w:spacing w:line="276" w:lineRule="auto"/>
        <w:jc w:val="center"/>
        <w:textAlignment w:val="auto"/>
        <w:rPr>
          <w:b/>
          <w:bCs/>
          <w:color w:val="000000"/>
          <w:sz w:val="28"/>
          <w:szCs w:val="28"/>
          <w:lang w:eastAsia="en-GB"/>
        </w:rPr>
      </w:pPr>
    </w:p>
    <w:p w:rsidR="003B1DED" w:rsidRPr="00322985" w:rsidRDefault="009943FA" w:rsidP="003B1DED">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rsidR="009943FA" w:rsidRPr="00322985" w:rsidRDefault="009943FA" w:rsidP="00B521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rsidR="003B1DED" w:rsidRPr="00322985" w:rsidRDefault="003B1DED" w:rsidP="00B521CB">
      <w:pPr>
        <w:overflowPunct/>
        <w:spacing w:line="276" w:lineRule="auto"/>
        <w:jc w:val="center"/>
        <w:textAlignment w:val="auto"/>
        <w:rPr>
          <w:b/>
          <w:bCs/>
          <w:color w:val="000000"/>
          <w:sz w:val="24"/>
          <w:szCs w:val="24"/>
          <w:lang w:eastAsia="en-GB"/>
        </w:rPr>
      </w:pPr>
    </w:p>
    <w:p w:rsidR="00362111" w:rsidRPr="00322985" w:rsidRDefault="00C60FD1" w:rsidP="006D57B9">
      <w:pPr>
        <w:overflowPunct/>
        <w:spacing w:line="276" w:lineRule="auto"/>
        <w:jc w:val="center"/>
        <w:textAlignment w:val="auto"/>
        <w:rPr>
          <w:b/>
          <w:bCs/>
          <w:sz w:val="28"/>
          <w:szCs w:val="28"/>
          <w:lang w:eastAsia="en-GB"/>
        </w:rPr>
      </w:pPr>
      <w:r>
        <w:rPr>
          <w:b/>
          <w:bCs/>
          <w:sz w:val="28"/>
          <w:szCs w:val="28"/>
        </w:rPr>
        <w:t>7</w:t>
      </w:r>
      <w:r w:rsidR="00B77990" w:rsidRPr="00322985">
        <w:rPr>
          <w:b/>
          <w:bCs/>
          <w:sz w:val="28"/>
          <w:szCs w:val="28"/>
          <w:lang w:eastAsia="en-GB"/>
        </w:rPr>
        <w:t>–</w:t>
      </w:r>
      <w:r>
        <w:rPr>
          <w:b/>
          <w:bCs/>
          <w:sz w:val="28"/>
          <w:szCs w:val="28"/>
          <w:lang w:eastAsia="en-GB"/>
        </w:rPr>
        <w:t>11</w:t>
      </w:r>
      <w:r w:rsidR="00313E28">
        <w:rPr>
          <w:b/>
          <w:bCs/>
          <w:sz w:val="28"/>
          <w:szCs w:val="28"/>
        </w:rPr>
        <w:t xml:space="preserve"> </w:t>
      </w:r>
      <w:r>
        <w:rPr>
          <w:b/>
          <w:bCs/>
          <w:sz w:val="28"/>
          <w:szCs w:val="28"/>
        </w:rPr>
        <w:t>November 2016</w:t>
      </w:r>
    </w:p>
    <w:p w:rsidR="00F1752C" w:rsidRPr="00322985" w:rsidRDefault="00F1752C" w:rsidP="00B521CB">
      <w:pPr>
        <w:overflowPunct/>
        <w:spacing w:line="276" w:lineRule="auto"/>
        <w:jc w:val="center"/>
        <w:textAlignment w:val="auto"/>
        <w:rPr>
          <w:b/>
          <w:bCs/>
          <w:sz w:val="24"/>
          <w:szCs w:val="24"/>
        </w:rPr>
      </w:pPr>
    </w:p>
    <w:p w:rsidR="00276559" w:rsidRPr="00322985" w:rsidRDefault="00F1752C" w:rsidP="006D57B9">
      <w:pPr>
        <w:overflowPunct/>
        <w:spacing w:line="276" w:lineRule="auto"/>
        <w:jc w:val="center"/>
        <w:textAlignment w:val="auto"/>
        <w:rPr>
          <w:b/>
          <w:bCs/>
          <w:sz w:val="24"/>
          <w:szCs w:val="24"/>
          <w:lang w:eastAsia="en-GB"/>
        </w:rPr>
      </w:pPr>
      <w:r w:rsidRPr="00322985">
        <w:rPr>
          <w:b/>
          <w:bCs/>
          <w:sz w:val="24"/>
          <w:szCs w:val="24"/>
        </w:rPr>
        <w:t>Ref. No</w:t>
      </w:r>
      <w:r w:rsidR="008B22A2">
        <w:rPr>
          <w:b/>
          <w:bCs/>
          <w:sz w:val="24"/>
          <w:szCs w:val="24"/>
        </w:rPr>
        <w:t>.</w:t>
      </w:r>
      <w:r w:rsidRPr="00322985">
        <w:rPr>
          <w:b/>
          <w:bCs/>
          <w:sz w:val="24"/>
          <w:szCs w:val="24"/>
        </w:rPr>
        <w:t xml:space="preserve">: </w:t>
      </w:r>
      <w:r w:rsidR="008F0045">
        <w:rPr>
          <w:b/>
          <w:bCs/>
          <w:sz w:val="24"/>
          <w:szCs w:val="24"/>
        </w:rPr>
        <w:t>IAEA-</w:t>
      </w:r>
      <w:r w:rsidR="006D57B9" w:rsidRPr="00322985">
        <w:rPr>
          <w:b/>
          <w:bCs/>
          <w:sz w:val="24"/>
          <w:szCs w:val="24"/>
        </w:rPr>
        <w:t>CN-2</w:t>
      </w:r>
      <w:r w:rsidR="00C60FD1">
        <w:rPr>
          <w:b/>
          <w:bCs/>
          <w:sz w:val="24"/>
          <w:szCs w:val="24"/>
        </w:rPr>
        <w:t>41</w:t>
      </w:r>
    </w:p>
    <w:p w:rsidR="002944CA" w:rsidRPr="00322985" w:rsidRDefault="002944CA" w:rsidP="00CC6750">
      <w:pPr>
        <w:overflowPunct/>
        <w:spacing w:line="276" w:lineRule="auto"/>
        <w:jc w:val="center"/>
        <w:textAlignment w:val="auto"/>
        <w:rPr>
          <w:color w:val="000000"/>
          <w:sz w:val="28"/>
          <w:szCs w:val="28"/>
          <w:lang w:eastAsia="en-GB"/>
        </w:rPr>
      </w:pPr>
    </w:p>
    <w:p w:rsidR="00276559" w:rsidRDefault="00276559" w:rsidP="00B521CB">
      <w:pPr>
        <w:overflowPunct/>
        <w:spacing w:line="276" w:lineRule="auto"/>
        <w:jc w:val="center"/>
        <w:textAlignment w:val="auto"/>
        <w:rPr>
          <w:b/>
          <w:bCs/>
          <w:color w:val="000000"/>
          <w:sz w:val="28"/>
          <w:szCs w:val="28"/>
          <w:lang w:eastAsia="en-GB"/>
        </w:rPr>
      </w:pPr>
    </w:p>
    <w:p w:rsidR="00037864" w:rsidRPr="00322985" w:rsidRDefault="00037864" w:rsidP="00B521CB">
      <w:pPr>
        <w:overflowPunct/>
        <w:spacing w:line="276" w:lineRule="auto"/>
        <w:jc w:val="center"/>
        <w:textAlignment w:val="auto"/>
        <w:rPr>
          <w:b/>
          <w:bCs/>
          <w:color w:val="000000"/>
          <w:sz w:val="28"/>
          <w:szCs w:val="28"/>
          <w:lang w:eastAsia="en-GB"/>
        </w:rPr>
      </w:pPr>
    </w:p>
    <w:p w:rsidR="00276559" w:rsidRPr="00C219A7" w:rsidRDefault="00333966" w:rsidP="006D57B9">
      <w:pPr>
        <w:overflowPunct/>
        <w:spacing w:line="276" w:lineRule="auto"/>
        <w:jc w:val="center"/>
        <w:textAlignment w:val="auto"/>
        <w:rPr>
          <w:b/>
          <w:bCs/>
          <w:sz w:val="42"/>
          <w:szCs w:val="42"/>
        </w:rPr>
      </w:pPr>
      <w:r w:rsidRPr="00C219A7">
        <w:rPr>
          <w:b/>
          <w:bCs/>
          <w:sz w:val="42"/>
          <w:szCs w:val="42"/>
        </w:rPr>
        <w:t>Announcement</w:t>
      </w:r>
      <w:r w:rsidR="00B77990" w:rsidRPr="00C219A7">
        <w:rPr>
          <w:b/>
          <w:bCs/>
          <w:sz w:val="42"/>
          <w:szCs w:val="42"/>
        </w:rPr>
        <w:t xml:space="preserve"> and Call for Papers</w:t>
      </w:r>
    </w:p>
    <w:p w:rsidR="006207AA" w:rsidRDefault="006207AA">
      <w:pPr>
        <w:overflowPunct/>
        <w:autoSpaceDE/>
        <w:autoSpaceDN/>
        <w:adjustRightInd/>
        <w:textAlignment w:val="auto"/>
        <w:rPr>
          <w:b/>
          <w:sz w:val="32"/>
        </w:rPr>
      </w:pPr>
      <w:r>
        <w:br w:type="page"/>
      </w:r>
    </w:p>
    <w:p w:rsidR="00C60FD1" w:rsidRPr="008F0E68" w:rsidRDefault="006D57B9" w:rsidP="00165141">
      <w:pPr>
        <w:pStyle w:val="Heading1"/>
        <w:numPr>
          <w:ilvl w:val="0"/>
          <w:numId w:val="7"/>
        </w:numPr>
        <w:spacing w:before="600"/>
        <w:ind w:left="0" w:firstLine="0"/>
      </w:pPr>
      <w:r w:rsidRPr="008F0E68">
        <w:lastRenderedPageBreak/>
        <w:t>Background</w:t>
      </w:r>
    </w:p>
    <w:p w:rsidR="008F5093" w:rsidRPr="00743801" w:rsidRDefault="008F5093" w:rsidP="008F5093">
      <w:pPr>
        <w:spacing w:after="170" w:line="280" w:lineRule="auto"/>
        <w:jc w:val="both"/>
      </w:pPr>
      <w:r w:rsidRPr="00743801">
        <w:t>Appropriate technical expertise and experience, along with a strong safety culture, must be developed and kept available throughout the nuclear technology life</w:t>
      </w:r>
      <w:r w:rsidR="005141F8">
        <w:t xml:space="preserve"> </w:t>
      </w:r>
      <w:r w:rsidRPr="00743801">
        <w:t>cycle. Nuclear equipment, installations and facilities ma</w:t>
      </w:r>
      <w:r w:rsidRPr="00813238">
        <w:t>y have long life</w:t>
      </w:r>
      <w:r w:rsidR="005141F8" w:rsidRPr="00813238">
        <w:t xml:space="preserve"> </w:t>
      </w:r>
      <w:r w:rsidRPr="00813238">
        <w:t>cycles with changing operational conditions. Advanced</w:t>
      </w:r>
      <w:r w:rsidR="00877EB4" w:rsidRPr="00813238">
        <w:t xml:space="preserve"> and</w:t>
      </w:r>
      <w:r w:rsidRPr="00813238">
        <w:t xml:space="preserve"> specialized knowledge </w:t>
      </w:r>
      <w:r w:rsidR="00877EB4" w:rsidRPr="00813238">
        <w:t xml:space="preserve">in nuclear engineering and science </w:t>
      </w:r>
      <w:r w:rsidRPr="00813238">
        <w:t>is required for the safe and effective design, construction, licensing, commissioning, operation, maintenance, and decommissioning of nuclear technology-based systems. The safe use of lic</w:t>
      </w:r>
      <w:r w:rsidRPr="008554AF">
        <w:t xml:space="preserve">ensed nuclear facilities and technologies is reliant on the ongoing availability and maintenance of suitable knowledge and expertise, and an adequate understanding of related safety issues. The ability of organizations </w:t>
      </w:r>
      <w:r w:rsidRPr="00743801">
        <w:t xml:space="preserve">that operate or </w:t>
      </w:r>
      <w:r w:rsidR="000169CF" w:rsidRPr="00743801">
        <w:t>utili</w:t>
      </w:r>
      <w:r w:rsidR="000169CF">
        <w:t>z</w:t>
      </w:r>
      <w:r w:rsidR="000169CF" w:rsidRPr="00743801">
        <w:t xml:space="preserve">e </w:t>
      </w:r>
      <w:r w:rsidRPr="00743801">
        <w:t xml:space="preserve">nuclear technology to take safe decisions and actions can be </w:t>
      </w:r>
      <w:r w:rsidR="000169CF">
        <w:t>affected</w:t>
      </w:r>
      <w:r w:rsidR="000169CF" w:rsidRPr="00743801">
        <w:t xml:space="preserve"> </w:t>
      </w:r>
      <w:r w:rsidRPr="00743801">
        <w:t>by knowledge gaps or knowledge loss. Appropriate methods and supporting technology are needed to establish and manage nuclear competencies, information and records, work processes, analysis and verification techniques, and the interpretation of data.</w:t>
      </w:r>
    </w:p>
    <w:p w:rsidR="008F5093" w:rsidRPr="00743801" w:rsidRDefault="008F5093" w:rsidP="008F5093">
      <w:pPr>
        <w:spacing w:after="170" w:line="280" w:lineRule="auto"/>
        <w:jc w:val="both"/>
      </w:pPr>
      <w:r w:rsidRPr="00743801">
        <w:t xml:space="preserve">Through the presentation and discussion of issues and solutions related to building, collecting, transferring, sharing, maintaining, preserving and </w:t>
      </w:r>
      <w:r w:rsidR="000169CF" w:rsidRPr="00743801">
        <w:t>utili</w:t>
      </w:r>
      <w:r w:rsidR="000169CF">
        <w:t>z</w:t>
      </w:r>
      <w:r w:rsidR="000169CF" w:rsidRPr="00743801">
        <w:t xml:space="preserve">ing </w:t>
      </w:r>
      <w:r w:rsidRPr="00743801">
        <w:t xml:space="preserve">knowledge, the conference will aim to improve awareness </w:t>
      </w:r>
      <w:r w:rsidR="000169CF" w:rsidRPr="00743801">
        <w:t>o</w:t>
      </w:r>
      <w:r w:rsidR="000169CF">
        <w:t>f</w:t>
      </w:r>
      <w:r w:rsidR="000169CF" w:rsidRPr="00743801">
        <w:t xml:space="preserve"> </w:t>
      </w:r>
      <w:r w:rsidRPr="00743801">
        <w:t xml:space="preserve">the importance of knowledge management (KM) in the nuclear sector. Member States will have the opportunity to strengthen their </w:t>
      </w:r>
      <w:r w:rsidR="000169CF" w:rsidRPr="00743801">
        <w:t>capabilit</w:t>
      </w:r>
      <w:r w:rsidR="000169CF">
        <w:t>ies in this area</w:t>
      </w:r>
      <w:r w:rsidR="000169CF" w:rsidRPr="00743801">
        <w:t xml:space="preserve"> </w:t>
      </w:r>
      <w:r w:rsidRPr="00743801">
        <w:t xml:space="preserve">by learning from the experiences of other Member States and </w:t>
      </w:r>
      <w:r w:rsidR="000169CF">
        <w:t>other</w:t>
      </w:r>
      <w:r w:rsidR="000169CF" w:rsidRPr="00743801">
        <w:t xml:space="preserve"> </w:t>
      </w:r>
      <w:r w:rsidRPr="00743801">
        <w:t>stakeholders.</w:t>
      </w:r>
    </w:p>
    <w:p w:rsidR="008F5093" w:rsidRPr="00743801" w:rsidRDefault="008F5093" w:rsidP="004D3078">
      <w:pPr>
        <w:spacing w:after="170" w:line="280" w:lineRule="auto"/>
        <w:jc w:val="both"/>
      </w:pPr>
      <w:r w:rsidRPr="00743801">
        <w:t>This conference is a follow-</w:t>
      </w:r>
      <w:r w:rsidR="006C496C">
        <w:t>up</w:t>
      </w:r>
      <w:r w:rsidR="006C496C" w:rsidRPr="00743801">
        <w:t xml:space="preserve"> </w:t>
      </w:r>
      <w:r w:rsidRPr="00743801">
        <w:t xml:space="preserve">to the </w:t>
      </w:r>
      <w:r w:rsidR="00A66F48">
        <w:t>f</w:t>
      </w:r>
      <w:r w:rsidR="006C496C">
        <w:t>irst</w:t>
      </w:r>
      <w:r w:rsidR="006C496C" w:rsidRPr="00743801">
        <w:t xml:space="preserve"> </w:t>
      </w:r>
      <w:r w:rsidRPr="00743801">
        <w:t xml:space="preserve">and </w:t>
      </w:r>
      <w:r w:rsidR="00A66F48">
        <w:t>s</w:t>
      </w:r>
      <w:r w:rsidR="006C496C">
        <w:t xml:space="preserve">econd </w:t>
      </w:r>
      <w:r w:rsidR="00A66F48">
        <w:t>i</w:t>
      </w:r>
      <w:r w:rsidRPr="00743801">
        <w:t xml:space="preserve">nternational </w:t>
      </w:r>
      <w:r w:rsidR="00A66F48">
        <w:t>c</w:t>
      </w:r>
      <w:r w:rsidRPr="00743801">
        <w:t xml:space="preserve">onferences </w:t>
      </w:r>
      <w:r w:rsidR="00A66F48">
        <w:t xml:space="preserve">organized by the International Atomic Energy Agency (IAEA) </w:t>
      </w:r>
      <w:r w:rsidRPr="00743801">
        <w:t xml:space="preserve">on </w:t>
      </w:r>
      <w:r w:rsidR="00A66F48">
        <w:t>n</w:t>
      </w:r>
      <w:r w:rsidRPr="00743801">
        <w:t xml:space="preserve">uclear </w:t>
      </w:r>
      <w:r w:rsidR="00A66F48">
        <w:t>k</w:t>
      </w:r>
      <w:r w:rsidRPr="00743801">
        <w:t xml:space="preserve">nowledge </w:t>
      </w:r>
      <w:r w:rsidR="00A66F48">
        <w:t>m</w:t>
      </w:r>
      <w:r w:rsidRPr="00743801">
        <w:t xml:space="preserve">anagement, held in </w:t>
      </w:r>
      <w:r w:rsidR="006C496C" w:rsidRPr="00743801">
        <w:t xml:space="preserve">2004 </w:t>
      </w:r>
      <w:r w:rsidR="006C496C">
        <w:t xml:space="preserve">in </w:t>
      </w:r>
      <w:proofErr w:type="spellStart"/>
      <w:r w:rsidRPr="00743801">
        <w:t>Saclay</w:t>
      </w:r>
      <w:proofErr w:type="spellEnd"/>
      <w:r w:rsidR="006C496C">
        <w:t>,</w:t>
      </w:r>
      <w:r w:rsidRPr="00743801">
        <w:t xml:space="preserve"> France</w:t>
      </w:r>
      <w:r w:rsidR="006C496C">
        <w:t>,</w:t>
      </w:r>
      <w:r w:rsidRPr="00743801">
        <w:t xml:space="preserve"> and </w:t>
      </w:r>
      <w:r w:rsidR="006C496C">
        <w:t xml:space="preserve">in 2007 in </w:t>
      </w:r>
      <w:r w:rsidRPr="00743801">
        <w:t>Vienna</w:t>
      </w:r>
      <w:r w:rsidR="006C496C">
        <w:t>,</w:t>
      </w:r>
      <w:r w:rsidRPr="00743801">
        <w:t xml:space="preserve"> </w:t>
      </w:r>
      <w:r>
        <w:t>Austria</w:t>
      </w:r>
      <w:r w:rsidR="006C496C">
        <w:t>, respectively</w:t>
      </w:r>
      <w:r w:rsidRPr="00743801">
        <w:t>. It also builds on the outcomes of the IAEA</w:t>
      </w:r>
      <w:r w:rsidR="004D3078">
        <w:t>-organized international</w:t>
      </w:r>
      <w:r w:rsidRPr="00743801">
        <w:t xml:space="preserve"> </w:t>
      </w:r>
      <w:r w:rsidR="004D3078">
        <w:t>c</w:t>
      </w:r>
      <w:r w:rsidR="004D3078" w:rsidRPr="00743801">
        <w:t xml:space="preserve">onferences </w:t>
      </w:r>
      <w:r w:rsidR="004D3078">
        <w:t>on h</w:t>
      </w:r>
      <w:r w:rsidRPr="00743801">
        <w:t xml:space="preserve">uman </w:t>
      </w:r>
      <w:r w:rsidR="004D3078">
        <w:t>r</w:t>
      </w:r>
      <w:r w:rsidRPr="00743801">
        <w:t xml:space="preserve">esource </w:t>
      </w:r>
      <w:r w:rsidR="004D3078">
        <w:t>d</w:t>
      </w:r>
      <w:r w:rsidRPr="00743801">
        <w:t xml:space="preserve">evelopment </w:t>
      </w:r>
      <w:r w:rsidR="006C496C">
        <w:t xml:space="preserve">held </w:t>
      </w:r>
      <w:r w:rsidR="003C5BCE">
        <w:t>in</w:t>
      </w:r>
      <w:r w:rsidRPr="00743801">
        <w:t xml:space="preserve"> </w:t>
      </w:r>
      <w:r w:rsidR="006C496C" w:rsidRPr="00743801">
        <w:t>2010</w:t>
      </w:r>
      <w:r w:rsidR="006C496C">
        <w:t xml:space="preserve"> in </w:t>
      </w:r>
      <w:r w:rsidRPr="00743801">
        <w:t>Abu Dhabi</w:t>
      </w:r>
      <w:r w:rsidR="006C496C">
        <w:t>,</w:t>
      </w:r>
      <w:r w:rsidRPr="00743801">
        <w:t xml:space="preserve"> U</w:t>
      </w:r>
      <w:r w:rsidR="006C496C">
        <w:t xml:space="preserve">nited Arab Emirates, </w:t>
      </w:r>
      <w:r w:rsidRPr="00743801">
        <w:t xml:space="preserve">and </w:t>
      </w:r>
      <w:r w:rsidR="006C496C">
        <w:t xml:space="preserve">in </w:t>
      </w:r>
      <w:r w:rsidR="006C496C" w:rsidRPr="00743801">
        <w:t>2014</w:t>
      </w:r>
      <w:r w:rsidR="006C496C">
        <w:t xml:space="preserve"> in </w:t>
      </w:r>
      <w:r w:rsidRPr="00743801">
        <w:t>Vienna</w:t>
      </w:r>
      <w:r w:rsidR="006C496C">
        <w:t>, Austria</w:t>
      </w:r>
      <w:r w:rsidRPr="00743801">
        <w:t>.</w:t>
      </w:r>
    </w:p>
    <w:p w:rsidR="008F5093" w:rsidRPr="00743801" w:rsidRDefault="008F5093" w:rsidP="00165141">
      <w:pPr>
        <w:pStyle w:val="Heading1"/>
        <w:numPr>
          <w:ilvl w:val="0"/>
          <w:numId w:val="7"/>
        </w:numPr>
        <w:spacing w:before="600"/>
        <w:ind w:left="0" w:firstLine="0"/>
      </w:pPr>
      <w:r w:rsidRPr="00743801">
        <w:t>Objective</w:t>
      </w:r>
      <w:r w:rsidR="00A66F48">
        <w:t>s</w:t>
      </w:r>
    </w:p>
    <w:p w:rsidR="008F5093" w:rsidRDefault="008F5093" w:rsidP="004D3078">
      <w:pPr>
        <w:spacing w:after="170" w:line="280" w:lineRule="auto"/>
        <w:jc w:val="both"/>
      </w:pPr>
      <w:r w:rsidRPr="00743801">
        <w:t xml:space="preserve">The </w:t>
      </w:r>
      <w:r w:rsidR="004D3078">
        <w:t>purpose</w:t>
      </w:r>
      <w:r w:rsidR="004D3078" w:rsidRPr="00743801">
        <w:t xml:space="preserve"> </w:t>
      </w:r>
      <w:r w:rsidRPr="00743801">
        <w:t xml:space="preserve">of the conference is to provide an opportunity to share experiences and lessons learned in the nuclear sector related to managing nuclear knowledge and to share practical approaches to KM that can be used at </w:t>
      </w:r>
      <w:r w:rsidR="000169CF">
        <w:t xml:space="preserve">the </w:t>
      </w:r>
      <w:r w:rsidRPr="00743801">
        <w:t xml:space="preserve">organizational, national, and international levels to develop and maintain a strong nuclear knowledge base. Various issues related to </w:t>
      </w:r>
      <w:r w:rsidR="00037D37">
        <w:t xml:space="preserve">specific </w:t>
      </w:r>
      <w:r w:rsidRPr="00743801">
        <w:t xml:space="preserve">human competencies, methodological or process knowledge and technology-related knowledge that are needed to support the safe and sustainable </w:t>
      </w:r>
      <w:r>
        <w:t>application of</w:t>
      </w:r>
      <w:r w:rsidRPr="00743801">
        <w:t xml:space="preserve"> nuclear technology</w:t>
      </w:r>
      <w:r w:rsidR="00037D37" w:rsidRPr="00037D37">
        <w:t xml:space="preserve"> </w:t>
      </w:r>
      <w:r w:rsidR="00037D37" w:rsidRPr="00743801">
        <w:t>will be addressed</w:t>
      </w:r>
      <w:r w:rsidRPr="00743801">
        <w:t>.</w:t>
      </w:r>
    </w:p>
    <w:p w:rsidR="003C5BCE" w:rsidRDefault="003C5BCE" w:rsidP="003C5BCE">
      <w:pPr>
        <w:pStyle w:val="Heading1"/>
        <w:numPr>
          <w:ilvl w:val="0"/>
          <w:numId w:val="7"/>
        </w:numPr>
        <w:spacing w:before="600"/>
        <w:ind w:left="0" w:firstLine="0"/>
      </w:pPr>
      <w:bookmarkStart w:id="0" w:name="_Ref395692106"/>
      <w:r>
        <w:t>Target Audience</w:t>
      </w:r>
    </w:p>
    <w:p w:rsidR="003C5BCE" w:rsidRDefault="003C5BCE" w:rsidP="002C1B48">
      <w:pPr>
        <w:pStyle w:val="BodyTextMultiline"/>
        <w:numPr>
          <w:ilvl w:val="0"/>
          <w:numId w:val="0"/>
        </w:numPr>
      </w:pPr>
      <w:r w:rsidRPr="002700D1">
        <w:t>The conference will address and bring together managers</w:t>
      </w:r>
      <w:r>
        <w:t>,</w:t>
      </w:r>
      <w:r w:rsidRPr="002700D1">
        <w:t xml:space="preserve"> </w:t>
      </w:r>
      <w:r w:rsidR="00037D37">
        <w:t>decision-</w:t>
      </w:r>
      <w:r w:rsidRPr="00054FD8">
        <w:t xml:space="preserve">makers </w:t>
      </w:r>
      <w:r>
        <w:t>and KM specialists from</w:t>
      </w:r>
      <w:r w:rsidRPr="002700D1">
        <w:t xml:space="preserve"> </w:t>
      </w:r>
      <w:r>
        <w:t xml:space="preserve">all types of </w:t>
      </w:r>
      <w:r w:rsidRPr="002700D1">
        <w:t>organization</w:t>
      </w:r>
      <w:r w:rsidR="00037D37">
        <w:t>s</w:t>
      </w:r>
      <w:r>
        <w:t xml:space="preserve"> involved in the nuclear sector</w:t>
      </w:r>
      <w:r w:rsidRPr="002700D1">
        <w:t>, including nuclear facility owners and operators, regulator</w:t>
      </w:r>
      <w:r>
        <w:t xml:space="preserve">y </w:t>
      </w:r>
      <w:r w:rsidR="002C1B48">
        <w:t>bodies</w:t>
      </w:r>
      <w:r w:rsidRPr="002700D1">
        <w:t xml:space="preserve">, government agencies, design organizations, </w:t>
      </w:r>
      <w:r w:rsidRPr="00D60341">
        <w:t>reactor and technology vendor</w:t>
      </w:r>
      <w:r>
        <w:t xml:space="preserve"> </w:t>
      </w:r>
      <w:r w:rsidRPr="002700D1">
        <w:lastRenderedPageBreak/>
        <w:t>organizations</w:t>
      </w:r>
      <w:r>
        <w:t xml:space="preserve">, technical </w:t>
      </w:r>
      <w:r w:rsidR="002C1B48">
        <w:t xml:space="preserve">support </w:t>
      </w:r>
      <w:r>
        <w:t>organiz</w:t>
      </w:r>
      <w:r w:rsidRPr="002700D1">
        <w:t xml:space="preserve">ations, </w:t>
      </w:r>
      <w:r w:rsidRPr="00D60341">
        <w:t>suppliers</w:t>
      </w:r>
      <w:r>
        <w:t>, research and development</w:t>
      </w:r>
      <w:r w:rsidR="002C1B48">
        <w:t xml:space="preserve"> (R&amp;D)</w:t>
      </w:r>
      <w:r>
        <w:t xml:space="preserve"> </w:t>
      </w:r>
      <w:r w:rsidRPr="002700D1">
        <w:t xml:space="preserve">organizations, education and training institutions, </w:t>
      </w:r>
      <w:r w:rsidR="00037D37">
        <w:t xml:space="preserve">and </w:t>
      </w:r>
      <w:r w:rsidRPr="00D60341">
        <w:t>standards development organizations</w:t>
      </w:r>
      <w:r w:rsidR="00037D37">
        <w:t>.</w:t>
      </w:r>
    </w:p>
    <w:p w:rsidR="008F5093" w:rsidRPr="00743801" w:rsidRDefault="008F5093" w:rsidP="00165141">
      <w:pPr>
        <w:pStyle w:val="Heading1"/>
        <w:numPr>
          <w:ilvl w:val="0"/>
          <w:numId w:val="7"/>
        </w:numPr>
        <w:spacing w:before="600"/>
        <w:ind w:left="0" w:firstLine="0"/>
      </w:pPr>
      <w:bookmarkStart w:id="1" w:name="_Ref428437378"/>
      <w:r w:rsidRPr="00743801">
        <w:t>Programme Format and Topics</w:t>
      </w:r>
      <w:bookmarkEnd w:id="0"/>
      <w:bookmarkEnd w:id="1"/>
    </w:p>
    <w:p w:rsidR="008F5093" w:rsidRPr="000765A7" w:rsidRDefault="008F5093" w:rsidP="002C1B48">
      <w:pPr>
        <w:spacing w:after="170" w:line="280" w:lineRule="auto"/>
        <w:jc w:val="both"/>
      </w:pPr>
      <w:r w:rsidRPr="00743801">
        <w:t xml:space="preserve">The conference will consist of both plenary and parallel sessions, blending </w:t>
      </w:r>
      <w:r w:rsidR="0078141C" w:rsidRPr="00743801">
        <w:t>high</w:t>
      </w:r>
      <w:r w:rsidR="0078141C">
        <w:t>-</w:t>
      </w:r>
      <w:r w:rsidRPr="00743801">
        <w:t>level</w:t>
      </w:r>
      <w:r w:rsidR="00F76E97">
        <w:t>,</w:t>
      </w:r>
      <w:r w:rsidRPr="00743801">
        <w:t xml:space="preserve"> keynote sessions</w:t>
      </w:r>
      <w:r w:rsidR="00797331">
        <w:t xml:space="preserve"> (</w:t>
      </w:r>
      <w:r w:rsidRPr="00743801">
        <w:t xml:space="preserve">which will address strategic </w:t>
      </w:r>
      <w:r w:rsidR="00110119">
        <w:t>and cross-cutting aspects of KM</w:t>
      </w:r>
      <w:r w:rsidR="00797331">
        <w:t>)</w:t>
      </w:r>
      <w:r w:rsidR="00F76E97">
        <w:t xml:space="preserve"> </w:t>
      </w:r>
      <w:r w:rsidRPr="00743801">
        <w:t>with more practical sessions</w:t>
      </w:r>
      <w:r w:rsidR="00797331">
        <w:t xml:space="preserve"> (</w:t>
      </w:r>
      <w:r w:rsidR="00F76E97">
        <w:t xml:space="preserve">which will include </w:t>
      </w:r>
      <w:r w:rsidRPr="00743801">
        <w:t xml:space="preserve">experience sharing through case studies </w:t>
      </w:r>
      <w:r w:rsidR="00F76E97" w:rsidRPr="00743801">
        <w:t>o</w:t>
      </w:r>
      <w:r w:rsidR="00F76E97">
        <w:t>f</w:t>
      </w:r>
      <w:r w:rsidR="00F76E97" w:rsidRPr="00743801">
        <w:t xml:space="preserve"> </w:t>
      </w:r>
      <w:r w:rsidRPr="00743801">
        <w:t xml:space="preserve">practices </w:t>
      </w:r>
      <w:r w:rsidR="00797331">
        <w:t xml:space="preserve">in, </w:t>
      </w:r>
      <w:r w:rsidRPr="00743801">
        <w:t xml:space="preserve">and approaches </w:t>
      </w:r>
      <w:r w:rsidR="00797331">
        <w:t xml:space="preserve">to, </w:t>
      </w:r>
      <w:r w:rsidR="005141F8">
        <w:t>KM</w:t>
      </w:r>
      <w:r w:rsidR="005141F8" w:rsidRPr="00743801">
        <w:t xml:space="preserve"> </w:t>
      </w:r>
      <w:r w:rsidRPr="00743801">
        <w:t>systems and techniq</w:t>
      </w:r>
      <w:r w:rsidRPr="00D41A10">
        <w:t>ues</w:t>
      </w:r>
      <w:r w:rsidR="00797331">
        <w:t>)</w:t>
      </w:r>
      <w:r w:rsidRPr="00D41A10">
        <w:t xml:space="preserve">. The event will feature exhibitions, forums and panels, as well as tutorials and workshops. Computer and display technology will be deployed to support interactive poster sessions and communication platforms. Access </w:t>
      </w:r>
      <w:r w:rsidR="00797331">
        <w:t>to</w:t>
      </w:r>
      <w:r w:rsidR="002C1B48">
        <w:t>,</w:t>
      </w:r>
      <w:r w:rsidR="00797331">
        <w:t xml:space="preserve"> </w:t>
      </w:r>
      <w:r w:rsidRPr="00D41A10">
        <w:t>and dissemination of</w:t>
      </w:r>
      <w:r w:rsidR="002C1B48">
        <w:t>,</w:t>
      </w:r>
      <w:r w:rsidRPr="00D41A10">
        <w:t xml:space="preserve"> conference material</w:t>
      </w:r>
      <w:r w:rsidR="0078141C">
        <w:t>s</w:t>
      </w:r>
      <w:r w:rsidRPr="00D41A10">
        <w:t xml:space="preserve"> will be facilitated through a conference web</w:t>
      </w:r>
      <w:r w:rsidR="007D1F21">
        <w:t xml:space="preserve"> page</w:t>
      </w:r>
      <w:r w:rsidRPr="00D41A10">
        <w:t xml:space="preserve">. Hospitality events and evening </w:t>
      </w:r>
      <w:r w:rsidR="00797331" w:rsidRPr="00D41A10">
        <w:t>social</w:t>
      </w:r>
      <w:r w:rsidR="00797331">
        <w:t xml:space="preserve"> events</w:t>
      </w:r>
      <w:r w:rsidR="00797331" w:rsidRPr="00D41A10">
        <w:t xml:space="preserve"> </w:t>
      </w:r>
      <w:r w:rsidRPr="00D41A10">
        <w:t>are also planned for participants and their partners.</w:t>
      </w:r>
    </w:p>
    <w:p w:rsidR="008F5093" w:rsidRDefault="008F5093" w:rsidP="000765A7">
      <w:pPr>
        <w:tabs>
          <w:tab w:val="left" w:pos="2552"/>
        </w:tabs>
        <w:overflowPunct/>
        <w:autoSpaceDE/>
        <w:autoSpaceDN/>
        <w:adjustRightInd/>
        <w:spacing w:line="276" w:lineRule="auto"/>
        <w:jc w:val="both"/>
        <w:textAlignment w:val="auto"/>
      </w:pPr>
      <w:r w:rsidRPr="00743801">
        <w:t xml:space="preserve">The scope of the conference will be articulated </w:t>
      </w:r>
      <w:r w:rsidR="00797331">
        <w:t>through</w:t>
      </w:r>
      <w:r w:rsidR="00797331" w:rsidRPr="00743801">
        <w:t xml:space="preserve"> </w:t>
      </w:r>
      <w:r w:rsidR="00797331">
        <w:t>thematic</w:t>
      </w:r>
      <w:r w:rsidR="00797331" w:rsidRPr="00743801">
        <w:t xml:space="preserve"> </w:t>
      </w:r>
      <w:r w:rsidRPr="00743801">
        <w:t>tracks</w:t>
      </w:r>
      <w:r w:rsidR="00797331">
        <w:t>,</w:t>
      </w:r>
      <w:r w:rsidRPr="00743801">
        <w:t xml:space="preserve"> exploring both cross-cutting aspects of nuclear KM and elements </w:t>
      </w:r>
      <w:r w:rsidR="0078141C">
        <w:t>that</w:t>
      </w:r>
      <w:r w:rsidR="0078141C" w:rsidRPr="00743801">
        <w:t xml:space="preserve"> </w:t>
      </w:r>
      <w:r w:rsidRPr="00743801">
        <w:t xml:space="preserve">are more prominent </w:t>
      </w:r>
      <w:r w:rsidR="00797331">
        <w:t xml:space="preserve">in, </w:t>
      </w:r>
      <w:r w:rsidRPr="00743801">
        <w:t>and specific to</w:t>
      </w:r>
      <w:r w:rsidR="00797331">
        <w:t>,</w:t>
      </w:r>
      <w:r w:rsidRPr="00743801">
        <w:t xml:space="preserve"> distinct applications of nuclear power and technology. </w:t>
      </w:r>
      <w:r w:rsidR="00797331">
        <w:t xml:space="preserve">The planned </w:t>
      </w:r>
      <w:r w:rsidRPr="00743801">
        <w:t xml:space="preserve">thematic tracks are </w:t>
      </w:r>
      <w:r w:rsidR="00797331">
        <w:t xml:space="preserve">described </w:t>
      </w:r>
      <w:r w:rsidRPr="00743801">
        <w:t>below in terms of pertinent topics and interested stakeholders.</w:t>
      </w:r>
    </w:p>
    <w:p w:rsidR="008F5093" w:rsidRPr="000765A7"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1</w:t>
      </w:r>
      <w:r>
        <w:rPr>
          <w:b/>
        </w:rPr>
        <w:t>:</w:t>
      </w:r>
      <w:r w:rsidRPr="008F0E68">
        <w:rPr>
          <w:b/>
        </w:rPr>
        <w:tab/>
        <w:t xml:space="preserve">Strategic and cross-cutting </w:t>
      </w:r>
      <w:r>
        <w:rPr>
          <w:b/>
        </w:rPr>
        <w:t xml:space="preserve">KM </w:t>
      </w:r>
      <w:r w:rsidRPr="008F0E68">
        <w:rPr>
          <w:b/>
        </w:rPr>
        <w:t>issues</w:t>
      </w:r>
      <w:r>
        <w:t xml:space="preserve"> </w:t>
      </w:r>
      <w:r w:rsidRPr="00151324">
        <w:rPr>
          <w:b/>
        </w:rPr>
        <w:t>in organizations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Organi</w:t>
      </w:r>
      <w:r>
        <w:t>z</w:t>
      </w:r>
      <w:r w:rsidRPr="008F0E68">
        <w:t>ational benefits of managing knowledge</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Consequences of failures to manage organi</w:t>
      </w:r>
      <w:r>
        <w:t>z</w:t>
      </w:r>
      <w:r w:rsidRPr="008F0E68">
        <w:t>ational knowledge (e.g. critical knowledge loss or deficiencies in core competencies)</w:t>
      </w:r>
    </w:p>
    <w:p w:rsidR="008F5093" w:rsidRPr="008F0E68" w:rsidRDefault="00797331"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Optimi</w:t>
      </w:r>
      <w:r>
        <w:t>z</w:t>
      </w:r>
      <w:r w:rsidRPr="008F0E68">
        <w:t xml:space="preserve">ation </w:t>
      </w:r>
      <w:r w:rsidR="008F5093" w:rsidRPr="008F0E68">
        <w:t>of knowledge-intensive decision processes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Managing</w:t>
      </w:r>
      <w:r w:rsidRPr="008F0E68">
        <w:t xml:space="preserve"> </w:t>
      </w:r>
      <w:r>
        <w:t>essential</w:t>
      </w:r>
      <w:r w:rsidRPr="008F0E68">
        <w:t xml:space="preserve"> knowledge as a strategic organi</w:t>
      </w:r>
      <w:r>
        <w:t>z</w:t>
      </w:r>
      <w:r w:rsidRPr="008F0E68">
        <w:t>ational asset</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Organiz</w:t>
      </w:r>
      <w:r w:rsidRPr="008F0E68">
        <w:t>ational learning, building and sustaining core competencies</w:t>
      </w:r>
    </w:p>
    <w:p w:rsidR="008F5093" w:rsidRPr="0022436D"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 xml:space="preserve">Knowledge transfer: </w:t>
      </w:r>
      <w:r w:rsidRPr="00C11473">
        <w:t xml:space="preserve">including intergenerational and </w:t>
      </w:r>
      <w:proofErr w:type="spellStart"/>
      <w:r w:rsidRPr="00C11473">
        <w:t>interorganizational</w:t>
      </w:r>
      <w:proofErr w:type="spellEnd"/>
      <w:r w:rsidRPr="00C11473">
        <w:t>; across different life-cycle stages; between projects; and across sectors</w:t>
      </w:r>
      <w:r w:rsidRPr="0022436D">
        <w:t xml:space="preserve"> </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Developing competent workers through education and training, mentoring and apprenticeships</w:t>
      </w:r>
    </w:p>
    <w:p w:rsidR="008F5093" w:rsidRPr="008F0E68" w:rsidRDefault="008F5093" w:rsidP="000765A7">
      <w:pPr>
        <w:pStyle w:val="ListParagraph"/>
        <w:numPr>
          <w:ilvl w:val="0"/>
          <w:numId w:val="21"/>
        </w:numPr>
        <w:tabs>
          <w:tab w:val="left" w:pos="1418"/>
          <w:tab w:val="left" w:pos="2835"/>
        </w:tabs>
        <w:overflowPunct/>
        <w:autoSpaceDE/>
        <w:autoSpaceDN/>
        <w:adjustRightInd/>
        <w:spacing w:after="170" w:line="280" w:lineRule="atLeast"/>
        <w:ind w:left="1434" w:hanging="357"/>
        <w:contextualSpacing w:val="0"/>
        <w:jc w:val="both"/>
        <w:textAlignment w:val="auto"/>
      </w:pPr>
      <w:r w:rsidRPr="008F0E68">
        <w:t xml:space="preserve">KM methodologies, tools, approaches and practices to support knowledge processes, including information technology (e.g. </w:t>
      </w:r>
      <w:r w:rsidR="0078141C">
        <w:t>the</w:t>
      </w:r>
      <w:r w:rsidR="0078141C" w:rsidRPr="008F0E68">
        <w:t xml:space="preserve"> </w:t>
      </w:r>
      <w:r w:rsidRPr="008F0E68">
        <w:t xml:space="preserve">role </w:t>
      </w:r>
      <w:r w:rsidR="0078141C">
        <w:t xml:space="preserve">of information technology </w:t>
      </w:r>
      <w:r w:rsidRPr="008F0E68">
        <w:t>in facilitating communication, collaboration and knowledge creation)</w:t>
      </w:r>
    </w:p>
    <w:p w:rsidR="008F5093" w:rsidRPr="008F0E68" w:rsidRDefault="008F5093" w:rsidP="000765A7">
      <w:pPr>
        <w:pStyle w:val="ListParagraph"/>
        <w:numPr>
          <w:ilvl w:val="0"/>
          <w:numId w:val="21"/>
        </w:numPr>
        <w:spacing w:after="170" w:line="280" w:lineRule="atLeast"/>
        <w:ind w:left="1434" w:hanging="357"/>
        <w:contextualSpacing w:val="0"/>
        <w:jc w:val="both"/>
      </w:pPr>
      <w:r w:rsidRPr="008F0E68">
        <w:t>Knowledge sharing, including dissemination of good practices and knowledge networks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Development of KM capability and culture</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Organizational culture (</w:t>
      </w:r>
      <w:r>
        <w:t xml:space="preserve">its </w:t>
      </w:r>
      <w:r w:rsidRPr="008F0E68">
        <w:t>influence on knowledge management and knowledge sharing</w:t>
      </w:r>
      <w:r>
        <w:t xml:space="preserve"> and vice-versa)</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lastRenderedPageBreak/>
        <w:t xml:space="preserve">Embedding </w:t>
      </w:r>
      <w:r w:rsidRPr="008F0E68">
        <w:t xml:space="preserve">KM in </w:t>
      </w:r>
      <w:r>
        <w:t>an</w:t>
      </w:r>
      <w:r w:rsidRPr="008F0E68">
        <w:t xml:space="preserve"> </w:t>
      </w:r>
      <w:r>
        <w:t xml:space="preserve">organization’s performance </w:t>
      </w:r>
      <w:r w:rsidRPr="008F0E68">
        <w:t>management system</w:t>
      </w:r>
    </w:p>
    <w:p w:rsidR="008F5093" w:rsidRPr="008F0E68" w:rsidRDefault="008F5093" w:rsidP="000765A7">
      <w:pPr>
        <w:pStyle w:val="ListParagraph"/>
        <w:numPr>
          <w:ilvl w:val="0"/>
          <w:numId w:val="21"/>
        </w:numPr>
        <w:tabs>
          <w:tab w:val="left" w:pos="1418"/>
          <w:tab w:val="left" w:pos="2835"/>
        </w:tabs>
        <w:overflowPunct/>
        <w:autoSpaceDE/>
        <w:autoSpaceDN/>
        <w:adjustRightInd/>
        <w:spacing w:after="170" w:line="280" w:lineRule="atLeast"/>
        <w:ind w:left="1434" w:hanging="357"/>
        <w:contextualSpacing w:val="0"/>
        <w:jc w:val="both"/>
        <w:textAlignment w:val="auto"/>
      </w:pPr>
      <w:r w:rsidRPr="008F0E68">
        <w:t xml:space="preserve">KM </w:t>
      </w:r>
      <w:r>
        <w:t>g</w:t>
      </w:r>
      <w:r w:rsidRPr="008F0E68">
        <w:t>overnance, policy</w:t>
      </w:r>
      <w:r>
        <w:t>,</w:t>
      </w:r>
      <w:r w:rsidRPr="008F0E68">
        <w:t xml:space="preserve"> </w:t>
      </w:r>
      <w:r>
        <w:t>implementation, and sustainability</w:t>
      </w:r>
      <w:r w:rsidRPr="008F0E68">
        <w:t xml:space="preserve"> </w:t>
      </w:r>
      <w:r>
        <w:t>considerations</w:t>
      </w:r>
    </w:p>
    <w:p w:rsidR="008F5093" w:rsidRPr="008F0E68"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2</w:t>
      </w:r>
      <w:r>
        <w:rPr>
          <w:b/>
        </w:rPr>
        <w:t>:</w:t>
      </w:r>
      <w:r w:rsidRPr="008F0E68">
        <w:rPr>
          <w:b/>
        </w:rPr>
        <w:tab/>
        <w:t>Managing knowledge for new build projects and programmes</w:t>
      </w:r>
      <w:r>
        <w:rPr>
          <w:b/>
        </w:rPr>
        <w:t xml:space="preserve"> </w:t>
      </w:r>
      <w:r w:rsidRPr="008F0E68">
        <w:rPr>
          <w:b/>
        </w:rPr>
        <w:t xml:space="preserve">in </w:t>
      </w:r>
      <w:r w:rsidR="005C6432">
        <w:rPr>
          <w:b/>
        </w:rPr>
        <w:tab/>
      </w:r>
      <w:r w:rsidRPr="008F0E68">
        <w:rPr>
          <w:b/>
        </w:rPr>
        <w:t>newcomer and expanding countries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Management of design knowledge</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Knowledge transfer between the vendor and the operator</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Licensing competencies</w:t>
      </w:r>
    </w:p>
    <w:p w:rsidR="008F5093"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Owner/operator competencies</w:t>
      </w:r>
    </w:p>
    <w:p w:rsidR="00D9010C" w:rsidRPr="008F0E68" w:rsidRDefault="00D9010C"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D9010C">
        <w:t>Role of research reactors in managing knowledge building for new build programmes in newcomer and expanding countries</w:t>
      </w:r>
    </w:p>
    <w:p w:rsidR="008F5093" w:rsidRPr="0022436D" w:rsidRDefault="008F5093" w:rsidP="000765A7">
      <w:pPr>
        <w:overflowPunct/>
        <w:autoSpaceDE/>
        <w:autoSpaceDN/>
        <w:adjustRightInd/>
        <w:spacing w:after="170" w:line="280" w:lineRule="atLeast"/>
        <w:ind w:left="1077"/>
        <w:textAlignment w:val="auto"/>
        <w:rPr>
          <w:i/>
        </w:rPr>
      </w:pPr>
      <w:r w:rsidRPr="0022436D">
        <w:rPr>
          <w:i/>
        </w:rPr>
        <w:t xml:space="preserve">Note: </w:t>
      </w:r>
      <w:r>
        <w:rPr>
          <w:i/>
        </w:rPr>
        <w:t>m</w:t>
      </w:r>
      <w:r w:rsidRPr="0022436D">
        <w:rPr>
          <w:i/>
        </w:rPr>
        <w:t xml:space="preserve">any cross-cutting topics under </w:t>
      </w:r>
      <w:r>
        <w:rPr>
          <w:i/>
        </w:rPr>
        <w:t>Thematic T</w:t>
      </w:r>
      <w:r w:rsidRPr="0022436D">
        <w:rPr>
          <w:i/>
        </w:rPr>
        <w:t>rack 1 may also be relevant</w:t>
      </w:r>
      <w:r>
        <w:rPr>
          <w:i/>
        </w:rPr>
        <w:t xml:space="preserve"> here.</w:t>
      </w:r>
    </w:p>
    <w:p w:rsidR="008F5093" w:rsidRPr="008F0E68"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3</w:t>
      </w:r>
      <w:r>
        <w:rPr>
          <w:b/>
        </w:rPr>
        <w:t>:</w:t>
      </w:r>
      <w:r w:rsidRPr="008F0E68">
        <w:rPr>
          <w:b/>
        </w:rPr>
        <w:tab/>
        <w:t>Managing knowledge for operating nuclear facilities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KM</w:t>
      </w:r>
      <w:r w:rsidRPr="008F0E68">
        <w:t xml:space="preserve"> </w:t>
      </w:r>
      <w:r>
        <w:t>integration</w:t>
      </w:r>
      <w:r w:rsidRPr="008F0E68">
        <w:t xml:space="preserve"> in</w:t>
      </w:r>
      <w:r w:rsidR="00054FD8">
        <w:t>to</w:t>
      </w:r>
      <w:r w:rsidRPr="008F0E68">
        <w:t xml:space="preserve"> </w:t>
      </w:r>
      <w:r>
        <w:t>the</w:t>
      </w:r>
      <w:r w:rsidRPr="008F0E68">
        <w:t xml:space="preserve"> management system</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KM</w:t>
      </w:r>
      <w:r w:rsidRPr="008F0E68">
        <w:t xml:space="preserve"> in support of plant configuration management (e.g. design basis management, design change</w:t>
      </w:r>
      <w:r>
        <w:t xml:space="preserve"> management</w:t>
      </w:r>
      <w:r w:rsidRPr="008F0E68">
        <w:t xml:space="preserve">, </w:t>
      </w:r>
      <w:r>
        <w:t xml:space="preserve">plant </w:t>
      </w:r>
      <w:r w:rsidRPr="008F0E68">
        <w:t>configuration management, etc.)</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KM aspects of plant life management and long term operation</w:t>
      </w:r>
    </w:p>
    <w:p w:rsidR="008F5093" w:rsidRPr="00754BFB" w:rsidRDefault="008F5093" w:rsidP="000765A7">
      <w:pPr>
        <w:overflowPunct/>
        <w:autoSpaceDE/>
        <w:autoSpaceDN/>
        <w:adjustRightInd/>
        <w:spacing w:after="170" w:line="280" w:lineRule="atLeast"/>
        <w:ind w:left="1077"/>
        <w:textAlignment w:val="auto"/>
        <w:rPr>
          <w:i/>
        </w:rPr>
      </w:pPr>
      <w:r w:rsidRPr="0022436D">
        <w:rPr>
          <w:i/>
        </w:rPr>
        <w:t xml:space="preserve">Note: many cross-cutting topics under Thematic Track 1 may also be relevant </w:t>
      </w:r>
      <w:r w:rsidR="00054FD8">
        <w:rPr>
          <w:i/>
        </w:rPr>
        <w:t>under this Track</w:t>
      </w:r>
      <w:r w:rsidRPr="00754BFB">
        <w:rPr>
          <w:i/>
        </w:rPr>
        <w:t>, in particular</w:t>
      </w:r>
      <w:r w:rsidR="00054FD8">
        <w:rPr>
          <w:i/>
        </w:rPr>
        <w:t xml:space="preserve"> to the following</w:t>
      </w:r>
      <w:r w:rsidRPr="00754BFB">
        <w:rPr>
          <w:i/>
        </w:rPr>
        <w:t>:</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Transfer and organization of knowledge/information from early stages of the nuclear project</w:t>
      </w:r>
    </w:p>
    <w:p w:rsidR="008F5093" w:rsidRPr="00EA0813"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Managing external k</w:t>
      </w:r>
      <w:r w:rsidRPr="008F0E68">
        <w:t xml:space="preserve">nowledge dependencies </w:t>
      </w:r>
      <w:r>
        <w:t>such as</w:t>
      </w:r>
      <w:r w:rsidRPr="008F0E68">
        <w:t xml:space="preserve"> </w:t>
      </w:r>
      <w:r>
        <w:t xml:space="preserve">reliance on the </w:t>
      </w:r>
      <w:r w:rsidRPr="008F0E68">
        <w:t>competencies of outsource</w:t>
      </w:r>
      <w:r>
        <w:t>d</w:t>
      </w:r>
      <w:r w:rsidRPr="008F0E68">
        <w:t xml:space="preserve"> services</w:t>
      </w:r>
      <w:r>
        <w:t xml:space="preserve">, </w:t>
      </w:r>
      <w:r w:rsidRPr="008F0E68">
        <w:t>contractors, owners group support and vendor support</w:t>
      </w:r>
    </w:p>
    <w:p w:rsidR="008F5093" w:rsidRPr="008F0E68"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4</w:t>
      </w:r>
      <w:r>
        <w:rPr>
          <w:b/>
        </w:rPr>
        <w:t>:</w:t>
      </w:r>
      <w:r w:rsidRPr="008F0E68">
        <w:rPr>
          <w:b/>
        </w:rPr>
        <w:tab/>
        <w:t xml:space="preserve">Managing knowledge for decommissioning and environmental </w:t>
      </w:r>
      <w:r w:rsidRPr="008F0E68">
        <w:rPr>
          <w:b/>
        </w:rPr>
        <w:tab/>
        <w:t xml:space="preserve">remediation projects, including in </w:t>
      </w:r>
      <w:r>
        <w:rPr>
          <w:b/>
        </w:rPr>
        <w:t xml:space="preserve">countries with </w:t>
      </w:r>
      <w:r w:rsidRPr="008F0E68">
        <w:rPr>
          <w:b/>
        </w:rPr>
        <w:t>phase</w:t>
      </w:r>
      <w:r>
        <w:rPr>
          <w:b/>
        </w:rPr>
        <w:t>-</w:t>
      </w:r>
      <w:r w:rsidRPr="008F0E68">
        <w:rPr>
          <w:b/>
        </w:rPr>
        <w:t>out</w:t>
      </w:r>
      <w:r>
        <w:rPr>
          <w:b/>
        </w:rPr>
        <w:t xml:space="preserve"> plans</w:t>
      </w:r>
    </w:p>
    <w:p w:rsidR="008F5093"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Transfer of knowledge from operation</w:t>
      </w:r>
      <w:r>
        <w:t>s</w:t>
      </w:r>
      <w:r w:rsidRPr="008F0E68">
        <w:t xml:space="preserve"> to decommissioning</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 xml:space="preserve">Long-term knowledge retention and </w:t>
      </w:r>
      <w:r w:rsidR="00054FD8">
        <w:t>archiving</w:t>
      </w:r>
    </w:p>
    <w:p w:rsidR="008F5093" w:rsidRPr="003B463C"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3B463C">
        <w:t xml:space="preserve">Knowledge </w:t>
      </w:r>
      <w:r w:rsidR="00C11473" w:rsidRPr="003B463C">
        <w:t xml:space="preserve">requirements </w:t>
      </w:r>
      <w:r w:rsidRPr="003B463C">
        <w:t>for the establishment of a management system</w:t>
      </w:r>
      <w:r w:rsidR="00C11473" w:rsidRPr="003B463C">
        <w:t xml:space="preserve"> to support decommissioning</w:t>
      </w:r>
    </w:p>
    <w:p w:rsidR="008F5093" w:rsidRPr="003B463C" w:rsidRDefault="00C1147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3B463C">
        <w:t xml:space="preserve">Lessons learned and knowledge transfer from </w:t>
      </w:r>
      <w:r w:rsidR="008F5093" w:rsidRPr="003B463C">
        <w:t xml:space="preserve">decommissioning </w:t>
      </w:r>
      <w:r w:rsidRPr="003B463C">
        <w:t>experience</w:t>
      </w:r>
      <w:r w:rsidR="00054FD8">
        <w:t>s</w:t>
      </w:r>
      <w:r w:rsidRPr="003B463C">
        <w:t xml:space="preserve"> </w:t>
      </w:r>
      <w:r w:rsidR="003B463C" w:rsidRPr="003B463C">
        <w:t>to apply in</w:t>
      </w:r>
      <w:r w:rsidRPr="003B463C">
        <w:t xml:space="preserve"> the </w:t>
      </w:r>
      <w:r w:rsidR="00054FD8" w:rsidRPr="003B463C">
        <w:t>optimi</w:t>
      </w:r>
      <w:r w:rsidR="00054FD8">
        <w:t>z</w:t>
      </w:r>
      <w:r w:rsidR="00054FD8" w:rsidRPr="003B463C">
        <w:t xml:space="preserve">ation </w:t>
      </w:r>
      <w:r w:rsidRPr="003B463C">
        <w:t xml:space="preserve">of designs </w:t>
      </w:r>
      <w:r w:rsidR="00054FD8">
        <w:t>for</w:t>
      </w:r>
      <w:r w:rsidR="00054FD8" w:rsidRPr="003B463C">
        <w:t xml:space="preserve"> </w:t>
      </w:r>
      <w:r w:rsidR="008F5093" w:rsidRPr="003B463C">
        <w:t xml:space="preserve">new build </w:t>
      </w:r>
      <w:r w:rsidR="003B463C" w:rsidRPr="003B463C">
        <w:t>projects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lastRenderedPageBreak/>
        <w:t xml:space="preserve">Strategic KM issues in </w:t>
      </w:r>
      <w:r w:rsidR="00B013DC" w:rsidRPr="008F0E68">
        <w:t>phase</w:t>
      </w:r>
      <w:r w:rsidR="00B013DC">
        <w:t>-</w:t>
      </w:r>
      <w:r w:rsidRPr="008F0E68">
        <w:t>out countries</w:t>
      </w:r>
    </w:p>
    <w:p w:rsidR="008F5093" w:rsidRPr="0022436D" w:rsidRDefault="008F5093" w:rsidP="000765A7">
      <w:pPr>
        <w:overflowPunct/>
        <w:autoSpaceDE/>
        <w:autoSpaceDN/>
        <w:adjustRightInd/>
        <w:spacing w:after="170" w:line="280" w:lineRule="atLeast"/>
        <w:ind w:left="1077"/>
        <w:textAlignment w:val="auto"/>
        <w:rPr>
          <w:i/>
        </w:rPr>
      </w:pPr>
      <w:r w:rsidRPr="0022436D">
        <w:rPr>
          <w:i/>
        </w:rPr>
        <w:t>Note: many cross-cutting topics under Thematic Track 1 may also be relevant here.</w:t>
      </w:r>
    </w:p>
    <w:p w:rsidR="008F5093" w:rsidRPr="008F0E68"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5</w:t>
      </w:r>
      <w:r>
        <w:rPr>
          <w:b/>
        </w:rPr>
        <w:t>:</w:t>
      </w:r>
      <w:r w:rsidRPr="008F0E68">
        <w:rPr>
          <w:b/>
        </w:rPr>
        <w:tab/>
        <w:t>KM for nuclear regulatory compliance</w:t>
      </w:r>
    </w:p>
    <w:p w:rsidR="009A08AD" w:rsidRPr="009A08AD" w:rsidRDefault="009A08AD" w:rsidP="009A08AD">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9A08AD">
        <w:t>Managing regulatory knowledge: regulatory competence models, assessment of needs</w:t>
      </w:r>
    </w:p>
    <w:p w:rsidR="009A08AD" w:rsidRPr="009A08AD" w:rsidRDefault="009A08AD" w:rsidP="009A08AD">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9A08AD">
        <w:t xml:space="preserve">KM for regulatory authorities and Technical Support Organizations </w:t>
      </w:r>
    </w:p>
    <w:p w:rsidR="009A08AD" w:rsidRPr="009A08AD" w:rsidRDefault="009A08AD" w:rsidP="009A08AD">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9A08AD">
        <w:t xml:space="preserve">Oversight of licensee knowledge programs </w:t>
      </w:r>
    </w:p>
    <w:p w:rsidR="009A08AD" w:rsidRPr="009A08AD" w:rsidRDefault="009A08AD" w:rsidP="009A08AD">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9A08AD">
        <w:t>Licensing competencies for the different phases of the facility life cycle</w:t>
      </w:r>
    </w:p>
    <w:p w:rsidR="009A08AD" w:rsidRPr="009A08AD" w:rsidRDefault="009A08AD" w:rsidP="009A08AD">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9A08AD">
        <w:t>Ensuring a competent workforce and retaining personnel in a competitive market</w:t>
      </w:r>
    </w:p>
    <w:p w:rsidR="009A08AD" w:rsidRDefault="009A08AD" w:rsidP="009A08AD">
      <w:pPr>
        <w:pStyle w:val="ListParagraph"/>
        <w:numPr>
          <w:ilvl w:val="0"/>
          <w:numId w:val="21"/>
        </w:numPr>
        <w:overflowPunct/>
        <w:autoSpaceDE/>
        <w:autoSpaceDN/>
        <w:adjustRightInd/>
        <w:spacing w:after="170" w:line="280" w:lineRule="atLeast"/>
        <w:ind w:left="1434" w:hanging="357"/>
        <w:contextualSpacing w:val="0"/>
        <w:jc w:val="both"/>
        <w:textAlignment w:val="auto"/>
        <w:rPr>
          <w:color w:val="000000"/>
          <w:lang w:eastAsia="en-GB"/>
        </w:rPr>
      </w:pPr>
      <w:r w:rsidRPr="009A08AD">
        <w:t>KM</w:t>
      </w:r>
      <w:r>
        <w:rPr>
          <w:color w:val="000000"/>
          <w:lang w:eastAsia="en-GB"/>
        </w:rPr>
        <w:t xml:space="preserve"> issues in safety assessment and periodic safety reviews</w:t>
      </w:r>
    </w:p>
    <w:p w:rsidR="008F5093" w:rsidRPr="0022436D" w:rsidRDefault="008F5093" w:rsidP="009A08AD">
      <w:pPr>
        <w:overflowPunct/>
        <w:autoSpaceDE/>
        <w:autoSpaceDN/>
        <w:adjustRightInd/>
        <w:spacing w:after="170" w:line="280" w:lineRule="atLeast"/>
        <w:ind w:firstLine="357"/>
        <w:textAlignment w:val="auto"/>
        <w:rPr>
          <w:i/>
        </w:rPr>
      </w:pPr>
      <w:r w:rsidRPr="0022436D">
        <w:rPr>
          <w:i/>
        </w:rPr>
        <w:t>Note: many cross-cutting topics under Thematic Track 1 may also be relevant here.</w:t>
      </w:r>
    </w:p>
    <w:p w:rsidR="008F5093" w:rsidRPr="008F0E68"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6</w:t>
      </w:r>
      <w:r>
        <w:rPr>
          <w:b/>
        </w:rPr>
        <w:t>:</w:t>
      </w:r>
      <w:r w:rsidRPr="008F0E68">
        <w:rPr>
          <w:b/>
        </w:rPr>
        <w:tab/>
        <w:t xml:space="preserve">KM for non-power </w:t>
      </w:r>
      <w:r>
        <w:rPr>
          <w:b/>
        </w:rPr>
        <w:t xml:space="preserve">nuclear science and </w:t>
      </w:r>
      <w:r w:rsidRPr="008F0E68">
        <w:rPr>
          <w:b/>
        </w:rPr>
        <w:t>applications</w:t>
      </w:r>
    </w:p>
    <w:p w:rsidR="008F5093" w:rsidRPr="00E96964"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KM in food and agriculture applications</w:t>
      </w:r>
    </w:p>
    <w:p w:rsidR="008F5093" w:rsidRPr="0022436D"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KM in human health applications</w:t>
      </w:r>
    </w:p>
    <w:p w:rsidR="008F5093" w:rsidRPr="0022436D"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KM in environment applications</w:t>
      </w:r>
    </w:p>
    <w:p w:rsidR="008F5093" w:rsidRPr="0022436D"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KM in water resources applications</w:t>
      </w:r>
    </w:p>
    <w:p w:rsidR="008F5093" w:rsidRPr="0022436D"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KM in radioisotope production and radiation technology applications</w:t>
      </w:r>
    </w:p>
    <w:p w:rsidR="008F5093"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22436D">
        <w:t>KM in nuclear science</w:t>
      </w:r>
    </w:p>
    <w:p w:rsidR="00D9010C" w:rsidRPr="0022436D" w:rsidRDefault="00D9010C"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D9010C">
        <w:t>Role of research reactors in knowledge development for non-power nuclear science and applications</w:t>
      </w:r>
    </w:p>
    <w:p w:rsidR="008F5093" w:rsidRPr="0022436D" w:rsidRDefault="008F5093" w:rsidP="000765A7">
      <w:pPr>
        <w:overflowPunct/>
        <w:autoSpaceDE/>
        <w:autoSpaceDN/>
        <w:adjustRightInd/>
        <w:spacing w:after="170" w:line="280" w:lineRule="atLeast"/>
        <w:ind w:left="1077"/>
        <w:textAlignment w:val="auto"/>
        <w:rPr>
          <w:i/>
        </w:rPr>
      </w:pPr>
      <w:r w:rsidRPr="0022436D">
        <w:rPr>
          <w:i/>
        </w:rPr>
        <w:t>Note: many cross-cutting topics under Thematic Track 1 may also be relevant here.</w:t>
      </w:r>
    </w:p>
    <w:p w:rsidR="008F5093" w:rsidRPr="008F0E68" w:rsidRDefault="008F5093" w:rsidP="000765A7">
      <w:pPr>
        <w:keepNext/>
        <w:keepLines/>
        <w:tabs>
          <w:tab w:val="left" w:pos="2552"/>
        </w:tabs>
        <w:overflowPunct/>
        <w:autoSpaceDE/>
        <w:autoSpaceDN/>
        <w:adjustRightInd/>
        <w:spacing w:before="360" w:after="120" w:line="276" w:lineRule="auto"/>
        <w:ind w:left="357"/>
        <w:textAlignment w:val="auto"/>
        <w:rPr>
          <w:b/>
        </w:rPr>
      </w:pPr>
      <w:r w:rsidRPr="008F0E68">
        <w:rPr>
          <w:b/>
        </w:rPr>
        <w:t>Thematic Track 7</w:t>
      </w:r>
      <w:r>
        <w:rPr>
          <w:b/>
        </w:rPr>
        <w:t>:</w:t>
      </w:r>
      <w:r w:rsidRPr="008F0E68">
        <w:rPr>
          <w:b/>
        </w:rPr>
        <w:tab/>
        <w:t>KM in nuclear technology</w:t>
      </w:r>
      <w:r w:rsidRPr="008F0E68" w:rsidDel="00E96964">
        <w:rPr>
          <w:b/>
        </w:rPr>
        <w:t xml:space="preserve"> </w:t>
      </w:r>
      <w:r>
        <w:rPr>
          <w:b/>
        </w:rPr>
        <w:t xml:space="preserve">research, development </w:t>
      </w:r>
      <w:r w:rsidRPr="008F0E68">
        <w:rPr>
          <w:b/>
        </w:rPr>
        <w:t>and innovation</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 xml:space="preserve">Intellectual property management </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 xml:space="preserve">Managing the innovation </w:t>
      </w:r>
      <w:r>
        <w:t xml:space="preserve">and commercialization </w:t>
      </w:r>
      <w:r w:rsidRPr="008F0E68">
        <w:t xml:space="preserve">process for new technological systems </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Methodologies for predictive modelling and forecasting future benefits of R&amp;D and innovation</w:t>
      </w:r>
    </w:p>
    <w:p w:rsidR="005C6432" w:rsidRDefault="005C6432"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5C6432">
        <w:t xml:space="preserve">Managing knowledge in non-electrical applications </w:t>
      </w:r>
      <w:r>
        <w:t>of nuclear power</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t>R&amp;D k</w:t>
      </w:r>
      <w:r w:rsidRPr="008F0E68">
        <w:t>nowledge acquisition and transfer from other sectors</w:t>
      </w:r>
    </w:p>
    <w:p w:rsidR="008F5093"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Managing knowledge in</w:t>
      </w:r>
      <w:r>
        <w:t>/for</w:t>
      </w:r>
      <w:r w:rsidRPr="008F0E68">
        <w:t xml:space="preserve"> global R&amp;D initiatives </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lastRenderedPageBreak/>
        <w:t xml:space="preserve">Managing knowledge </w:t>
      </w:r>
      <w:r>
        <w:t xml:space="preserve">verification and </w:t>
      </w:r>
      <w:r w:rsidRPr="008F0E68">
        <w:t>validation processes in R&amp;D</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 xml:space="preserve">Managing the integration of new </w:t>
      </w:r>
      <w:r>
        <w:t>innovations</w:t>
      </w:r>
      <w:r w:rsidRPr="008F0E68">
        <w:t xml:space="preserve"> and technologies into existing </w:t>
      </w:r>
      <w:r>
        <w:t>technology systems</w:t>
      </w:r>
      <w:r w:rsidRPr="008F0E68">
        <w:t xml:space="preserve"> (incremental innovation</w:t>
      </w:r>
      <w:r w:rsidR="005C6432">
        <w:t>)</w:t>
      </w:r>
    </w:p>
    <w:p w:rsidR="008F5093" w:rsidRPr="008F0E68" w:rsidRDefault="008F5093" w:rsidP="009A08AD">
      <w:pPr>
        <w:keepNext/>
        <w:keepLines/>
        <w:tabs>
          <w:tab w:val="left" w:pos="2552"/>
        </w:tabs>
        <w:overflowPunct/>
        <w:autoSpaceDE/>
        <w:autoSpaceDN/>
        <w:adjustRightInd/>
        <w:spacing w:before="360" w:after="120" w:line="276" w:lineRule="auto"/>
        <w:ind w:left="1701" w:hanging="1344"/>
        <w:textAlignment w:val="auto"/>
        <w:rPr>
          <w:b/>
        </w:rPr>
      </w:pPr>
      <w:r w:rsidRPr="008F0E68">
        <w:rPr>
          <w:b/>
        </w:rPr>
        <w:t>Thematic Track 8</w:t>
      </w:r>
      <w:r>
        <w:rPr>
          <w:b/>
        </w:rPr>
        <w:t>:</w:t>
      </w:r>
      <w:r w:rsidRPr="008F0E68">
        <w:rPr>
          <w:b/>
        </w:rPr>
        <w:tab/>
      </w:r>
      <w:r>
        <w:rPr>
          <w:b/>
        </w:rPr>
        <w:t>Issues and approaches</w:t>
      </w:r>
      <w:r w:rsidRPr="008F0E68">
        <w:rPr>
          <w:b/>
        </w:rPr>
        <w:t xml:space="preserve"> for information and records</w:t>
      </w:r>
      <w:r w:rsidR="009A08AD">
        <w:rPr>
          <w:b/>
        </w:rPr>
        <w:t xml:space="preserve"> and data</w:t>
      </w:r>
      <w:r w:rsidRPr="008F0E68">
        <w:rPr>
          <w:b/>
        </w:rPr>
        <w:t xml:space="preserve"> </w:t>
      </w:r>
      <w:r w:rsidR="009A08AD">
        <w:rPr>
          <w:b/>
        </w:rPr>
        <w:tab/>
      </w:r>
      <w:r w:rsidRPr="008F0E68">
        <w:rPr>
          <w:b/>
        </w:rPr>
        <w:t>management</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Knowledge organization systems, managing information archives, glossaries and repositories</w:t>
      </w:r>
      <w:r w:rsidR="00FB4C11">
        <w:t>,</w:t>
      </w:r>
      <w:r w:rsidRPr="008F0E68">
        <w:t xml:space="preserve"> data</w:t>
      </w:r>
      <w:r w:rsidR="002C1B48">
        <w:t xml:space="preserve"> </w:t>
      </w:r>
      <w:r w:rsidRPr="008F0E68">
        <w:t xml:space="preserve">mining, managing unstructured data </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Content management</w:t>
      </w:r>
      <w:r>
        <w:t xml:space="preserve"> and semantic search technologies</w:t>
      </w:r>
    </w:p>
    <w:p w:rsidR="008F5093" w:rsidRPr="008173C5"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173C5">
        <w:t xml:space="preserve">Metadata, </w:t>
      </w:r>
      <w:r w:rsidR="008173C5" w:rsidRPr="008173C5">
        <w:t>thesaur</w:t>
      </w:r>
      <w:r w:rsidR="008173C5" w:rsidRPr="00FB4C11">
        <w:t>i</w:t>
      </w:r>
      <w:r w:rsidRPr="008173C5">
        <w:t xml:space="preserve">, </w:t>
      </w:r>
      <w:r w:rsidR="008173C5" w:rsidRPr="008173C5">
        <w:t>ontolog</w:t>
      </w:r>
      <w:r w:rsidR="008173C5" w:rsidRPr="00FB4C11">
        <w:t>ies</w:t>
      </w:r>
      <w:r w:rsidRPr="008173C5">
        <w:t xml:space="preserve">, </w:t>
      </w:r>
      <w:r w:rsidR="008173C5" w:rsidRPr="008173C5">
        <w:t>taxonom</w:t>
      </w:r>
      <w:r w:rsidR="008173C5" w:rsidRPr="00FB4C11">
        <w:t>ies</w:t>
      </w:r>
      <w:r w:rsidRPr="008173C5">
        <w:t>, knowledge mapping and graphs</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 xml:space="preserve">Information services and discovery </w:t>
      </w:r>
    </w:p>
    <w:p w:rsidR="008F5093" w:rsidRPr="008F0E68"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Information dissemination</w:t>
      </w:r>
    </w:p>
    <w:p w:rsidR="008F5093" w:rsidRDefault="008F5093"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8F0E68">
        <w:t>Open source and data interchange standards</w:t>
      </w:r>
    </w:p>
    <w:p w:rsidR="00B67169" w:rsidRPr="009A08AD" w:rsidRDefault="00B67169" w:rsidP="000765A7">
      <w:pPr>
        <w:pStyle w:val="ListParagraph"/>
        <w:numPr>
          <w:ilvl w:val="0"/>
          <w:numId w:val="21"/>
        </w:numPr>
        <w:overflowPunct/>
        <w:autoSpaceDE/>
        <w:autoSpaceDN/>
        <w:adjustRightInd/>
        <w:spacing w:after="170" w:line="280" w:lineRule="atLeast"/>
        <w:ind w:left="1434" w:hanging="357"/>
        <w:contextualSpacing w:val="0"/>
        <w:jc w:val="both"/>
        <w:textAlignment w:val="auto"/>
      </w:pPr>
      <w:r w:rsidRPr="009A08AD">
        <w:t>Nuclear data, integral experiments and computer-code repositories and preservation initiatives</w:t>
      </w:r>
    </w:p>
    <w:p w:rsidR="008F5093" w:rsidRPr="00754BFB" w:rsidRDefault="008F5093" w:rsidP="002C1B48">
      <w:pPr>
        <w:tabs>
          <w:tab w:val="left" w:pos="709"/>
          <w:tab w:val="left" w:pos="2835"/>
        </w:tabs>
        <w:spacing w:after="170" w:line="280" w:lineRule="atLeast"/>
        <w:jc w:val="both"/>
      </w:pPr>
      <w:r>
        <w:t>C</w:t>
      </w:r>
      <w:r w:rsidRPr="008F0E68">
        <w:t>ontribution</w:t>
      </w:r>
      <w:r>
        <w:t>s are welcome</w:t>
      </w:r>
      <w:r w:rsidRPr="008F0E68">
        <w:t xml:space="preserve"> from other sectors, such as</w:t>
      </w:r>
      <w:r>
        <w:t xml:space="preserve"> (for example)</w:t>
      </w:r>
      <w:r w:rsidRPr="008F0E68">
        <w:t xml:space="preserve"> the </w:t>
      </w:r>
      <w:r>
        <w:t>automotive, aviation</w:t>
      </w:r>
      <w:r w:rsidRPr="008F0E68">
        <w:t xml:space="preserve"> and space industries, the oil </w:t>
      </w:r>
      <w:r w:rsidR="000524F7">
        <w:t>and</w:t>
      </w:r>
      <w:r w:rsidR="000524F7" w:rsidRPr="008F0E68">
        <w:t xml:space="preserve"> </w:t>
      </w:r>
      <w:r w:rsidRPr="008F0E68">
        <w:t>gas industry</w:t>
      </w:r>
      <w:r w:rsidR="000524F7">
        <w:t>,</w:t>
      </w:r>
      <w:r w:rsidRPr="008F0E68">
        <w:t xml:space="preserve"> and the pharmaceutical sector, which are advanced in KM and </w:t>
      </w:r>
      <w:r w:rsidR="000524F7">
        <w:t>w</w:t>
      </w:r>
      <w:r w:rsidR="000524F7" w:rsidRPr="008F0E68">
        <w:t xml:space="preserve">ould </w:t>
      </w:r>
      <w:r w:rsidR="000524F7">
        <w:t xml:space="preserve">be in a position to </w:t>
      </w:r>
      <w:r w:rsidRPr="008F0E68">
        <w:t>shar</w:t>
      </w:r>
      <w:r w:rsidRPr="00754BFB">
        <w:t>e experience</w:t>
      </w:r>
      <w:r w:rsidR="000524F7">
        <w:t>s</w:t>
      </w:r>
      <w:r w:rsidRPr="00754BFB">
        <w:t xml:space="preserve"> relevant to the nuclear sector.</w:t>
      </w:r>
    </w:p>
    <w:p w:rsidR="00165141" w:rsidRPr="000765A7" w:rsidRDefault="008F5093" w:rsidP="000765A7">
      <w:pPr>
        <w:overflowPunct/>
        <w:autoSpaceDE/>
        <w:autoSpaceDN/>
        <w:adjustRightInd/>
        <w:spacing w:after="170" w:line="280" w:lineRule="atLeast"/>
        <w:jc w:val="both"/>
        <w:textAlignment w:val="auto"/>
      </w:pPr>
      <w:r w:rsidRPr="005C6432">
        <w:t xml:space="preserve">The conference is a multidisciplinary event drawing from a strong collaborative effort </w:t>
      </w:r>
      <w:r w:rsidR="000524F7">
        <w:t>by</w:t>
      </w:r>
      <w:r w:rsidR="000524F7" w:rsidRPr="005C6432">
        <w:t xml:space="preserve"> </w:t>
      </w:r>
      <w:r w:rsidRPr="005C6432">
        <w:t xml:space="preserve">several </w:t>
      </w:r>
      <w:r w:rsidR="000524F7">
        <w:t>S</w:t>
      </w:r>
      <w:r w:rsidR="000524F7" w:rsidRPr="005C6432">
        <w:t>ections</w:t>
      </w:r>
      <w:r w:rsidR="001E6A14">
        <w:t>, Divisions</w:t>
      </w:r>
      <w:r w:rsidR="000524F7" w:rsidRPr="005C6432">
        <w:t xml:space="preserve"> </w:t>
      </w:r>
      <w:r w:rsidRPr="005C6432">
        <w:t xml:space="preserve">and </w:t>
      </w:r>
      <w:r w:rsidR="000524F7">
        <w:t>D</w:t>
      </w:r>
      <w:r w:rsidR="000524F7" w:rsidRPr="005C6432">
        <w:t xml:space="preserve">epartments </w:t>
      </w:r>
      <w:r w:rsidRPr="005C6432">
        <w:t xml:space="preserve">of the </w:t>
      </w:r>
      <w:r w:rsidR="002C1B48">
        <w:t>IAEA</w:t>
      </w:r>
      <w:r w:rsidRPr="005C6432">
        <w:t>.</w:t>
      </w:r>
    </w:p>
    <w:p w:rsidR="00BD2C37" w:rsidRDefault="00BD2C37" w:rsidP="00165141">
      <w:pPr>
        <w:pStyle w:val="Heading1"/>
        <w:numPr>
          <w:ilvl w:val="0"/>
          <w:numId w:val="7"/>
        </w:numPr>
        <w:spacing w:before="600"/>
        <w:ind w:left="0" w:firstLine="0"/>
      </w:pPr>
      <w:r w:rsidRPr="00BD2C37">
        <w:t xml:space="preserve">Expected </w:t>
      </w:r>
      <w:r w:rsidR="00054917">
        <w:t>Outcomes</w:t>
      </w:r>
    </w:p>
    <w:p w:rsidR="00B74B29" w:rsidRPr="002700D1" w:rsidRDefault="00640A84" w:rsidP="006E67B4">
      <w:pPr>
        <w:tabs>
          <w:tab w:val="num" w:pos="1289"/>
        </w:tabs>
        <w:spacing w:after="170" w:line="280" w:lineRule="auto"/>
        <w:jc w:val="both"/>
      </w:pPr>
      <w:r w:rsidRPr="002700D1">
        <w:t xml:space="preserve">The conference will directly support the IAEA’s </w:t>
      </w:r>
      <w:r w:rsidR="00B74B29" w:rsidRPr="002700D1">
        <w:t xml:space="preserve">core mandate to </w:t>
      </w:r>
      <w:r w:rsidR="005E6455" w:rsidRPr="002700D1">
        <w:t xml:space="preserve">assist </w:t>
      </w:r>
      <w:r w:rsidRPr="002700D1">
        <w:t xml:space="preserve">Member States </w:t>
      </w:r>
      <w:r w:rsidR="00B74B29" w:rsidRPr="002700D1">
        <w:t xml:space="preserve">in the </w:t>
      </w:r>
      <w:r w:rsidR="00700F89">
        <w:t xml:space="preserve">peaceful and safe application of </w:t>
      </w:r>
      <w:r w:rsidR="00FD6C75" w:rsidRPr="002700D1">
        <w:t xml:space="preserve">nuclear </w:t>
      </w:r>
      <w:r w:rsidR="00700F89">
        <w:t>technologies</w:t>
      </w:r>
      <w:r w:rsidR="008F2E07">
        <w:t xml:space="preserve">, </w:t>
      </w:r>
      <w:r w:rsidR="008F2E07" w:rsidRPr="008F2E07">
        <w:t>contributin</w:t>
      </w:r>
      <w:r w:rsidR="008F2E07">
        <w:t xml:space="preserve">g to their </w:t>
      </w:r>
      <w:r w:rsidR="008F2E07" w:rsidRPr="008173C5">
        <w:t>socioeconomic</w:t>
      </w:r>
      <w:r w:rsidR="008F2E07">
        <w:t xml:space="preserve"> development</w:t>
      </w:r>
      <w:r w:rsidR="00B74B29" w:rsidRPr="002700D1">
        <w:t>.</w:t>
      </w:r>
    </w:p>
    <w:p w:rsidR="00640A84" w:rsidRPr="002700D1" w:rsidRDefault="00B74B29" w:rsidP="00165141">
      <w:pPr>
        <w:tabs>
          <w:tab w:val="num" w:pos="1289"/>
        </w:tabs>
        <w:spacing w:after="170" w:line="281" w:lineRule="auto"/>
        <w:jc w:val="both"/>
      </w:pPr>
      <w:r w:rsidRPr="002700D1">
        <w:t>The conference will</w:t>
      </w:r>
      <w:r w:rsidR="00640A84" w:rsidRPr="002700D1">
        <w:t xml:space="preserve"> identify key </w:t>
      </w:r>
      <w:r w:rsidR="00700F89">
        <w:t xml:space="preserve">KM </w:t>
      </w:r>
      <w:r w:rsidR="00640A84" w:rsidRPr="002700D1">
        <w:t xml:space="preserve">challenges, </w:t>
      </w:r>
      <w:r w:rsidRPr="002700D1">
        <w:t>raise awareness</w:t>
      </w:r>
      <w:r w:rsidR="00700F89">
        <w:t xml:space="preserve"> and</w:t>
      </w:r>
      <w:r w:rsidRPr="002700D1">
        <w:t xml:space="preserve"> improve </w:t>
      </w:r>
      <w:r w:rsidR="00640A84" w:rsidRPr="002700D1">
        <w:t xml:space="preserve">understanding of </w:t>
      </w:r>
      <w:r w:rsidR="00700F89">
        <w:t xml:space="preserve">the </w:t>
      </w:r>
      <w:r w:rsidR="00640A84" w:rsidRPr="002700D1">
        <w:t>issues</w:t>
      </w:r>
      <w:r w:rsidR="00700F89">
        <w:t>, priorities</w:t>
      </w:r>
      <w:r w:rsidRPr="002700D1">
        <w:t xml:space="preserve"> and </w:t>
      </w:r>
      <w:r w:rsidR="00640A84" w:rsidRPr="002700D1">
        <w:t>solutions</w:t>
      </w:r>
      <w:r w:rsidR="00E6504C" w:rsidRPr="002700D1">
        <w:t xml:space="preserve"> </w:t>
      </w:r>
      <w:r w:rsidR="00700F89">
        <w:t>related to</w:t>
      </w:r>
      <w:r w:rsidR="00700F89" w:rsidRPr="002700D1">
        <w:t xml:space="preserve"> </w:t>
      </w:r>
      <w:r w:rsidR="00FD6C75" w:rsidRPr="002700D1">
        <w:t xml:space="preserve">nuclear </w:t>
      </w:r>
      <w:r w:rsidR="00E6504C" w:rsidRPr="002700D1">
        <w:t>KM</w:t>
      </w:r>
      <w:r w:rsidRPr="002700D1">
        <w:t>.</w:t>
      </w:r>
      <w:r w:rsidR="00640A84" w:rsidRPr="002700D1">
        <w:t xml:space="preserve"> </w:t>
      </w:r>
      <w:r w:rsidRPr="002700D1">
        <w:t>It will also</w:t>
      </w:r>
      <w:r w:rsidR="00700F89">
        <w:t xml:space="preserve"> help</w:t>
      </w:r>
      <w:r w:rsidRPr="002700D1">
        <w:t xml:space="preserve"> </w:t>
      </w:r>
      <w:r w:rsidR="00640A84" w:rsidRPr="002700D1">
        <w:t xml:space="preserve">build and strengthen </w:t>
      </w:r>
      <w:r w:rsidR="000524F7">
        <w:t xml:space="preserve">the </w:t>
      </w:r>
      <w:r w:rsidR="00700F89">
        <w:t xml:space="preserve">competencies of </w:t>
      </w:r>
      <w:r w:rsidR="00932DC7">
        <w:t>individuals and organiz</w:t>
      </w:r>
      <w:r w:rsidR="00640A84" w:rsidRPr="002700D1">
        <w:t>ations</w:t>
      </w:r>
      <w:r w:rsidR="00700F89">
        <w:t xml:space="preserve"> in the implementation of KM initiatives</w:t>
      </w:r>
      <w:r w:rsidR="00D55685">
        <w:t xml:space="preserve"> and practices</w:t>
      </w:r>
      <w:r w:rsidR="00700F89">
        <w:t xml:space="preserve"> within Member States</w:t>
      </w:r>
      <w:r w:rsidR="00640A84" w:rsidRPr="002700D1">
        <w:t>.</w:t>
      </w:r>
    </w:p>
    <w:p w:rsidR="00CA5882" w:rsidRPr="00B74C63" w:rsidRDefault="00F46D3C" w:rsidP="006E67B4">
      <w:pPr>
        <w:pStyle w:val="Heading1"/>
        <w:numPr>
          <w:ilvl w:val="0"/>
          <w:numId w:val="7"/>
        </w:numPr>
        <w:spacing w:before="600"/>
        <w:ind w:left="0" w:firstLine="0"/>
      </w:pPr>
      <w:r w:rsidRPr="002700D1">
        <w:t>Papers</w:t>
      </w:r>
      <w:r w:rsidR="000524F7">
        <w:t xml:space="preserve"> and</w:t>
      </w:r>
      <w:r w:rsidR="000524F7" w:rsidRPr="002700D1">
        <w:t xml:space="preserve"> </w:t>
      </w:r>
      <w:r w:rsidR="007A12C6" w:rsidRPr="002700D1">
        <w:t>Poster</w:t>
      </w:r>
      <w:r w:rsidR="007A12C6" w:rsidRPr="00322985">
        <w:t xml:space="preserve"> </w:t>
      </w:r>
      <w:r w:rsidR="006D57B9" w:rsidRPr="00322985">
        <w:t>Presentations</w:t>
      </w:r>
    </w:p>
    <w:p w:rsidR="00CF5174" w:rsidRPr="00B74C63" w:rsidRDefault="00CF5174" w:rsidP="006D6DBC">
      <w:pPr>
        <w:pStyle w:val="BodyText"/>
      </w:pPr>
      <w:r w:rsidRPr="00B74C63">
        <w:t xml:space="preserve">All papers — other than invited </w:t>
      </w:r>
      <w:r w:rsidR="006D6DBC" w:rsidRPr="00B74C63">
        <w:t>keynote</w:t>
      </w:r>
      <w:r w:rsidRPr="00B74C63">
        <w:t xml:space="preserve"> papers — must present original work and must not have been</w:t>
      </w:r>
      <w:r w:rsidR="006D6DBC" w:rsidRPr="00B74C63">
        <w:t xml:space="preserve"> </w:t>
      </w:r>
      <w:r w:rsidRPr="00B74C63">
        <w:t>published elsewhere</w:t>
      </w:r>
      <w:r w:rsidR="0068772C" w:rsidRPr="00B74C63">
        <w:t>.</w:t>
      </w:r>
    </w:p>
    <w:p w:rsidR="009B0E9A" w:rsidRPr="00B74C63" w:rsidRDefault="00CF5174" w:rsidP="000765A7">
      <w:pPr>
        <w:pStyle w:val="BodyText"/>
        <w:keepNext/>
        <w:keepLines/>
        <w:spacing w:after="120"/>
      </w:pPr>
      <w:r w:rsidRPr="00B74C63">
        <w:lastRenderedPageBreak/>
        <w:t xml:space="preserve">Persons who wish to </w:t>
      </w:r>
      <w:r w:rsidR="000524F7">
        <w:t xml:space="preserve">give </w:t>
      </w:r>
      <w:r w:rsidRPr="00B74C63">
        <w:t>present</w:t>
      </w:r>
      <w:r w:rsidR="000524F7">
        <w:t>ations</w:t>
      </w:r>
      <w:r w:rsidRPr="00B74C63">
        <w:t xml:space="preserve"> </w:t>
      </w:r>
      <w:r w:rsidR="00317587" w:rsidRPr="00B74C63">
        <w:t xml:space="preserve">(oral </w:t>
      </w:r>
      <w:r w:rsidR="00FB26BA" w:rsidRPr="00B74C63">
        <w:t xml:space="preserve">presentations </w:t>
      </w:r>
      <w:r w:rsidR="00317587" w:rsidRPr="00B74C63">
        <w:t>or interactive</w:t>
      </w:r>
      <w:r w:rsidRPr="00B74C63">
        <w:t xml:space="preserve"> poster</w:t>
      </w:r>
      <w:r w:rsidR="00317587" w:rsidRPr="00B74C63">
        <w:t xml:space="preserve"> presentations)</w:t>
      </w:r>
      <w:r w:rsidRPr="00B74C63">
        <w:t xml:space="preserve"> at the conference must </w:t>
      </w:r>
      <w:r w:rsidRPr="008173C5">
        <w:t>submit a</w:t>
      </w:r>
      <w:r w:rsidR="00E6504C" w:rsidRPr="008173C5">
        <w:t xml:space="preserve"> contributed</w:t>
      </w:r>
      <w:r w:rsidRPr="008173C5">
        <w:t xml:space="preserve"> </w:t>
      </w:r>
      <w:r w:rsidR="00E6504C" w:rsidRPr="008173C5">
        <w:t>paper</w:t>
      </w:r>
      <w:r w:rsidR="00E6504C" w:rsidRPr="00B74C63">
        <w:t xml:space="preserve"> on </w:t>
      </w:r>
      <w:r w:rsidRPr="00B74C63">
        <w:t xml:space="preserve">one of the </w:t>
      </w:r>
      <w:r w:rsidR="00D55685" w:rsidRPr="00B74C63">
        <w:t xml:space="preserve">thematic </w:t>
      </w:r>
      <w:r w:rsidRPr="00B74C63">
        <w:t xml:space="preserve">topics </w:t>
      </w:r>
      <w:r w:rsidR="000524F7">
        <w:t>listed</w:t>
      </w:r>
      <w:r w:rsidR="000524F7" w:rsidRPr="00B74C63">
        <w:t xml:space="preserve"> </w:t>
      </w:r>
      <w:r w:rsidRPr="00B74C63">
        <w:t xml:space="preserve">under Section </w:t>
      </w:r>
      <w:r w:rsidR="003C5BCE" w:rsidRPr="00B74C63">
        <w:t>D</w:t>
      </w:r>
      <w:r w:rsidRPr="00B74C63">
        <w:t xml:space="preserve">. The </w:t>
      </w:r>
      <w:r w:rsidR="00E6504C" w:rsidRPr="00B74C63">
        <w:t xml:space="preserve">paper could </w:t>
      </w:r>
      <w:r w:rsidR="00552A51" w:rsidRPr="00B74C63">
        <w:t>be in</w:t>
      </w:r>
      <w:r w:rsidR="009B0E9A" w:rsidRPr="00B74C63">
        <w:t xml:space="preserve"> one of the following two </w:t>
      </w:r>
      <w:r w:rsidR="00E6504C" w:rsidRPr="00B74C63">
        <w:t>form</w:t>
      </w:r>
      <w:r w:rsidR="00552A51" w:rsidRPr="00B74C63">
        <w:t>at</w:t>
      </w:r>
      <w:r w:rsidR="009B0E9A" w:rsidRPr="00B74C63">
        <w:t>s:</w:t>
      </w:r>
      <w:r w:rsidR="00E6504C" w:rsidRPr="00B74C63">
        <w:t xml:space="preserve"> </w:t>
      </w:r>
    </w:p>
    <w:p w:rsidR="009B0E9A" w:rsidRPr="00B74C63" w:rsidRDefault="006E67B4" w:rsidP="000765A7">
      <w:pPr>
        <w:pStyle w:val="BodyText"/>
        <w:keepNext/>
        <w:keepLines/>
        <w:numPr>
          <w:ilvl w:val="0"/>
          <w:numId w:val="24"/>
        </w:numPr>
        <w:ind w:left="714" w:hanging="357"/>
      </w:pPr>
      <w:r>
        <w:t>T</w:t>
      </w:r>
      <w:r w:rsidR="00E6504C" w:rsidRPr="00B74C63">
        <w:t>echnical brief</w:t>
      </w:r>
      <w:r w:rsidR="000524F7">
        <w:t>;</w:t>
      </w:r>
      <w:r w:rsidR="00037D37">
        <w:t xml:space="preserve"> or</w:t>
      </w:r>
    </w:p>
    <w:p w:rsidR="009B0E9A" w:rsidRPr="00B74C63" w:rsidRDefault="006E67B4" w:rsidP="000765A7">
      <w:pPr>
        <w:pStyle w:val="BodyText"/>
        <w:keepNext/>
        <w:keepLines/>
        <w:numPr>
          <w:ilvl w:val="0"/>
          <w:numId w:val="24"/>
        </w:numPr>
        <w:ind w:left="714" w:hanging="357"/>
      </w:pPr>
      <w:r>
        <w:t>C</w:t>
      </w:r>
      <w:r w:rsidR="00E6504C" w:rsidRPr="00B74C63">
        <w:t>ase study</w:t>
      </w:r>
      <w:r w:rsidR="00F46D3C" w:rsidRPr="00B74C63">
        <w:t>.</w:t>
      </w:r>
    </w:p>
    <w:p w:rsidR="0014034F" w:rsidRPr="00B74C63" w:rsidRDefault="00F46D3C" w:rsidP="006E67B4">
      <w:pPr>
        <w:pStyle w:val="BodyText"/>
      </w:pPr>
      <w:r w:rsidRPr="00B74C63">
        <w:t>The latter format is recommended</w:t>
      </w:r>
      <w:r w:rsidR="009B0E9A" w:rsidRPr="00B74C63">
        <w:t>:</w:t>
      </w:r>
      <w:r w:rsidRPr="00B74C63">
        <w:t xml:space="preserve"> </w:t>
      </w:r>
      <w:r w:rsidR="009B0E9A" w:rsidRPr="00B74C63">
        <w:t>case stud</w:t>
      </w:r>
      <w:r w:rsidR="000524F7">
        <w:t>ies</w:t>
      </w:r>
      <w:r w:rsidRPr="00B74C63">
        <w:t xml:space="preserve"> </w:t>
      </w:r>
      <w:r w:rsidR="00D55685" w:rsidRPr="00B74C63">
        <w:t>sh</w:t>
      </w:r>
      <w:r w:rsidRPr="00B74C63">
        <w:t xml:space="preserve">ould illustrate concrete </w:t>
      </w:r>
      <w:r w:rsidR="00D55685" w:rsidRPr="00B74C63">
        <w:t>experience</w:t>
      </w:r>
      <w:r w:rsidR="000524F7">
        <w:t>s</w:t>
      </w:r>
      <w:r w:rsidR="00D55685" w:rsidRPr="00B74C63">
        <w:t xml:space="preserve"> or </w:t>
      </w:r>
      <w:r w:rsidRPr="00B74C63">
        <w:t xml:space="preserve">examples and </w:t>
      </w:r>
      <w:r w:rsidR="00D55685" w:rsidRPr="00B74C63">
        <w:t>sh</w:t>
      </w:r>
      <w:r w:rsidRPr="00B74C63">
        <w:t xml:space="preserve">ould follow </w:t>
      </w:r>
      <w:r w:rsidR="00D55685" w:rsidRPr="00B74C63">
        <w:t>the</w:t>
      </w:r>
      <w:r w:rsidRPr="00B74C63">
        <w:t xml:space="preserve"> template</w:t>
      </w:r>
      <w:r w:rsidR="00D60341" w:rsidRPr="00B74C63">
        <w:t xml:space="preserve"> provided</w:t>
      </w:r>
      <w:r w:rsidR="009B0E9A" w:rsidRPr="00B74C63">
        <w:t xml:space="preserve"> </w:t>
      </w:r>
      <w:r w:rsidR="000524F7">
        <w:t>on</w:t>
      </w:r>
      <w:r w:rsidR="000524F7" w:rsidRPr="00B74C63">
        <w:t xml:space="preserve"> </w:t>
      </w:r>
      <w:r w:rsidR="009B0E9A" w:rsidRPr="00B74C63">
        <w:t>the conference web</w:t>
      </w:r>
      <w:r w:rsidR="007D1F21">
        <w:t xml:space="preserve"> page</w:t>
      </w:r>
      <w:r w:rsidR="006E67B4">
        <w:t xml:space="preserve"> (see Section </w:t>
      </w:r>
      <w:r w:rsidR="006E67B4">
        <w:fldChar w:fldCharType="begin"/>
      </w:r>
      <w:r w:rsidR="006E67B4">
        <w:instrText xml:space="preserve"> REF _Ref389037002 \r \h </w:instrText>
      </w:r>
      <w:r w:rsidR="006E67B4">
        <w:fldChar w:fldCharType="separate"/>
      </w:r>
      <w:r w:rsidR="009D466E">
        <w:t>P</w:t>
      </w:r>
      <w:r w:rsidR="006E67B4">
        <w:fldChar w:fldCharType="end"/>
      </w:r>
      <w:r w:rsidR="006E67B4">
        <w:t xml:space="preserve"> below)</w:t>
      </w:r>
      <w:r w:rsidRPr="00B74C63">
        <w:t>.</w:t>
      </w:r>
      <w:r w:rsidR="003413C5" w:rsidRPr="00B74C63">
        <w:t xml:space="preserve"> </w:t>
      </w:r>
      <w:r w:rsidR="00004EB7">
        <w:t xml:space="preserve">Presented </w:t>
      </w:r>
      <w:r w:rsidR="00D55685" w:rsidRPr="00B74C63">
        <w:t>c</w:t>
      </w:r>
      <w:r w:rsidR="003413C5" w:rsidRPr="00B74C63">
        <w:t xml:space="preserve">ase studies </w:t>
      </w:r>
      <w:r w:rsidR="00D55685" w:rsidRPr="00B74C63">
        <w:t xml:space="preserve">will </w:t>
      </w:r>
      <w:r w:rsidR="003413C5" w:rsidRPr="00B74C63">
        <w:t>become part of an IAEA electronic</w:t>
      </w:r>
      <w:r w:rsidR="00D55685" w:rsidRPr="00B74C63">
        <w:t xml:space="preserve"> online</w:t>
      </w:r>
      <w:r w:rsidR="003413C5" w:rsidRPr="00B74C63">
        <w:t xml:space="preserve"> </w:t>
      </w:r>
      <w:r w:rsidR="00D55685" w:rsidRPr="00B74C63">
        <w:t>case</w:t>
      </w:r>
      <w:r w:rsidR="000524F7">
        <w:t xml:space="preserve"> </w:t>
      </w:r>
      <w:r w:rsidR="00D55685" w:rsidRPr="00B74C63">
        <w:t xml:space="preserve">study </w:t>
      </w:r>
      <w:r w:rsidR="003413C5" w:rsidRPr="00B74C63">
        <w:t>catalogue.</w:t>
      </w:r>
    </w:p>
    <w:p w:rsidR="00FB0516" w:rsidRPr="00820D69" w:rsidRDefault="00D55685" w:rsidP="00054917">
      <w:pPr>
        <w:pStyle w:val="BodyText"/>
      </w:pPr>
      <w:r w:rsidRPr="00B74C63">
        <w:t>S</w:t>
      </w:r>
      <w:r w:rsidR="00F46D3C" w:rsidRPr="00B74C63">
        <w:t xml:space="preserve">ubmissions </w:t>
      </w:r>
      <w:r w:rsidR="009B0E9A" w:rsidRPr="00B74C63">
        <w:t xml:space="preserve">of both technical briefs and case studies </w:t>
      </w:r>
      <w:r w:rsidR="00F46D3C" w:rsidRPr="00B74C63">
        <w:t>should not be longer than four pages</w:t>
      </w:r>
      <w:r w:rsidRPr="00B74C63">
        <w:t xml:space="preserve"> (</w:t>
      </w:r>
      <w:r w:rsidR="006B2AAC" w:rsidRPr="00B74C63">
        <w:t>five</w:t>
      </w:r>
      <w:r w:rsidR="0068772C" w:rsidRPr="00B74C63">
        <w:t xml:space="preserve"> pages maximum </w:t>
      </w:r>
      <w:r w:rsidR="000765A7">
        <w:t xml:space="preserve">including </w:t>
      </w:r>
      <w:r w:rsidRPr="00B74C63">
        <w:t>references)</w:t>
      </w:r>
      <w:r w:rsidR="00F46D3C" w:rsidRPr="00B74C63">
        <w:t xml:space="preserve">. </w:t>
      </w:r>
      <w:r w:rsidR="000524F7">
        <w:t>Each s</w:t>
      </w:r>
      <w:r w:rsidR="00F46D3C" w:rsidRPr="00B74C63">
        <w:t>ubmission</w:t>
      </w:r>
      <w:r w:rsidR="00CF5174" w:rsidRPr="00B74C63">
        <w:t xml:space="preserve"> should </w:t>
      </w:r>
      <w:r w:rsidR="000524F7">
        <w:t>provide</w:t>
      </w:r>
      <w:r w:rsidR="000524F7" w:rsidRPr="00B74C63">
        <w:t xml:space="preserve"> </w:t>
      </w:r>
      <w:r w:rsidR="00CF5174" w:rsidRPr="00B74C63">
        <w:t xml:space="preserve">enough information to enable the </w:t>
      </w:r>
      <w:r w:rsidR="007033B7" w:rsidRPr="00B74C63">
        <w:t xml:space="preserve">Programme </w:t>
      </w:r>
      <w:r w:rsidR="00054917" w:rsidRPr="00B74C63">
        <w:t>C</w:t>
      </w:r>
      <w:r w:rsidR="00CF5174" w:rsidRPr="00B74C63">
        <w:t>ommittee to evaluate it. Introductory and</w:t>
      </w:r>
      <w:r w:rsidR="006D6DBC" w:rsidRPr="00B74C63">
        <w:t xml:space="preserve"> </w:t>
      </w:r>
      <w:r w:rsidR="00CF5174" w:rsidRPr="00B74C63">
        <w:t>general matters should not be included.</w:t>
      </w:r>
      <w:r w:rsidR="006D6DBC" w:rsidRPr="00B74C63">
        <w:t xml:space="preserve"> </w:t>
      </w:r>
      <w:r w:rsidR="006B2AAC" w:rsidRPr="00B74C63">
        <w:t xml:space="preserve">Guidelines and requirements will be further specified on the conference </w:t>
      </w:r>
      <w:r w:rsidR="000524F7" w:rsidRPr="00B74C63">
        <w:t>web</w:t>
      </w:r>
      <w:r w:rsidR="000524F7">
        <w:t xml:space="preserve"> page</w:t>
      </w:r>
      <w:r w:rsidR="006B2AAC" w:rsidRPr="00820D69">
        <w:rPr>
          <w:color w:val="000000" w:themeColor="text1"/>
        </w:rPr>
        <w:t>.</w:t>
      </w:r>
    </w:p>
    <w:p w:rsidR="006D57B9" w:rsidRPr="001C2995" w:rsidRDefault="005560D6" w:rsidP="00B74C63">
      <w:pPr>
        <w:pStyle w:val="Heading2"/>
        <w:spacing w:before="400"/>
      </w:pPr>
      <w:r>
        <w:t>F</w:t>
      </w:r>
      <w:r w:rsidR="005D422E" w:rsidRPr="002D4185">
        <w:t>.</w:t>
      </w:r>
      <w:r w:rsidR="005D422E">
        <w:t>1</w:t>
      </w:r>
      <w:r w:rsidR="005D422E" w:rsidRPr="00322985">
        <w:tab/>
      </w:r>
      <w:r w:rsidR="00317587">
        <w:t>Submission</w:t>
      </w:r>
    </w:p>
    <w:p w:rsidR="0097283E" w:rsidRPr="007D1F21" w:rsidRDefault="0097283E" w:rsidP="00054917">
      <w:pPr>
        <w:pStyle w:val="BodyText"/>
        <w:rPr>
          <w:rFonts w:cs="Arial"/>
          <w:szCs w:val="22"/>
          <w:u w:val="single"/>
        </w:rPr>
      </w:pPr>
      <w:r w:rsidRPr="001C2995">
        <w:rPr>
          <w:szCs w:val="22"/>
        </w:rPr>
        <w:t xml:space="preserve">Anyone wishing to </w:t>
      </w:r>
      <w:r w:rsidR="000524F7">
        <w:rPr>
          <w:szCs w:val="22"/>
        </w:rPr>
        <w:t xml:space="preserve">give a </w:t>
      </w:r>
      <w:r w:rsidRPr="001C2995">
        <w:rPr>
          <w:szCs w:val="22"/>
        </w:rPr>
        <w:t>present</w:t>
      </w:r>
      <w:r w:rsidR="000524F7">
        <w:rPr>
          <w:szCs w:val="22"/>
        </w:rPr>
        <w:t>ation</w:t>
      </w:r>
      <w:r w:rsidRPr="001C2995">
        <w:rPr>
          <w:szCs w:val="22"/>
        </w:rPr>
        <w:t xml:space="preserve"> at the conference must </w:t>
      </w:r>
      <w:r w:rsidR="00AD62DB">
        <w:t>upload a paper to the conference web browser-based file submission system (IAEA-INDICO)</w:t>
      </w:r>
      <w:r w:rsidRPr="001C2995">
        <w:t xml:space="preserve">. Instructions on how to </w:t>
      </w:r>
      <w:r w:rsidR="0083408E">
        <w:t xml:space="preserve">format and </w:t>
      </w:r>
      <w:r w:rsidRPr="001C2995">
        <w:t xml:space="preserve">upload the </w:t>
      </w:r>
      <w:r w:rsidR="00B70A7F" w:rsidRPr="001C2995">
        <w:rPr>
          <w:bCs/>
          <w:szCs w:val="22"/>
        </w:rPr>
        <w:t xml:space="preserve">paper </w:t>
      </w:r>
      <w:r w:rsidRPr="001C2995">
        <w:t xml:space="preserve">will be available on the conference web </w:t>
      </w:r>
      <w:r w:rsidRPr="007D1F21">
        <w:t xml:space="preserve">page (see </w:t>
      </w:r>
      <w:r w:rsidR="00054917" w:rsidRPr="007D1F21">
        <w:t>Section</w:t>
      </w:r>
      <w:r w:rsidR="000765A7">
        <w:t xml:space="preserve"> </w:t>
      </w:r>
      <w:r w:rsidR="00054917" w:rsidRPr="007D1F21">
        <w:fldChar w:fldCharType="begin"/>
      </w:r>
      <w:r w:rsidR="00054917" w:rsidRPr="007D1F21">
        <w:instrText xml:space="preserve"> REF _Ref389037002 \r \h </w:instrText>
      </w:r>
      <w:r w:rsidR="008173C5" w:rsidRPr="00D91FEA">
        <w:instrText xml:space="preserve"> \* MERGEFORMAT </w:instrText>
      </w:r>
      <w:r w:rsidR="00054917" w:rsidRPr="007D1F21">
        <w:fldChar w:fldCharType="separate"/>
      </w:r>
      <w:r w:rsidR="009D466E">
        <w:t>P</w:t>
      </w:r>
      <w:r w:rsidR="00054917" w:rsidRPr="007D1F21">
        <w:fldChar w:fldCharType="end"/>
      </w:r>
      <w:r w:rsidRPr="007D1F21">
        <w:t>) as</w:t>
      </w:r>
      <w:r w:rsidRPr="001C2995">
        <w:t xml:space="preserve"> of </w:t>
      </w:r>
      <w:r w:rsidR="00C60FD1" w:rsidRPr="001C2995">
        <w:rPr>
          <w:b/>
        </w:rPr>
        <w:t>December 2015</w:t>
      </w:r>
      <w:r w:rsidRPr="001C2995">
        <w:t xml:space="preserve">. The </w:t>
      </w:r>
      <w:r w:rsidR="0083408E">
        <w:t xml:space="preserve">appropriately formatted </w:t>
      </w:r>
      <w:r w:rsidR="00B70A7F" w:rsidRPr="001C2995">
        <w:rPr>
          <w:bCs/>
          <w:szCs w:val="22"/>
        </w:rPr>
        <w:t xml:space="preserve">paper </w:t>
      </w:r>
      <w:r w:rsidRPr="001C2995">
        <w:rPr>
          <w:b/>
          <w:bCs/>
        </w:rPr>
        <w:t>must</w:t>
      </w:r>
      <w:r w:rsidRPr="001C2995">
        <w:t xml:space="preserve"> be submitted through this system by </w:t>
      </w:r>
      <w:r w:rsidR="00B70A7F" w:rsidRPr="001B305A">
        <w:rPr>
          <w:b/>
          <w:bCs/>
          <w:strike/>
        </w:rPr>
        <w:t>28</w:t>
      </w:r>
      <w:r w:rsidR="00C60FD1" w:rsidRPr="001B305A">
        <w:rPr>
          <w:b/>
          <w:bCs/>
          <w:strike/>
        </w:rPr>
        <w:t xml:space="preserve"> </w:t>
      </w:r>
      <w:r w:rsidR="00B70A7F" w:rsidRPr="001B305A">
        <w:rPr>
          <w:b/>
          <w:bCs/>
          <w:strike/>
        </w:rPr>
        <w:t>February</w:t>
      </w:r>
      <w:r w:rsidR="00C60FD1" w:rsidRPr="001B305A">
        <w:rPr>
          <w:b/>
          <w:bCs/>
          <w:strike/>
        </w:rPr>
        <w:t xml:space="preserve"> 2016</w:t>
      </w:r>
      <w:r w:rsidR="001B305A">
        <w:t xml:space="preserve"> </w:t>
      </w:r>
      <w:r w:rsidR="002F411E" w:rsidRPr="002F411E">
        <w:rPr>
          <w:b/>
        </w:rPr>
        <w:t>31</w:t>
      </w:r>
      <w:proofErr w:type="gramStart"/>
      <w:r w:rsidR="002F411E" w:rsidRPr="000746FF">
        <w:rPr>
          <w:strike/>
        </w:rPr>
        <w:t> </w:t>
      </w:r>
      <w:r w:rsidR="002F411E" w:rsidRPr="002F411E">
        <w:rPr>
          <w:b/>
        </w:rPr>
        <w:t xml:space="preserve"> March</w:t>
      </w:r>
      <w:proofErr w:type="gramEnd"/>
      <w:r w:rsidR="002F411E" w:rsidRPr="002F411E">
        <w:rPr>
          <w:b/>
        </w:rPr>
        <w:t xml:space="preserve"> </w:t>
      </w:r>
      <w:r w:rsidR="002F411E" w:rsidRPr="000746FF">
        <w:rPr>
          <w:strike/>
        </w:rPr>
        <w:t> </w:t>
      </w:r>
      <w:r w:rsidR="002F411E" w:rsidRPr="002F411E">
        <w:rPr>
          <w:b/>
        </w:rPr>
        <w:t>2016</w:t>
      </w:r>
      <w:r w:rsidR="001B305A">
        <w:rPr>
          <w:b/>
          <w:i/>
        </w:rPr>
        <w:t xml:space="preserve"> (deadline extension!)</w:t>
      </w:r>
      <w:r w:rsidRPr="001B305A">
        <w:rPr>
          <w:b/>
          <w:i/>
        </w:rPr>
        <w:t>.</w:t>
      </w:r>
      <w:r w:rsidRPr="001C2995">
        <w:t xml:space="preserve"> No other </w:t>
      </w:r>
      <w:r w:rsidR="000E1B4C" w:rsidRPr="001C2995">
        <w:t xml:space="preserve">form of </w:t>
      </w:r>
      <w:r w:rsidR="000E1B4C" w:rsidRPr="007D1F21">
        <w:t>submission</w:t>
      </w:r>
      <w:r w:rsidRPr="007D1F21">
        <w:t xml:space="preserve"> will be accepted.</w:t>
      </w:r>
    </w:p>
    <w:p w:rsidR="006D6DBC" w:rsidRPr="001C2995" w:rsidRDefault="006D6DBC" w:rsidP="00054917">
      <w:pPr>
        <w:pStyle w:val="BodyText"/>
        <w:tabs>
          <w:tab w:val="left" w:pos="709"/>
        </w:tabs>
      </w:pPr>
      <w:r w:rsidRPr="007D1F21">
        <w:t xml:space="preserve">In addition, authors must submit the following two forms to their appropriate governmental authority (see </w:t>
      </w:r>
      <w:r w:rsidR="00054917" w:rsidRPr="007D1F21">
        <w:t>S</w:t>
      </w:r>
      <w:r w:rsidRPr="007D1F21">
        <w:t>ection</w:t>
      </w:r>
      <w:r w:rsidR="00054917" w:rsidRPr="007D1F21">
        <w:t> </w:t>
      </w:r>
      <w:r w:rsidR="00054917" w:rsidRPr="007D1F21">
        <w:fldChar w:fldCharType="begin"/>
      </w:r>
      <w:r w:rsidR="00054917" w:rsidRPr="007D1F21">
        <w:instrText xml:space="preserve"> REF _Ref395692364 \r \h </w:instrText>
      </w:r>
      <w:r w:rsidR="008173C5" w:rsidRPr="00D91FEA">
        <w:instrText xml:space="preserve"> \* MERGEFORMAT </w:instrText>
      </w:r>
      <w:r w:rsidR="00054917" w:rsidRPr="007D1F21">
        <w:fldChar w:fldCharType="separate"/>
      </w:r>
      <w:r w:rsidR="009D466E">
        <w:t>G</w:t>
      </w:r>
      <w:r w:rsidR="00054917" w:rsidRPr="007D1F21">
        <w:fldChar w:fldCharType="end"/>
      </w:r>
      <w:r w:rsidRPr="007D1F21">
        <w:t xml:space="preserve">) for transmission to the IAEA. These forms must be received by the IAEA no later than </w:t>
      </w:r>
      <w:r w:rsidR="00B70A7F" w:rsidRPr="000746FF">
        <w:rPr>
          <w:b/>
          <w:strike/>
        </w:rPr>
        <w:t>28</w:t>
      </w:r>
      <w:r w:rsidR="0049070C" w:rsidRPr="000746FF">
        <w:rPr>
          <w:strike/>
        </w:rPr>
        <w:t> </w:t>
      </w:r>
      <w:r w:rsidR="00B70A7F" w:rsidRPr="000746FF">
        <w:rPr>
          <w:b/>
          <w:strike/>
        </w:rPr>
        <w:t>February</w:t>
      </w:r>
      <w:r w:rsidR="00C60FD1" w:rsidRPr="000746FF">
        <w:rPr>
          <w:b/>
          <w:strike/>
        </w:rPr>
        <w:t xml:space="preserve"> 2016</w:t>
      </w:r>
      <w:r w:rsidR="000746FF">
        <w:t xml:space="preserve"> </w:t>
      </w:r>
      <w:r w:rsidR="002F411E" w:rsidRPr="002F411E">
        <w:rPr>
          <w:b/>
        </w:rPr>
        <w:t>31 March 2016</w:t>
      </w:r>
      <w:r w:rsidR="002E2C83" w:rsidRPr="001C2995">
        <w:t>:</w:t>
      </w:r>
    </w:p>
    <w:p w:rsidR="006D6DBC" w:rsidRPr="001C2995" w:rsidRDefault="006D6DBC" w:rsidP="00A84DD1">
      <w:pPr>
        <w:numPr>
          <w:ilvl w:val="0"/>
          <w:numId w:val="8"/>
        </w:numPr>
        <w:tabs>
          <w:tab w:val="clear" w:pos="720"/>
          <w:tab w:val="left" w:pos="709"/>
        </w:tabs>
        <w:spacing w:before="120" w:after="120"/>
        <w:textAlignment w:val="auto"/>
        <w:rPr>
          <w:szCs w:val="11"/>
        </w:rPr>
      </w:pPr>
      <w:r w:rsidRPr="001C2995">
        <w:rPr>
          <w:szCs w:val="11"/>
        </w:rPr>
        <w:t>Participation Form (Form A)</w:t>
      </w:r>
      <w:r w:rsidR="008D2752" w:rsidRPr="001C2995">
        <w:rPr>
          <w:szCs w:val="11"/>
        </w:rPr>
        <w:t>; and</w:t>
      </w:r>
    </w:p>
    <w:p w:rsidR="006D6DBC" w:rsidRPr="001C2995" w:rsidRDefault="006D6DBC" w:rsidP="00A84DD1">
      <w:pPr>
        <w:numPr>
          <w:ilvl w:val="0"/>
          <w:numId w:val="8"/>
        </w:numPr>
        <w:tabs>
          <w:tab w:val="clear" w:pos="720"/>
          <w:tab w:val="left" w:pos="709"/>
        </w:tabs>
        <w:spacing w:before="120" w:after="120"/>
        <w:ind w:left="714" w:hanging="357"/>
        <w:textAlignment w:val="auto"/>
        <w:rPr>
          <w:bCs/>
        </w:rPr>
      </w:pPr>
      <w:r w:rsidRPr="001C2995">
        <w:rPr>
          <w:szCs w:val="11"/>
        </w:rPr>
        <w:t>Form for Submission of a Paper (Form B)</w:t>
      </w:r>
      <w:r w:rsidR="008D2752" w:rsidRPr="001C2995">
        <w:rPr>
          <w:szCs w:val="11"/>
        </w:rPr>
        <w:t>.</w:t>
      </w:r>
    </w:p>
    <w:p w:rsidR="006D6DBC" w:rsidRPr="001C2995" w:rsidRDefault="006D6DBC" w:rsidP="005D422E">
      <w:pPr>
        <w:pStyle w:val="BodyText"/>
      </w:pPr>
      <w:r w:rsidRPr="001C2995">
        <w:rPr>
          <w:b/>
          <w:bCs/>
        </w:rPr>
        <w:t>IMPORTANT:</w:t>
      </w:r>
      <w:r w:rsidRPr="001C2995">
        <w:rPr>
          <w:bCs/>
        </w:rPr>
        <w:t xml:space="preserve"> </w:t>
      </w:r>
      <w:r w:rsidRPr="001C2995">
        <w:t xml:space="preserve">The </w:t>
      </w:r>
      <w:r w:rsidR="00AD62DB">
        <w:t xml:space="preserve">uploaded </w:t>
      </w:r>
      <w:r w:rsidR="00B70A7F" w:rsidRPr="001C2995">
        <w:rPr>
          <w:bCs/>
          <w:szCs w:val="22"/>
        </w:rPr>
        <w:t>paper</w:t>
      </w:r>
      <w:r w:rsidRPr="001C2995">
        <w:t xml:space="preserve">s will be considered by the Programme Committee only if these two forms have been received by the IAEA through the established official channels (see </w:t>
      </w:r>
      <w:r w:rsidRPr="00B67A6A">
        <w:t>Section</w:t>
      </w:r>
      <w:r w:rsidR="00054917" w:rsidRPr="00B67A6A">
        <w:t> </w:t>
      </w:r>
      <w:r w:rsidR="00054917" w:rsidRPr="00B67A6A">
        <w:fldChar w:fldCharType="begin"/>
      </w:r>
      <w:r w:rsidR="00054917" w:rsidRPr="00B67A6A">
        <w:instrText xml:space="preserve"> REF _Ref395692364 \r \h </w:instrText>
      </w:r>
      <w:r w:rsidR="002D4185" w:rsidRPr="00B67A6A">
        <w:instrText xml:space="preserve"> \* MERGEFORMAT </w:instrText>
      </w:r>
      <w:r w:rsidR="00054917" w:rsidRPr="00B67A6A">
        <w:fldChar w:fldCharType="separate"/>
      </w:r>
      <w:r w:rsidR="009D466E">
        <w:t>G</w:t>
      </w:r>
      <w:r w:rsidR="00054917" w:rsidRPr="00B67A6A">
        <w:fldChar w:fldCharType="end"/>
      </w:r>
      <w:r w:rsidRPr="00B67A6A">
        <w:t>).</w:t>
      </w:r>
    </w:p>
    <w:p w:rsidR="006D57B9" w:rsidRPr="001C2995" w:rsidRDefault="006D57B9" w:rsidP="006E67B4">
      <w:pPr>
        <w:pStyle w:val="BodyText"/>
      </w:pPr>
      <w:r w:rsidRPr="001C2995">
        <w:t>Authors should state to which of the topics outlined in Section</w:t>
      </w:r>
      <w:r w:rsidR="00C623B3" w:rsidRPr="001C2995">
        <w:t> </w:t>
      </w:r>
      <w:r w:rsidR="006E67B4">
        <w:fldChar w:fldCharType="begin"/>
      </w:r>
      <w:r w:rsidR="006E67B4">
        <w:instrText xml:space="preserve"> REF _Ref428437378 \r \h </w:instrText>
      </w:r>
      <w:r w:rsidR="006E67B4">
        <w:fldChar w:fldCharType="separate"/>
      </w:r>
      <w:r w:rsidR="009D466E">
        <w:t>D</w:t>
      </w:r>
      <w:r w:rsidR="006E67B4">
        <w:fldChar w:fldCharType="end"/>
      </w:r>
      <w:r w:rsidR="00C623B3" w:rsidRPr="001C2995">
        <w:t xml:space="preserve"> t</w:t>
      </w:r>
      <w:r w:rsidRPr="001C2995">
        <w:t>heir contribution relates.</w:t>
      </w:r>
    </w:p>
    <w:p w:rsidR="006D57B9" w:rsidRPr="001C2995" w:rsidRDefault="005560D6" w:rsidP="00B74C63">
      <w:pPr>
        <w:pStyle w:val="Heading2"/>
        <w:spacing w:before="400"/>
      </w:pPr>
      <w:r w:rsidRPr="001C2995">
        <w:t>F</w:t>
      </w:r>
      <w:r w:rsidR="005D422E" w:rsidRPr="001C2995">
        <w:t>.2</w:t>
      </w:r>
      <w:r w:rsidR="005D422E" w:rsidRPr="001C2995">
        <w:tab/>
      </w:r>
      <w:r w:rsidR="006D57B9" w:rsidRPr="001C2995">
        <w:t xml:space="preserve">Acceptance of </w:t>
      </w:r>
      <w:r w:rsidR="00B70A7F" w:rsidRPr="001C2995">
        <w:t xml:space="preserve">Papers </w:t>
      </w:r>
      <w:r w:rsidR="00A22550" w:rsidRPr="001C2995">
        <w:t>for</w:t>
      </w:r>
      <w:r w:rsidR="00051557" w:rsidRPr="001C2995">
        <w:t xml:space="preserve"> Presentation</w:t>
      </w:r>
    </w:p>
    <w:p w:rsidR="00A22550" w:rsidRPr="001C2995" w:rsidRDefault="00A22550" w:rsidP="006E67B4">
      <w:pPr>
        <w:pStyle w:val="BodyText"/>
        <w:rPr>
          <w:szCs w:val="22"/>
        </w:rPr>
      </w:pPr>
      <w:r w:rsidRPr="001C2995">
        <w:rPr>
          <w:szCs w:val="22"/>
        </w:rPr>
        <w:t xml:space="preserve">The Secretariat reserves the right to exclude papers that do not comply with its quality standards and do not apply to one of the topics </w:t>
      </w:r>
      <w:r w:rsidR="008173C5">
        <w:rPr>
          <w:szCs w:val="22"/>
        </w:rPr>
        <w:t xml:space="preserve">outlined </w:t>
      </w:r>
      <w:r w:rsidRPr="001C2995">
        <w:rPr>
          <w:szCs w:val="22"/>
        </w:rPr>
        <w:t xml:space="preserve">in Section </w:t>
      </w:r>
      <w:r w:rsidR="006E67B4">
        <w:rPr>
          <w:szCs w:val="22"/>
        </w:rPr>
        <w:fldChar w:fldCharType="begin"/>
      </w:r>
      <w:r w:rsidR="006E67B4">
        <w:rPr>
          <w:szCs w:val="22"/>
        </w:rPr>
        <w:instrText xml:space="preserve"> REF _Ref428437378 \r \h </w:instrText>
      </w:r>
      <w:r w:rsidR="006E67B4">
        <w:rPr>
          <w:szCs w:val="22"/>
        </w:rPr>
      </w:r>
      <w:r w:rsidR="006E67B4">
        <w:rPr>
          <w:szCs w:val="22"/>
        </w:rPr>
        <w:fldChar w:fldCharType="separate"/>
      </w:r>
      <w:r w:rsidR="009D466E">
        <w:rPr>
          <w:szCs w:val="22"/>
        </w:rPr>
        <w:t>D</w:t>
      </w:r>
      <w:r w:rsidR="006E67B4">
        <w:rPr>
          <w:szCs w:val="22"/>
        </w:rPr>
        <w:fldChar w:fldCharType="end"/>
      </w:r>
      <w:r w:rsidRPr="001C2995">
        <w:rPr>
          <w:szCs w:val="22"/>
        </w:rPr>
        <w:t>.</w:t>
      </w:r>
    </w:p>
    <w:p w:rsidR="00A22550" w:rsidRPr="001C2995" w:rsidRDefault="00A22550" w:rsidP="00291FB2">
      <w:pPr>
        <w:pStyle w:val="BodyText"/>
        <w:rPr>
          <w:szCs w:val="22"/>
        </w:rPr>
      </w:pPr>
      <w:r w:rsidRPr="001C2995">
        <w:rPr>
          <w:szCs w:val="22"/>
        </w:rPr>
        <w:t xml:space="preserve">Authors will be informed </w:t>
      </w:r>
      <w:r w:rsidRPr="001C2995">
        <w:rPr>
          <w:b/>
          <w:szCs w:val="22"/>
        </w:rPr>
        <w:t xml:space="preserve">by </w:t>
      </w:r>
      <w:r w:rsidR="008173C5" w:rsidRPr="001C2995">
        <w:rPr>
          <w:b/>
          <w:szCs w:val="22"/>
        </w:rPr>
        <w:t>mid</w:t>
      </w:r>
      <w:r w:rsidR="008173C5">
        <w:rPr>
          <w:b/>
          <w:szCs w:val="22"/>
        </w:rPr>
        <w:t>-</w:t>
      </w:r>
      <w:r w:rsidR="00C60FD1" w:rsidRPr="001C2995">
        <w:rPr>
          <w:b/>
          <w:szCs w:val="22"/>
        </w:rPr>
        <w:t>May 2016</w:t>
      </w:r>
      <w:r w:rsidRPr="001C2995">
        <w:rPr>
          <w:szCs w:val="22"/>
        </w:rPr>
        <w:t xml:space="preserve"> </w:t>
      </w:r>
      <w:r w:rsidR="008173C5">
        <w:rPr>
          <w:szCs w:val="22"/>
        </w:rPr>
        <w:t>whether</w:t>
      </w:r>
      <w:r w:rsidR="008173C5" w:rsidRPr="001C2995">
        <w:rPr>
          <w:szCs w:val="22"/>
        </w:rPr>
        <w:t xml:space="preserve"> </w:t>
      </w:r>
      <w:r w:rsidRPr="001C2995">
        <w:rPr>
          <w:szCs w:val="22"/>
        </w:rPr>
        <w:t xml:space="preserve">their </w:t>
      </w:r>
      <w:r w:rsidR="00E00915" w:rsidRPr="001C2995">
        <w:rPr>
          <w:szCs w:val="22"/>
        </w:rPr>
        <w:t xml:space="preserve">papers </w:t>
      </w:r>
      <w:r w:rsidRPr="001C2995">
        <w:rPr>
          <w:szCs w:val="22"/>
        </w:rPr>
        <w:t>have been accepted for</w:t>
      </w:r>
      <w:r w:rsidR="008173C5">
        <w:rPr>
          <w:szCs w:val="22"/>
        </w:rPr>
        <w:t xml:space="preserve"> delivery as</w:t>
      </w:r>
      <w:r w:rsidRPr="001C2995">
        <w:rPr>
          <w:szCs w:val="22"/>
        </w:rPr>
        <w:t xml:space="preserve"> </w:t>
      </w:r>
      <w:r w:rsidR="009B0E9A" w:rsidRPr="009B0E9A">
        <w:rPr>
          <w:szCs w:val="22"/>
        </w:rPr>
        <w:t xml:space="preserve">oral or </w:t>
      </w:r>
      <w:r w:rsidR="008173C5">
        <w:rPr>
          <w:szCs w:val="22"/>
        </w:rPr>
        <w:t xml:space="preserve">as </w:t>
      </w:r>
      <w:r w:rsidR="009B0E9A" w:rsidRPr="009B0E9A">
        <w:rPr>
          <w:szCs w:val="22"/>
        </w:rPr>
        <w:t>interactive poster presentations</w:t>
      </w:r>
      <w:r w:rsidRPr="001C2995">
        <w:rPr>
          <w:szCs w:val="22"/>
        </w:rPr>
        <w:t>.</w:t>
      </w:r>
      <w:r w:rsidR="00877EB4">
        <w:rPr>
          <w:szCs w:val="22"/>
        </w:rPr>
        <w:t xml:space="preserve"> I</w:t>
      </w:r>
      <w:r w:rsidRPr="001C2995">
        <w:rPr>
          <w:szCs w:val="22"/>
        </w:rPr>
        <w:t>f accepted</w:t>
      </w:r>
      <w:r w:rsidR="00877EB4">
        <w:rPr>
          <w:szCs w:val="22"/>
        </w:rPr>
        <w:t>,</w:t>
      </w:r>
      <w:r w:rsidRPr="001C2995">
        <w:rPr>
          <w:szCs w:val="22"/>
        </w:rPr>
        <w:t xml:space="preserve"> </w:t>
      </w:r>
      <w:r w:rsidR="00877EB4" w:rsidRPr="001C2995">
        <w:rPr>
          <w:szCs w:val="22"/>
        </w:rPr>
        <w:t>the papers</w:t>
      </w:r>
      <w:r w:rsidRPr="001C2995">
        <w:rPr>
          <w:szCs w:val="22"/>
        </w:rPr>
        <w:t xml:space="preserve"> will also be reproduced unedited in the electronic Compilation of </w:t>
      </w:r>
      <w:r w:rsidR="00820D69" w:rsidRPr="001C2995">
        <w:rPr>
          <w:szCs w:val="22"/>
        </w:rPr>
        <w:t>Paper</w:t>
      </w:r>
      <w:r w:rsidRPr="001C2995">
        <w:rPr>
          <w:szCs w:val="22"/>
        </w:rPr>
        <w:t xml:space="preserve">s which will be </w:t>
      </w:r>
      <w:r w:rsidR="0094761C">
        <w:rPr>
          <w:szCs w:val="22"/>
        </w:rPr>
        <w:t>made available</w:t>
      </w:r>
      <w:r w:rsidR="0094761C" w:rsidRPr="001C2995">
        <w:rPr>
          <w:szCs w:val="22"/>
        </w:rPr>
        <w:t xml:space="preserve"> </w:t>
      </w:r>
      <w:r w:rsidRPr="001C2995">
        <w:rPr>
          <w:szCs w:val="22"/>
        </w:rPr>
        <w:t>to all participants at the conference.</w:t>
      </w:r>
    </w:p>
    <w:p w:rsidR="006D57B9" w:rsidRPr="00820D69" w:rsidRDefault="005560D6" w:rsidP="00B74C63">
      <w:pPr>
        <w:pStyle w:val="Heading2"/>
        <w:spacing w:before="400"/>
      </w:pPr>
      <w:r w:rsidRPr="00820D69">
        <w:lastRenderedPageBreak/>
        <w:t>F</w:t>
      </w:r>
      <w:r w:rsidR="005D422E" w:rsidRPr="00820D69">
        <w:t>.3</w:t>
      </w:r>
      <w:r w:rsidR="005D422E" w:rsidRPr="00820D69">
        <w:tab/>
      </w:r>
      <w:r w:rsidR="006D57B9" w:rsidRPr="00820D69">
        <w:t>Proceedings</w:t>
      </w:r>
    </w:p>
    <w:p w:rsidR="00B70A7F" w:rsidRDefault="00B70A7F" w:rsidP="00B70A7F">
      <w:pPr>
        <w:pStyle w:val="BodyText"/>
      </w:pPr>
      <w:r w:rsidRPr="00B74C63">
        <w:t xml:space="preserve">Conference </w:t>
      </w:r>
      <w:r w:rsidR="008173C5">
        <w:t>p</w:t>
      </w:r>
      <w:r w:rsidRPr="00B74C63">
        <w:t xml:space="preserve">roceedings will be </w:t>
      </w:r>
      <w:r w:rsidR="00552A51" w:rsidRPr="00B74C63">
        <w:t>made available for all participants after the conference</w:t>
      </w:r>
      <w:r w:rsidRPr="00B74C63">
        <w:t>.</w:t>
      </w:r>
      <w:r w:rsidR="0094761C">
        <w:t xml:space="preserve"> Only accepted </w:t>
      </w:r>
      <w:r w:rsidR="000F705D">
        <w:t xml:space="preserve">papers that are presented at the conference </w:t>
      </w:r>
      <w:r w:rsidR="0094761C">
        <w:t>will be included.</w:t>
      </w:r>
    </w:p>
    <w:p w:rsidR="00110119" w:rsidRPr="009C0D5F" w:rsidRDefault="00091A3F" w:rsidP="00110119">
      <w:pPr>
        <w:pStyle w:val="BodyText"/>
      </w:pPr>
      <w:r>
        <w:t xml:space="preserve">The opportunity is being explored for interested authors, after the conference, </w:t>
      </w:r>
      <w:r w:rsidR="00110119" w:rsidRPr="009C0D5F">
        <w:t>to expand the</w:t>
      </w:r>
      <w:r w:rsidR="000F705D">
        <w:t>ir</w:t>
      </w:r>
      <w:r w:rsidR="00110119" w:rsidRPr="009C0D5F">
        <w:t xml:space="preserve"> papers into full formal papers</w:t>
      </w:r>
      <w:r>
        <w:t xml:space="preserve"> </w:t>
      </w:r>
      <w:r w:rsidR="000F705D">
        <w:t xml:space="preserve">and </w:t>
      </w:r>
      <w:r>
        <w:t>s</w:t>
      </w:r>
      <w:r w:rsidR="00110119" w:rsidRPr="009C0D5F">
        <w:t>ubmi</w:t>
      </w:r>
      <w:r w:rsidR="000F705D">
        <w:t>t</w:t>
      </w:r>
      <w:r w:rsidR="00110119" w:rsidRPr="009C0D5F">
        <w:t xml:space="preserve"> </w:t>
      </w:r>
      <w:r w:rsidR="000F705D">
        <w:t xml:space="preserve">them for </w:t>
      </w:r>
      <w:r w:rsidR="0083408E">
        <w:t xml:space="preserve">possible </w:t>
      </w:r>
      <w:r w:rsidR="000F705D">
        <w:t>publication in a special issue</w:t>
      </w:r>
      <w:r w:rsidR="000F705D" w:rsidRPr="00B67A6A">
        <w:t xml:space="preserve"> </w:t>
      </w:r>
      <w:r w:rsidR="0083408E">
        <w:t>of</w:t>
      </w:r>
      <w:r w:rsidR="0083408E" w:rsidRPr="009C0D5F">
        <w:t xml:space="preserve"> </w:t>
      </w:r>
      <w:r w:rsidR="00110119" w:rsidRPr="009C0D5F">
        <w:t>a leading peer-reviewed nuclear journal.</w:t>
      </w:r>
      <w:r w:rsidR="0083408E">
        <w:t xml:space="preserve"> </w:t>
      </w:r>
    </w:p>
    <w:p w:rsidR="00750DF0" w:rsidRPr="00820D69" w:rsidRDefault="006D57B9" w:rsidP="00165141">
      <w:pPr>
        <w:pStyle w:val="Heading1"/>
        <w:numPr>
          <w:ilvl w:val="0"/>
          <w:numId w:val="7"/>
        </w:numPr>
        <w:spacing w:before="600"/>
        <w:ind w:left="0" w:firstLine="0"/>
      </w:pPr>
      <w:bookmarkStart w:id="2" w:name="_Ref395692364"/>
      <w:r w:rsidRPr="00820D69">
        <w:t>Participation</w:t>
      </w:r>
      <w:r w:rsidR="00A22550" w:rsidRPr="00820D69">
        <w:t xml:space="preserve"> and Registration</w:t>
      </w:r>
      <w:bookmarkEnd w:id="2"/>
    </w:p>
    <w:p w:rsidR="006D57B9" w:rsidRPr="00820D69" w:rsidRDefault="006D57B9" w:rsidP="006D57B9">
      <w:pPr>
        <w:pStyle w:val="BodyText"/>
      </w:pPr>
      <w:r w:rsidRPr="00820D69">
        <w:t xml:space="preserve">All persons wishing to participate in the conference are requested to </w:t>
      </w:r>
      <w:r w:rsidRPr="00820D69">
        <w:rPr>
          <w:b/>
          <w:bCs/>
        </w:rPr>
        <w:t xml:space="preserve">register online in advance </w:t>
      </w:r>
      <w:r w:rsidRPr="00820D69">
        <w:rPr>
          <w:bCs/>
        </w:rPr>
        <w:t>through the conference web page</w:t>
      </w:r>
      <w:r w:rsidR="001B708A" w:rsidRPr="00820D69">
        <w:rPr>
          <w:bCs/>
        </w:rPr>
        <w:t xml:space="preserve"> (see Section </w:t>
      </w:r>
      <w:r w:rsidR="001B708A" w:rsidRPr="00820D69">
        <w:rPr>
          <w:bCs/>
        </w:rPr>
        <w:fldChar w:fldCharType="begin"/>
      </w:r>
      <w:r w:rsidR="001B708A" w:rsidRPr="00820D69">
        <w:rPr>
          <w:bCs/>
        </w:rPr>
        <w:instrText xml:space="preserve"> REF _Ref389037002 \r \h </w:instrText>
      </w:r>
      <w:r w:rsidR="00820D69">
        <w:rPr>
          <w:bCs/>
        </w:rPr>
        <w:instrText xml:space="preserve"> \* MERGEFORMAT </w:instrText>
      </w:r>
      <w:r w:rsidR="001B708A" w:rsidRPr="00820D69">
        <w:rPr>
          <w:bCs/>
        </w:rPr>
      </w:r>
      <w:r w:rsidR="001B708A" w:rsidRPr="00820D69">
        <w:rPr>
          <w:bCs/>
        </w:rPr>
        <w:fldChar w:fldCharType="separate"/>
      </w:r>
      <w:r w:rsidR="009D466E">
        <w:rPr>
          <w:bCs/>
        </w:rPr>
        <w:t>P</w:t>
      </w:r>
      <w:r w:rsidR="001B708A" w:rsidRPr="00820D69">
        <w:rPr>
          <w:bCs/>
        </w:rPr>
        <w:fldChar w:fldCharType="end"/>
      </w:r>
      <w:r w:rsidR="001B708A" w:rsidRPr="00820D69">
        <w:rPr>
          <w:bCs/>
        </w:rPr>
        <w:t xml:space="preserve"> below)</w:t>
      </w:r>
      <w:r w:rsidRPr="00820D69">
        <w:t xml:space="preserve">. In addition, they </w:t>
      </w:r>
      <w:r w:rsidR="00A22550" w:rsidRPr="00820D69">
        <w:t>are required to</w:t>
      </w:r>
      <w:r w:rsidRPr="00820D69">
        <w:t xml:space="preserve">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0" w:history="1">
        <w:r w:rsidR="001B708A" w:rsidRPr="00820D69">
          <w:rPr>
            <w:rStyle w:val="Hyperlink"/>
          </w:rPr>
          <w:t>Official.Mail@iaea.org</w:t>
        </w:r>
      </w:hyperlink>
      <w:r w:rsidRPr="00820D69">
        <w:t>).</w:t>
      </w:r>
    </w:p>
    <w:p w:rsidR="006D57B9" w:rsidRPr="00820D69" w:rsidRDefault="006D57B9" w:rsidP="006D57B9">
      <w:pPr>
        <w:pStyle w:val="BodyText"/>
      </w:pPr>
      <w:r w:rsidRPr="00820D69">
        <w:t>A participant will be accepted only if the Participation Form is transmitted through the competent national authority of a Member State of the IAEA or by an organization invited to participate.</w:t>
      </w:r>
    </w:p>
    <w:p w:rsidR="005B6E72" w:rsidRPr="00820D69" w:rsidRDefault="006D57B9" w:rsidP="006D57B9">
      <w:pPr>
        <w:pStyle w:val="BodyText"/>
        <w:widowControl w:val="0"/>
        <w:overflowPunct w:val="0"/>
        <w:autoSpaceDE w:val="0"/>
        <w:autoSpaceDN w:val="0"/>
        <w:adjustRightInd w:val="0"/>
        <w:textAlignment w:val="baseline"/>
      </w:pPr>
      <w:r w:rsidRPr="00820D69">
        <w:t xml:space="preserve">Participants whose official designations have been received by the IAEA will receive from the IAEA further information approximately three months before the opening of the conference. This information will also be </w:t>
      </w:r>
      <w:r w:rsidR="00AD62DB">
        <w:t>available</w:t>
      </w:r>
      <w:r w:rsidRPr="00820D69">
        <w:t xml:space="preserve"> on the conference web page.</w:t>
      </w:r>
    </w:p>
    <w:p w:rsidR="00750DF0" w:rsidRPr="00820D69" w:rsidRDefault="006D57B9" w:rsidP="00165141">
      <w:pPr>
        <w:pStyle w:val="Heading1"/>
        <w:numPr>
          <w:ilvl w:val="0"/>
          <w:numId w:val="7"/>
        </w:numPr>
        <w:spacing w:before="600"/>
        <w:ind w:left="0" w:firstLine="0"/>
      </w:pPr>
      <w:r w:rsidRPr="00820D69">
        <w:t>Expenditures</w:t>
      </w:r>
      <w:r w:rsidR="00A22550" w:rsidRPr="00820D69">
        <w:t xml:space="preserve"> and Grants</w:t>
      </w:r>
    </w:p>
    <w:p w:rsidR="006D57B9" w:rsidRPr="00820D69" w:rsidRDefault="006D57B9" w:rsidP="006D57B9">
      <w:pPr>
        <w:pStyle w:val="BodyText"/>
      </w:pPr>
      <w:r w:rsidRPr="00820D69">
        <w:t xml:space="preserve">No registration fee </w:t>
      </w:r>
      <w:r w:rsidR="008173C5">
        <w:t>will be</w:t>
      </w:r>
      <w:r w:rsidR="008173C5" w:rsidRPr="00820D69">
        <w:t xml:space="preserve"> </w:t>
      </w:r>
      <w:r w:rsidRPr="00820D69">
        <w:t>charged to participants.</w:t>
      </w:r>
    </w:p>
    <w:p w:rsidR="006D57B9" w:rsidRPr="00820D69" w:rsidRDefault="006D57B9" w:rsidP="006B34CB">
      <w:pPr>
        <w:pStyle w:val="BodyText"/>
        <w:rPr>
          <w:szCs w:val="22"/>
        </w:rPr>
      </w:pPr>
      <w:r w:rsidRPr="00820D69">
        <w:rPr>
          <w:szCs w:val="22"/>
        </w:rPr>
        <w:t xml:space="preserve">The IAEA is generally not in a position to bear the travel and other costs of participants in the conference. The IAEA has, however, limited funds at its disposal to help </w:t>
      </w:r>
      <w:r w:rsidR="006B34CB" w:rsidRPr="00820D69">
        <w:rPr>
          <w:szCs w:val="22"/>
        </w:rPr>
        <w:t xml:space="preserve">meet </w:t>
      </w:r>
      <w:r w:rsidRPr="00820D69">
        <w:rPr>
          <w:szCs w:val="22"/>
        </w:rPr>
        <w:t xml:space="preserve">the cost of attendance of </w:t>
      </w:r>
      <w:r w:rsidR="006B34CB" w:rsidRPr="00820D69">
        <w:rPr>
          <w:szCs w:val="22"/>
        </w:rPr>
        <w:t xml:space="preserve">certain </w:t>
      </w:r>
      <w:r w:rsidRPr="00820D69">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rsidR="006D57B9" w:rsidRPr="00820D69" w:rsidRDefault="006D57B9" w:rsidP="006B34CB">
      <w:pPr>
        <w:pStyle w:val="BodyText"/>
        <w:rPr>
          <w:szCs w:val="22"/>
        </w:rPr>
      </w:pPr>
      <w:r w:rsidRPr="00820D69">
        <w:rPr>
          <w:szCs w:val="22"/>
        </w:rPr>
        <w:t xml:space="preserve">If </w:t>
      </w:r>
      <w:r w:rsidR="006B34CB" w:rsidRPr="00820D69">
        <w:rPr>
          <w:szCs w:val="22"/>
        </w:rPr>
        <w:t>G</w:t>
      </w:r>
      <w:r w:rsidRPr="00820D69">
        <w:rPr>
          <w:szCs w:val="22"/>
        </w:rPr>
        <w:t>overnments wish to apply for a grant on behalf of one of their specialists, they should address specific requests to the IAEA to this effect. Governments should ensure that applications for grants are:</w:t>
      </w:r>
    </w:p>
    <w:p w:rsidR="006D57B9" w:rsidRPr="00414B61" w:rsidRDefault="006D57B9" w:rsidP="006D57B9">
      <w:pPr>
        <w:pStyle w:val="BodyText"/>
        <w:ind w:left="567"/>
        <w:rPr>
          <w:szCs w:val="22"/>
        </w:rPr>
      </w:pPr>
      <w:r w:rsidRPr="00820D69">
        <w:rPr>
          <w:szCs w:val="22"/>
        </w:rPr>
        <w:t>1.</w:t>
      </w:r>
      <w:r w:rsidRPr="00820D69">
        <w:rPr>
          <w:szCs w:val="22"/>
        </w:rPr>
        <w:tab/>
      </w:r>
      <w:r w:rsidRPr="00414B61">
        <w:rPr>
          <w:szCs w:val="22"/>
        </w:rPr>
        <w:t>Submitted by</w:t>
      </w:r>
      <w:r w:rsidRPr="00414B61">
        <w:rPr>
          <w:b/>
          <w:szCs w:val="22"/>
        </w:rPr>
        <w:t xml:space="preserve"> </w:t>
      </w:r>
      <w:r w:rsidR="00B70A7F" w:rsidRPr="000746FF">
        <w:rPr>
          <w:b/>
          <w:strike/>
          <w:szCs w:val="22"/>
        </w:rPr>
        <w:t>28 February</w:t>
      </w:r>
      <w:r w:rsidR="00C60FD1" w:rsidRPr="000746FF">
        <w:rPr>
          <w:b/>
          <w:strike/>
          <w:szCs w:val="22"/>
        </w:rPr>
        <w:t xml:space="preserve"> 2016</w:t>
      </w:r>
      <w:r w:rsidR="002F411E">
        <w:rPr>
          <w:b/>
          <w:szCs w:val="22"/>
        </w:rPr>
        <w:t xml:space="preserve"> </w:t>
      </w:r>
      <w:r w:rsidR="002F411E" w:rsidRPr="002F411E">
        <w:rPr>
          <w:b/>
        </w:rPr>
        <w:t>31 March 2016</w:t>
      </w:r>
      <w:r w:rsidR="000746FF">
        <w:rPr>
          <w:b/>
          <w:i/>
        </w:rPr>
        <w:t xml:space="preserve"> (deadline extension!)</w:t>
      </w:r>
      <w:r w:rsidRPr="00414B61">
        <w:rPr>
          <w:szCs w:val="22"/>
        </w:rPr>
        <w:t>;</w:t>
      </w:r>
    </w:p>
    <w:p w:rsidR="006D57B9" w:rsidRPr="00414B61" w:rsidRDefault="006D57B9" w:rsidP="006D57B9">
      <w:pPr>
        <w:pStyle w:val="BodyText"/>
        <w:ind w:left="567"/>
        <w:rPr>
          <w:szCs w:val="22"/>
        </w:rPr>
      </w:pPr>
      <w:r w:rsidRPr="00414B61">
        <w:rPr>
          <w:szCs w:val="22"/>
        </w:rPr>
        <w:t>2.</w:t>
      </w:r>
      <w:r w:rsidRPr="00414B61">
        <w:rPr>
          <w:szCs w:val="22"/>
        </w:rPr>
        <w:tab/>
      </w:r>
      <w:r w:rsidR="008F2E07" w:rsidRPr="00414B61">
        <w:rPr>
          <w:szCs w:val="22"/>
        </w:rPr>
        <w:t>Accompanied by a completed Participation Form (Form A)</w:t>
      </w:r>
      <w:r w:rsidRPr="00414B61">
        <w:rPr>
          <w:szCs w:val="22"/>
        </w:rPr>
        <w:t>; and</w:t>
      </w:r>
    </w:p>
    <w:p w:rsidR="006D57B9" w:rsidRPr="00414B61" w:rsidRDefault="006D57B9" w:rsidP="006D57B9">
      <w:pPr>
        <w:pStyle w:val="BodyText"/>
        <w:ind w:left="567"/>
        <w:rPr>
          <w:szCs w:val="22"/>
        </w:rPr>
      </w:pPr>
      <w:r w:rsidRPr="00414B61">
        <w:rPr>
          <w:szCs w:val="22"/>
        </w:rPr>
        <w:t>3.</w:t>
      </w:r>
      <w:r w:rsidRPr="00414B61">
        <w:rPr>
          <w:szCs w:val="22"/>
        </w:rPr>
        <w:tab/>
      </w:r>
      <w:r w:rsidR="008F2E07" w:rsidRPr="00414B61">
        <w:rPr>
          <w:szCs w:val="22"/>
        </w:rPr>
        <w:t>Accompanied by a completed and signed Grant Application Form (Form C)</w:t>
      </w:r>
      <w:r w:rsidRPr="00414B61">
        <w:rPr>
          <w:szCs w:val="22"/>
        </w:rPr>
        <w:t>.</w:t>
      </w:r>
    </w:p>
    <w:p w:rsidR="006D57B9" w:rsidRPr="00414B61" w:rsidRDefault="006D57B9" w:rsidP="006D57B9">
      <w:pPr>
        <w:pStyle w:val="BodyText"/>
      </w:pPr>
      <w:r w:rsidRPr="00414B61">
        <w:t>Applications that do not comply with the above conditions cannot be considered.</w:t>
      </w:r>
    </w:p>
    <w:p w:rsidR="00BF68CA" w:rsidRPr="00414B61" w:rsidRDefault="006D57B9" w:rsidP="006D57B9">
      <w:pPr>
        <w:pStyle w:val="BodyText"/>
      </w:pPr>
      <w:r w:rsidRPr="00414B61">
        <w:lastRenderedPageBreak/>
        <w:t xml:space="preserve">Approved grants will be issued in the form of a lump sum payment that usually </w:t>
      </w:r>
      <w:r w:rsidRPr="00414B61">
        <w:rPr>
          <w:b/>
        </w:rPr>
        <w:t>covers only part of the cost of attendance</w:t>
      </w:r>
      <w:r w:rsidRPr="00414B61">
        <w:t>.</w:t>
      </w:r>
    </w:p>
    <w:p w:rsidR="00750DF0" w:rsidRPr="00414B61" w:rsidRDefault="006D57B9" w:rsidP="00165141">
      <w:pPr>
        <w:pStyle w:val="Heading1"/>
        <w:numPr>
          <w:ilvl w:val="0"/>
          <w:numId w:val="7"/>
        </w:numPr>
        <w:spacing w:before="600"/>
        <w:ind w:left="0" w:firstLine="0"/>
      </w:pPr>
      <w:r w:rsidRPr="00414B61">
        <w:t>Distribution of Documents</w:t>
      </w:r>
    </w:p>
    <w:p w:rsidR="003332DA" w:rsidRPr="00820D69" w:rsidRDefault="006D57B9" w:rsidP="00BF734D">
      <w:pPr>
        <w:pStyle w:val="BodyText"/>
        <w:spacing w:after="240"/>
        <w:rPr>
          <w:szCs w:val="22"/>
        </w:rPr>
      </w:pPr>
      <w:r w:rsidRPr="00414B61">
        <w:t>A preliminary programme will be posted on the IAEA conference web page</w:t>
      </w:r>
      <w:r w:rsidR="00AB1072">
        <w:t xml:space="preserve"> (see Section </w:t>
      </w:r>
      <w:r w:rsidR="00AB1072">
        <w:fldChar w:fldCharType="begin"/>
      </w:r>
      <w:r w:rsidR="00AB1072">
        <w:instrText xml:space="preserve"> REF _Ref389037002 \r \h </w:instrText>
      </w:r>
      <w:r w:rsidR="00AB1072">
        <w:fldChar w:fldCharType="separate"/>
      </w:r>
      <w:r w:rsidR="009D466E">
        <w:t>P</w:t>
      </w:r>
      <w:r w:rsidR="00AB1072">
        <w:fldChar w:fldCharType="end"/>
      </w:r>
      <w:r w:rsidR="00AB1072">
        <w:t xml:space="preserve"> below)</w:t>
      </w:r>
      <w:r w:rsidRPr="00414B61">
        <w:t xml:space="preserve"> as soon as possible. The final programme and the </w:t>
      </w:r>
      <w:r w:rsidR="0083408E">
        <w:t xml:space="preserve">electronic </w:t>
      </w:r>
      <w:r w:rsidR="00B67A6A">
        <w:t>c</w:t>
      </w:r>
      <w:r w:rsidR="00B67A6A" w:rsidRPr="00B67A6A">
        <w:t xml:space="preserve">ompilation </w:t>
      </w:r>
      <w:r w:rsidRPr="00B67A6A">
        <w:t xml:space="preserve">of </w:t>
      </w:r>
      <w:r w:rsidR="00B67A6A">
        <w:t>p</w:t>
      </w:r>
      <w:r w:rsidR="00B67A6A" w:rsidRPr="00B67A6A">
        <w:t>apers</w:t>
      </w:r>
      <w:r w:rsidR="00B67A6A" w:rsidRPr="00D41A10">
        <w:t xml:space="preserve"> </w:t>
      </w:r>
      <w:r w:rsidRPr="00D41A10">
        <w:t xml:space="preserve">will be </w:t>
      </w:r>
      <w:r w:rsidRPr="00820D69">
        <w:t xml:space="preserve">available </w:t>
      </w:r>
      <w:r w:rsidR="00552A51" w:rsidRPr="00552A51">
        <w:t>at the conference.</w:t>
      </w:r>
    </w:p>
    <w:p w:rsidR="00893D40" w:rsidRPr="00820D69" w:rsidRDefault="00893D40" w:rsidP="00165141">
      <w:pPr>
        <w:pStyle w:val="Heading1"/>
        <w:numPr>
          <w:ilvl w:val="0"/>
          <w:numId w:val="7"/>
        </w:numPr>
        <w:spacing w:before="600"/>
        <w:ind w:left="0" w:firstLine="0"/>
      </w:pPr>
      <w:r w:rsidRPr="00820D69">
        <w:t>Exhibitions</w:t>
      </w:r>
      <w:r w:rsidR="0068772C">
        <w:t>,</w:t>
      </w:r>
      <w:r w:rsidR="00614756">
        <w:t xml:space="preserve"> Workshops</w:t>
      </w:r>
      <w:r w:rsidR="0068772C">
        <w:t xml:space="preserve"> and Training Seminars</w:t>
      </w:r>
    </w:p>
    <w:p w:rsidR="002F3D3D" w:rsidRDefault="00893D40" w:rsidP="001B708A">
      <w:pPr>
        <w:pStyle w:val="BodyTextMultiline"/>
        <w:numPr>
          <w:ilvl w:val="0"/>
          <w:numId w:val="0"/>
        </w:numPr>
        <w:rPr>
          <w:lang w:eastAsia="en-GB"/>
        </w:rPr>
      </w:pPr>
      <w:r w:rsidRPr="00820D69">
        <w:rPr>
          <w:lang w:eastAsia="en-GB"/>
        </w:rPr>
        <w:t xml:space="preserve">A limited amount of space will be available for </w:t>
      </w:r>
      <w:r w:rsidR="007E5E6D">
        <w:rPr>
          <w:lang w:eastAsia="en-GB"/>
        </w:rPr>
        <w:t>nuclear sector</w:t>
      </w:r>
      <w:r w:rsidR="007E5E6D" w:rsidRPr="00820D69">
        <w:rPr>
          <w:lang w:eastAsia="en-GB"/>
        </w:rPr>
        <w:t xml:space="preserve"> </w:t>
      </w:r>
      <w:r w:rsidRPr="00820D69">
        <w:rPr>
          <w:lang w:eastAsia="en-GB"/>
        </w:rPr>
        <w:t xml:space="preserve">vendors’ displays/exhibits during the conference. </w:t>
      </w:r>
      <w:r w:rsidR="00614756">
        <w:rPr>
          <w:lang w:eastAsia="en-GB"/>
        </w:rPr>
        <w:t>A limited number of workshops</w:t>
      </w:r>
      <w:r w:rsidR="0068772C">
        <w:rPr>
          <w:lang w:eastAsia="en-GB"/>
        </w:rPr>
        <w:t xml:space="preserve"> (including </w:t>
      </w:r>
      <w:r w:rsidR="00614756">
        <w:rPr>
          <w:lang w:eastAsia="en-GB"/>
        </w:rPr>
        <w:t>technology demonstrations</w:t>
      </w:r>
      <w:r w:rsidR="0068772C">
        <w:rPr>
          <w:lang w:eastAsia="en-GB"/>
        </w:rPr>
        <w:t>)</w:t>
      </w:r>
      <w:r w:rsidR="00614756">
        <w:rPr>
          <w:lang w:eastAsia="en-GB"/>
        </w:rPr>
        <w:t xml:space="preserve"> and training seminars may also be arranged. </w:t>
      </w:r>
    </w:p>
    <w:p w:rsidR="00893D40" w:rsidRPr="00820D69" w:rsidRDefault="00893D40" w:rsidP="001B708A">
      <w:pPr>
        <w:pStyle w:val="BodyTextMultiline"/>
        <w:numPr>
          <w:ilvl w:val="0"/>
          <w:numId w:val="0"/>
        </w:numPr>
        <w:rPr>
          <w:lang w:eastAsia="en-GB"/>
        </w:rPr>
      </w:pPr>
      <w:r w:rsidRPr="00820D69">
        <w:rPr>
          <w:lang w:eastAsia="en-GB"/>
        </w:rPr>
        <w:t xml:space="preserve">Interested parties should contact the </w:t>
      </w:r>
      <w:r w:rsidR="001B708A" w:rsidRPr="00820D69">
        <w:rPr>
          <w:lang w:eastAsia="en-GB"/>
        </w:rPr>
        <w:t>S</w:t>
      </w:r>
      <w:r w:rsidRPr="00820D69">
        <w:rPr>
          <w:lang w:eastAsia="en-GB"/>
        </w:rPr>
        <w:t xml:space="preserve">cientific </w:t>
      </w:r>
      <w:r w:rsidR="001B708A" w:rsidRPr="00820D69">
        <w:rPr>
          <w:lang w:eastAsia="en-GB"/>
        </w:rPr>
        <w:t>S</w:t>
      </w:r>
      <w:r w:rsidRPr="00820D69">
        <w:rPr>
          <w:lang w:eastAsia="en-GB"/>
        </w:rPr>
        <w:t xml:space="preserve">ecretariat by </w:t>
      </w:r>
      <w:r w:rsidRPr="00B74C63">
        <w:rPr>
          <w:lang w:eastAsia="en-GB"/>
        </w:rPr>
        <w:t xml:space="preserve">email: </w:t>
      </w:r>
      <w:hyperlink r:id="rId11" w:history="1">
        <w:r w:rsidR="002F3D3D" w:rsidRPr="00382DB7">
          <w:rPr>
            <w:rStyle w:val="Hyperlink"/>
          </w:rPr>
          <w:t>NKM-Conference@iaea.org</w:t>
        </w:r>
      </w:hyperlink>
      <w:r w:rsidRPr="002F3D3D">
        <w:rPr>
          <w:lang w:eastAsia="en-GB"/>
        </w:rPr>
        <w:t xml:space="preserve"> </w:t>
      </w:r>
      <w:r w:rsidR="001B708A" w:rsidRPr="002F3D3D">
        <w:rPr>
          <w:lang w:eastAsia="en-GB"/>
        </w:rPr>
        <w:t>b</w:t>
      </w:r>
      <w:r w:rsidR="001B708A" w:rsidRPr="00B74C63">
        <w:rPr>
          <w:lang w:eastAsia="en-GB"/>
        </w:rPr>
        <w:t xml:space="preserve">y </w:t>
      </w:r>
      <w:r w:rsidR="00B70A7F" w:rsidRPr="000746FF">
        <w:rPr>
          <w:b/>
          <w:strike/>
          <w:szCs w:val="22"/>
        </w:rPr>
        <w:t>28</w:t>
      </w:r>
      <w:r w:rsidR="0072699A" w:rsidRPr="000746FF">
        <w:rPr>
          <w:b/>
          <w:strike/>
          <w:szCs w:val="22"/>
        </w:rPr>
        <w:t> </w:t>
      </w:r>
      <w:r w:rsidR="00B70A7F" w:rsidRPr="000746FF">
        <w:rPr>
          <w:b/>
          <w:strike/>
          <w:szCs w:val="22"/>
        </w:rPr>
        <w:t>February</w:t>
      </w:r>
      <w:r w:rsidR="0049070C" w:rsidRPr="000746FF">
        <w:rPr>
          <w:b/>
          <w:strike/>
          <w:szCs w:val="22"/>
        </w:rPr>
        <w:t xml:space="preserve"> 2016</w:t>
      </w:r>
      <w:r w:rsidR="000746FF">
        <w:rPr>
          <w:lang w:eastAsia="en-GB"/>
        </w:rPr>
        <w:t xml:space="preserve"> </w:t>
      </w:r>
      <w:r w:rsidR="002F411E" w:rsidRPr="002F411E">
        <w:rPr>
          <w:b/>
        </w:rPr>
        <w:t>31 March 2016</w:t>
      </w:r>
      <w:r w:rsidR="000746FF">
        <w:rPr>
          <w:b/>
          <w:i/>
        </w:rPr>
        <w:t xml:space="preserve"> (deadline extension!)</w:t>
      </w:r>
      <w:r w:rsidRPr="00B74C63">
        <w:rPr>
          <w:lang w:eastAsia="en-GB"/>
        </w:rPr>
        <w:t>.</w:t>
      </w:r>
      <w:r w:rsidR="0049070C">
        <w:rPr>
          <w:lang w:eastAsia="en-GB"/>
        </w:rPr>
        <w:t xml:space="preserve"> </w:t>
      </w:r>
      <w:r w:rsidR="00614756" w:rsidRPr="00B74C63">
        <w:rPr>
          <w:lang w:eastAsia="en-GB"/>
        </w:rPr>
        <w:t>In particular, n</w:t>
      </w:r>
      <w:r w:rsidR="007E15EA" w:rsidRPr="00B74C63">
        <w:rPr>
          <w:lang w:eastAsia="en-GB"/>
        </w:rPr>
        <w:t xml:space="preserve">uclear reactor design organizations, </w:t>
      </w:r>
      <w:r w:rsidR="00B67A6A" w:rsidRPr="00B67A6A">
        <w:rPr>
          <w:lang w:eastAsia="en-GB"/>
        </w:rPr>
        <w:t xml:space="preserve">engineering, procurement and construction </w:t>
      </w:r>
      <w:r w:rsidR="007E15EA" w:rsidRPr="00B67A6A">
        <w:rPr>
          <w:lang w:eastAsia="en-GB"/>
        </w:rPr>
        <w:t>vendor organizations,</w:t>
      </w:r>
      <w:r w:rsidR="0068772C" w:rsidRPr="00B67A6A">
        <w:rPr>
          <w:lang w:eastAsia="en-GB"/>
        </w:rPr>
        <w:t xml:space="preserve"> </w:t>
      </w:r>
      <w:r w:rsidR="00B67A6A" w:rsidRPr="00F47DAF">
        <w:rPr>
          <w:lang w:eastAsia="en-GB"/>
        </w:rPr>
        <w:t xml:space="preserve">three dimensional </w:t>
      </w:r>
      <w:r w:rsidR="00B67A6A" w:rsidRPr="00B67A6A">
        <w:rPr>
          <w:lang w:eastAsia="en-GB"/>
        </w:rPr>
        <w:t xml:space="preserve">computer-aided </w:t>
      </w:r>
      <w:r w:rsidR="00B67A6A" w:rsidRPr="007D1F21">
        <w:rPr>
          <w:lang w:eastAsia="en-GB"/>
        </w:rPr>
        <w:t>design</w:t>
      </w:r>
      <w:r w:rsidR="007D1F21" w:rsidRPr="00F47DAF">
        <w:rPr>
          <w:lang w:eastAsia="en-GB"/>
        </w:rPr>
        <w:t xml:space="preserve"> </w:t>
      </w:r>
      <w:r w:rsidR="0068772C" w:rsidRPr="007D1F21">
        <w:rPr>
          <w:lang w:eastAsia="en-GB"/>
        </w:rPr>
        <w:t>plant</w:t>
      </w:r>
      <w:r w:rsidR="007D1F21" w:rsidRPr="00F47DAF">
        <w:rPr>
          <w:lang w:eastAsia="en-GB"/>
        </w:rPr>
        <w:t xml:space="preserve"> </w:t>
      </w:r>
      <w:r w:rsidR="0068772C" w:rsidRPr="007D1F21">
        <w:rPr>
          <w:lang w:eastAsia="en-GB"/>
        </w:rPr>
        <w:t xml:space="preserve">information model </w:t>
      </w:r>
      <w:r w:rsidR="007E15EA" w:rsidRPr="007D1F21">
        <w:rPr>
          <w:lang w:eastAsia="en-GB"/>
        </w:rPr>
        <w:t xml:space="preserve">vendors, </w:t>
      </w:r>
      <w:r w:rsidR="00614756" w:rsidRPr="007D1F21">
        <w:rPr>
          <w:lang w:eastAsia="en-GB"/>
        </w:rPr>
        <w:t>simulation/</w:t>
      </w:r>
      <w:r w:rsidR="007E15EA" w:rsidRPr="007D1F21">
        <w:rPr>
          <w:lang w:eastAsia="en-GB"/>
        </w:rPr>
        <w:t xml:space="preserve">simulator </w:t>
      </w:r>
      <w:r w:rsidR="00614756" w:rsidRPr="007D1F21">
        <w:rPr>
          <w:lang w:eastAsia="en-GB"/>
        </w:rPr>
        <w:t>technology</w:t>
      </w:r>
      <w:r w:rsidR="00614756">
        <w:rPr>
          <w:lang w:eastAsia="en-GB"/>
        </w:rPr>
        <w:t xml:space="preserve"> </w:t>
      </w:r>
      <w:r w:rsidR="007E15EA">
        <w:rPr>
          <w:lang w:eastAsia="en-GB"/>
        </w:rPr>
        <w:t>vendors, and operational support system software vendors are encouraged to participate.</w:t>
      </w:r>
    </w:p>
    <w:p w:rsidR="00E77634" w:rsidRPr="00820D69" w:rsidRDefault="006D57B9" w:rsidP="00165141">
      <w:pPr>
        <w:pStyle w:val="Heading1"/>
        <w:numPr>
          <w:ilvl w:val="0"/>
          <w:numId w:val="7"/>
        </w:numPr>
        <w:spacing w:before="600"/>
        <w:ind w:left="0" w:firstLine="0"/>
      </w:pPr>
      <w:r w:rsidRPr="00820D69">
        <w:t>Working Language</w:t>
      </w:r>
    </w:p>
    <w:p w:rsidR="006117D0" w:rsidRPr="00893D40" w:rsidRDefault="006D57B9" w:rsidP="00AB1072">
      <w:pPr>
        <w:pStyle w:val="BodyTextMultiline"/>
        <w:numPr>
          <w:ilvl w:val="0"/>
          <w:numId w:val="0"/>
        </w:numPr>
      </w:pPr>
      <w:r w:rsidRPr="00820D69">
        <w:t>The working language of the conference will be English. All communications and papers must be sent to the IAEA in English.</w:t>
      </w:r>
    </w:p>
    <w:p w:rsidR="00750DF0" w:rsidRPr="00893D40" w:rsidRDefault="006D57B9" w:rsidP="00165141">
      <w:pPr>
        <w:pStyle w:val="Heading1"/>
        <w:numPr>
          <w:ilvl w:val="0"/>
          <w:numId w:val="7"/>
        </w:numPr>
        <w:spacing w:before="600"/>
        <w:ind w:left="0" w:firstLine="0"/>
      </w:pPr>
      <w:r w:rsidRPr="00893D40">
        <w:t>Conference Venue and Accommodation</w:t>
      </w:r>
    </w:p>
    <w:p w:rsidR="00E379C7" w:rsidRPr="00893D40" w:rsidRDefault="006D57B9" w:rsidP="00AB1072">
      <w:pPr>
        <w:overflowPunct/>
        <w:spacing w:after="170" w:line="280" w:lineRule="atLeast"/>
        <w:jc w:val="both"/>
        <w:textAlignment w:val="auto"/>
        <w:rPr>
          <w:color w:val="000000"/>
          <w:szCs w:val="22"/>
          <w:lang w:eastAsia="en-GB"/>
        </w:rPr>
      </w:pPr>
      <w:r w:rsidRPr="00893D40">
        <w:rPr>
          <w:szCs w:val="22"/>
        </w:rPr>
        <w:t>The conference will be held at the IAEA’s Headquarters in Vienna, Austria. Participants must make their own travel and accommodation arrangements. Hotels which are offering a reduced rate for conference participants will be listed on the conference web page</w:t>
      </w:r>
      <w:r w:rsidR="00AB1072">
        <w:rPr>
          <w:szCs w:val="22"/>
        </w:rPr>
        <w:t xml:space="preserve"> (see Section </w:t>
      </w:r>
      <w:r w:rsidR="00AB1072">
        <w:rPr>
          <w:szCs w:val="22"/>
        </w:rPr>
        <w:fldChar w:fldCharType="begin"/>
      </w:r>
      <w:r w:rsidR="00AB1072">
        <w:rPr>
          <w:szCs w:val="22"/>
        </w:rPr>
        <w:instrText xml:space="preserve"> REF _Ref389037002 \r \h </w:instrText>
      </w:r>
      <w:r w:rsidR="00AB1072">
        <w:rPr>
          <w:szCs w:val="22"/>
        </w:rPr>
      </w:r>
      <w:r w:rsidR="00AB1072">
        <w:rPr>
          <w:szCs w:val="22"/>
        </w:rPr>
        <w:fldChar w:fldCharType="separate"/>
      </w:r>
      <w:r w:rsidR="009D466E">
        <w:rPr>
          <w:szCs w:val="22"/>
        </w:rPr>
        <w:t>P</w:t>
      </w:r>
      <w:r w:rsidR="00AB1072">
        <w:rPr>
          <w:szCs w:val="22"/>
        </w:rPr>
        <w:fldChar w:fldCharType="end"/>
      </w:r>
      <w:r w:rsidR="00AB1072">
        <w:rPr>
          <w:szCs w:val="22"/>
        </w:rPr>
        <w:t xml:space="preserve"> below)</w:t>
      </w:r>
      <w:r w:rsidRPr="00893D40">
        <w:rPr>
          <w:szCs w:val="22"/>
        </w:rPr>
        <w:t xml:space="preserve">. </w:t>
      </w:r>
      <w:r w:rsidR="00614756">
        <w:rPr>
          <w:szCs w:val="22"/>
        </w:rPr>
        <w:t xml:space="preserve">Reservations should be made well in advance. </w:t>
      </w:r>
      <w:r w:rsidRPr="00893D40">
        <w:rPr>
          <w:szCs w:val="22"/>
        </w:rPr>
        <w:t>Please note that the IAEA is not in a position to assist participants with hotel bookings, nor can the IAEA assume responsibility for paying cancellation fees or for re-booking and no shows.</w:t>
      </w:r>
    </w:p>
    <w:p w:rsidR="005E28D8" w:rsidRPr="00893D40" w:rsidRDefault="005E28D8" w:rsidP="00165141">
      <w:pPr>
        <w:pStyle w:val="Heading1"/>
        <w:numPr>
          <w:ilvl w:val="0"/>
          <w:numId w:val="7"/>
        </w:numPr>
        <w:spacing w:before="600"/>
        <w:ind w:left="0" w:firstLine="0"/>
      </w:pPr>
      <w:r w:rsidRPr="00893D40">
        <w:lastRenderedPageBreak/>
        <w:t>V</w:t>
      </w:r>
      <w:r w:rsidR="006D57B9" w:rsidRPr="00893D40">
        <w:t>isas</w:t>
      </w:r>
    </w:p>
    <w:p w:rsidR="008F3152" w:rsidRPr="00893D40" w:rsidRDefault="006D57B9" w:rsidP="008F3152">
      <w:pPr>
        <w:overflowPunct/>
        <w:spacing w:after="170" w:line="280" w:lineRule="atLeast"/>
        <w:jc w:val="both"/>
        <w:textAlignment w:val="auto"/>
        <w:rPr>
          <w:b/>
          <w:bCs/>
          <w:color w:val="000000"/>
          <w:szCs w:val="22"/>
          <w:lang w:eastAsia="en-GB"/>
        </w:rPr>
      </w:pPr>
      <w:r w:rsidRPr="00893D40">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893D40">
        <w:rPr>
          <w:szCs w:val="22"/>
          <w:lang w:eastAsia="en-GB"/>
        </w:rPr>
        <w:t>authority of a Schengen Partner State representing Austria in the country in question.</w:t>
      </w:r>
    </w:p>
    <w:p w:rsidR="00750DF0" w:rsidRPr="00EF178E" w:rsidRDefault="006D57B9" w:rsidP="00165141">
      <w:pPr>
        <w:pStyle w:val="Heading1"/>
        <w:numPr>
          <w:ilvl w:val="0"/>
          <w:numId w:val="7"/>
        </w:numPr>
        <w:spacing w:before="600"/>
        <w:ind w:left="0" w:firstLine="0"/>
      </w:pPr>
      <w:r w:rsidRPr="00EF178E">
        <w:t>Key Deadlines</w:t>
      </w:r>
    </w:p>
    <w:p w:rsidR="001C2995" w:rsidRPr="00414B61" w:rsidRDefault="006D57B9" w:rsidP="000746FF">
      <w:pPr>
        <w:pStyle w:val="BodyText"/>
        <w:tabs>
          <w:tab w:val="left" w:pos="5387"/>
          <w:tab w:val="left" w:pos="6096"/>
          <w:tab w:val="left" w:pos="7088"/>
        </w:tabs>
        <w:spacing w:after="60"/>
      </w:pPr>
      <w:r w:rsidRPr="00EF178E">
        <w:t xml:space="preserve">Submission of </w:t>
      </w:r>
      <w:r w:rsidR="005716A9" w:rsidRPr="00EF178E">
        <w:t>Form B</w:t>
      </w:r>
      <w:r w:rsidRPr="00EF178E">
        <w:t xml:space="preserve"> and </w:t>
      </w:r>
      <w:r w:rsidR="00E00915" w:rsidRPr="00D41A10">
        <w:t>papers</w:t>
      </w:r>
      <w:r w:rsidRPr="00EF178E">
        <w:t>:</w:t>
      </w:r>
      <w:r w:rsidR="001B305A">
        <w:tab/>
      </w:r>
      <w:r w:rsidR="002F411E" w:rsidRPr="002F411E">
        <w:rPr>
          <w:b/>
        </w:rPr>
        <w:t>31 March 2016</w:t>
      </w:r>
      <w:r w:rsidR="001B305A">
        <w:rPr>
          <w:b/>
        </w:rPr>
        <w:t xml:space="preserve"> </w:t>
      </w:r>
    </w:p>
    <w:p w:rsidR="000746FF" w:rsidRDefault="006D57B9" w:rsidP="000746FF">
      <w:pPr>
        <w:pStyle w:val="BodyText"/>
        <w:tabs>
          <w:tab w:val="left" w:pos="5387"/>
          <w:tab w:val="left" w:pos="6096"/>
        </w:tabs>
        <w:spacing w:after="60"/>
        <w:jc w:val="left"/>
        <w:rPr>
          <w:b/>
          <w:i/>
          <w:color w:val="FF0000"/>
        </w:rPr>
      </w:pPr>
      <w:r w:rsidRPr="00414B61">
        <w:t xml:space="preserve">Submission of </w:t>
      </w:r>
      <w:r w:rsidR="005716A9" w:rsidRPr="00414B61">
        <w:t>Form C</w:t>
      </w:r>
      <w:r w:rsidRPr="00414B61">
        <w:t>:</w:t>
      </w:r>
      <w:r w:rsidR="005716A9" w:rsidRPr="00414B61">
        <w:tab/>
      </w:r>
      <w:r w:rsidR="002F411E" w:rsidRPr="002F411E">
        <w:rPr>
          <w:b/>
        </w:rPr>
        <w:t>31 March 2016</w:t>
      </w:r>
      <w:r w:rsidR="000746FF">
        <w:rPr>
          <w:b/>
        </w:rPr>
        <w:t xml:space="preserve"> </w:t>
      </w:r>
    </w:p>
    <w:p w:rsidR="006D57B9" w:rsidRDefault="006D57B9" w:rsidP="000746FF">
      <w:pPr>
        <w:pStyle w:val="BodyText"/>
        <w:tabs>
          <w:tab w:val="left" w:pos="5387"/>
          <w:tab w:val="left" w:pos="6096"/>
        </w:tabs>
        <w:spacing w:after="60"/>
        <w:jc w:val="left"/>
        <w:rPr>
          <w:b/>
        </w:rPr>
      </w:pPr>
      <w:r w:rsidRPr="00414B61">
        <w:t xml:space="preserve">Notification of acceptance of </w:t>
      </w:r>
      <w:r w:rsidR="00E00915" w:rsidRPr="00414B61">
        <w:t>papers</w:t>
      </w:r>
      <w:r w:rsidRPr="00414B61">
        <w:t>:</w:t>
      </w:r>
      <w:r w:rsidRPr="00414B61">
        <w:tab/>
      </w:r>
      <w:r w:rsidR="00F700BA">
        <w:rPr>
          <w:b/>
        </w:rPr>
        <w:t>Mid-</w:t>
      </w:r>
      <w:r w:rsidR="00C60FD1" w:rsidRPr="00414B61">
        <w:rPr>
          <w:b/>
        </w:rPr>
        <w:t>May 2016</w:t>
      </w:r>
    </w:p>
    <w:p w:rsidR="00657734" w:rsidRPr="002B3327" w:rsidRDefault="006D57B9" w:rsidP="00165141">
      <w:pPr>
        <w:pStyle w:val="Heading1"/>
        <w:numPr>
          <w:ilvl w:val="0"/>
          <w:numId w:val="7"/>
        </w:numPr>
        <w:spacing w:before="600"/>
        <w:ind w:left="0" w:firstLine="0"/>
      </w:pPr>
      <w:r w:rsidRPr="002B3327">
        <w:t>Conference Secretariat</w:t>
      </w:r>
      <w:bookmarkStart w:id="3" w:name="_GoBack"/>
      <w:bookmarkEnd w:id="3"/>
    </w:p>
    <w:p w:rsidR="006D57B9" w:rsidRPr="002B3327" w:rsidRDefault="006D57B9" w:rsidP="006D57B9">
      <w:pPr>
        <w:pStyle w:val="BodyText"/>
        <w:keepNext/>
        <w:keepLines/>
        <w:rPr>
          <w:b/>
        </w:rPr>
      </w:pPr>
      <w:r w:rsidRPr="002B3327">
        <w:rPr>
          <w:b/>
        </w:rPr>
        <w:t>General contact details:</w:t>
      </w:r>
    </w:p>
    <w:p w:rsidR="006D57B9" w:rsidRPr="002B3327" w:rsidRDefault="006D57B9" w:rsidP="00291FB2">
      <w:pPr>
        <w:pStyle w:val="BodyText"/>
        <w:keepNext/>
        <w:keepLines/>
      </w:pPr>
      <w:r w:rsidRPr="002B3327">
        <w:rPr>
          <w:rFonts w:eastAsia="MS Mincho"/>
          <w:szCs w:val="22"/>
        </w:rPr>
        <w:t>International Atomic Energy Agency</w:t>
      </w:r>
      <w:r w:rsidRPr="002B3327">
        <w:br/>
      </w:r>
      <w:r w:rsidRPr="002B3327">
        <w:rPr>
          <w:rFonts w:eastAsia="MS Mincho"/>
          <w:szCs w:val="22"/>
        </w:rPr>
        <w:t>Vienna International Centre</w:t>
      </w:r>
      <w:r w:rsidRPr="002B3327">
        <w:rPr>
          <w:rFonts w:eastAsia="MS Mincho"/>
          <w:szCs w:val="22"/>
        </w:rPr>
        <w:br/>
        <w:t>PO Box 100</w:t>
      </w:r>
      <w:r w:rsidRPr="002B3327">
        <w:br/>
      </w:r>
      <w:r w:rsidRPr="002B3327">
        <w:rPr>
          <w:rFonts w:eastAsia="MS Mincho"/>
          <w:szCs w:val="22"/>
        </w:rPr>
        <w:t>1400 VIENNA</w:t>
      </w:r>
      <w:r w:rsidRPr="002B3327">
        <w:rPr>
          <w:rFonts w:eastAsia="MS Mincho"/>
          <w:szCs w:val="22"/>
        </w:rPr>
        <w:br/>
        <w:t>AUSTRIA</w:t>
      </w:r>
      <w:r w:rsidRPr="002B3327">
        <w:br/>
      </w:r>
      <w:r w:rsidRPr="002B3327">
        <w:rPr>
          <w:rFonts w:eastAsia="MS Mincho"/>
          <w:szCs w:val="22"/>
          <w:lang w:eastAsia="ja-JP"/>
        </w:rPr>
        <w:t>Tel.: +43 1 2600</w:t>
      </w:r>
      <w:r w:rsidRPr="002B3327">
        <w:br/>
      </w:r>
      <w:r w:rsidRPr="002B3327">
        <w:rPr>
          <w:rFonts w:eastAsia="MS Mincho"/>
          <w:szCs w:val="22"/>
          <w:lang w:eastAsia="ja-JP"/>
        </w:rPr>
        <w:t>Fax: +43 1 2600</w:t>
      </w:r>
      <w:r w:rsidR="00291FB2">
        <w:rPr>
          <w:rFonts w:eastAsia="MS Mincho"/>
          <w:szCs w:val="22"/>
          <w:lang w:eastAsia="ja-JP"/>
        </w:rPr>
        <w:t>7</w:t>
      </w:r>
      <w:r w:rsidRPr="002B3327">
        <w:br/>
      </w:r>
      <w:r w:rsidRPr="002B3327">
        <w:rPr>
          <w:rFonts w:eastAsia="MS Mincho"/>
          <w:szCs w:val="22"/>
          <w:lang w:eastAsia="ja-JP"/>
        </w:rPr>
        <w:t xml:space="preserve">Email: </w:t>
      </w:r>
      <w:hyperlink r:id="rId12" w:history="1">
        <w:r w:rsidR="006B34CB" w:rsidRPr="002B3327">
          <w:rPr>
            <w:rStyle w:val="Hyperlink"/>
            <w:rFonts w:eastAsia="Batang"/>
            <w:szCs w:val="22"/>
            <w:lang w:eastAsia="ko-KR"/>
          </w:rPr>
          <w:t>Official.Mail@iaea.org</w:t>
        </w:r>
      </w:hyperlink>
    </w:p>
    <w:p w:rsidR="001B708A" w:rsidRDefault="00C7512B" w:rsidP="001C2995">
      <w:pPr>
        <w:keepNext/>
        <w:keepLines/>
        <w:overflowPunct/>
        <w:spacing w:before="240" w:after="120" w:line="276" w:lineRule="auto"/>
        <w:jc w:val="both"/>
        <w:textAlignment w:val="auto"/>
        <w:rPr>
          <w:b/>
          <w:bCs/>
          <w:color w:val="000000"/>
          <w:szCs w:val="22"/>
          <w:lang w:eastAsia="en-GB"/>
        </w:rPr>
        <w:sectPr w:rsidR="001B708A" w:rsidSect="009E26FF">
          <w:headerReference w:type="even" r:id="rId13"/>
          <w:headerReference w:type="default" r:id="rId14"/>
          <w:footerReference w:type="even" r:id="rId15"/>
          <w:headerReference w:type="first" r:id="rId16"/>
          <w:pgSz w:w="12240" w:h="15840"/>
          <w:pgMar w:top="1440" w:right="1440" w:bottom="1440" w:left="1440" w:header="720" w:footer="720" w:gutter="0"/>
          <w:cols w:space="720"/>
          <w:titlePg/>
          <w:docGrid w:linePitch="299"/>
        </w:sectPr>
      </w:pPr>
      <w:r w:rsidRPr="002B3327">
        <w:rPr>
          <w:b/>
          <w:bCs/>
          <w:color w:val="000000"/>
          <w:szCs w:val="22"/>
          <w:lang w:eastAsia="en-GB"/>
        </w:rPr>
        <w:t xml:space="preserve">Scientific </w:t>
      </w:r>
      <w:r w:rsidR="007C12D0" w:rsidRPr="002B3327">
        <w:rPr>
          <w:b/>
          <w:bCs/>
          <w:color w:val="000000"/>
          <w:szCs w:val="22"/>
          <w:lang w:eastAsia="en-GB"/>
        </w:rPr>
        <w:t>Secretar</w:t>
      </w:r>
      <w:r w:rsidR="002A57CF">
        <w:rPr>
          <w:b/>
          <w:bCs/>
          <w:color w:val="000000"/>
          <w:szCs w:val="22"/>
          <w:lang w:eastAsia="en-GB"/>
        </w:rPr>
        <w:t>ies</w:t>
      </w:r>
      <w:r w:rsidR="006D57B9" w:rsidRPr="002B3327">
        <w:rPr>
          <w:b/>
          <w:bCs/>
          <w:color w:val="000000"/>
          <w:szCs w:val="22"/>
          <w:lang w:eastAsia="en-GB"/>
        </w:rPr>
        <w:t>:</w:t>
      </w:r>
    </w:p>
    <w:p w:rsidR="00C7512B" w:rsidRPr="002B3327" w:rsidRDefault="00C60FD1" w:rsidP="00C86C3B">
      <w:pPr>
        <w:overflowPunct/>
        <w:spacing w:after="170" w:line="280" w:lineRule="atLeast"/>
        <w:contextualSpacing/>
        <w:jc w:val="both"/>
        <w:textAlignment w:val="auto"/>
        <w:rPr>
          <w:b/>
          <w:bCs/>
          <w:szCs w:val="22"/>
          <w:lang w:eastAsia="en-GB"/>
        </w:rPr>
      </w:pPr>
      <w:r>
        <w:rPr>
          <w:b/>
          <w:bCs/>
          <w:szCs w:val="22"/>
          <w:lang w:eastAsia="en-GB"/>
        </w:rPr>
        <w:lastRenderedPageBreak/>
        <w:t xml:space="preserve">Mr John de </w:t>
      </w:r>
      <w:proofErr w:type="spellStart"/>
      <w:r>
        <w:rPr>
          <w:b/>
          <w:bCs/>
          <w:szCs w:val="22"/>
          <w:lang w:eastAsia="en-GB"/>
        </w:rPr>
        <w:t>Grosbois</w:t>
      </w:r>
      <w:proofErr w:type="spellEnd"/>
    </w:p>
    <w:p w:rsidR="00F87858" w:rsidRPr="002B3327" w:rsidRDefault="00C60FD1" w:rsidP="00C86C3B">
      <w:pPr>
        <w:overflowPunct/>
        <w:spacing w:after="170" w:line="280" w:lineRule="atLeast"/>
        <w:contextualSpacing/>
        <w:textAlignment w:val="auto"/>
      </w:pPr>
      <w:r>
        <w:t xml:space="preserve">Nuclear Knowledge Management Section </w:t>
      </w:r>
    </w:p>
    <w:p w:rsidR="001B708A" w:rsidRPr="002B3327" w:rsidRDefault="006D57B9" w:rsidP="00C86C3B">
      <w:pPr>
        <w:overflowPunct/>
        <w:spacing w:after="170" w:line="280" w:lineRule="atLeast"/>
        <w:contextualSpacing/>
        <w:textAlignment w:val="auto"/>
        <w:rPr>
          <w:color w:val="000000"/>
          <w:szCs w:val="22"/>
          <w:lang w:eastAsia="en-GB"/>
        </w:rPr>
      </w:pPr>
      <w:r w:rsidRPr="002B3327">
        <w:t xml:space="preserve">Department of </w:t>
      </w:r>
      <w:r w:rsidR="00C60FD1">
        <w:t>Nuclear Energy</w:t>
      </w:r>
    </w:p>
    <w:p w:rsidR="001B708A" w:rsidRPr="00637600" w:rsidRDefault="00750DF0" w:rsidP="00C86C3B">
      <w:pPr>
        <w:overflowPunct/>
        <w:spacing w:after="170" w:line="280" w:lineRule="atLeast"/>
        <w:contextualSpacing/>
        <w:jc w:val="both"/>
        <w:textAlignment w:val="auto"/>
        <w:rPr>
          <w:color w:val="000000"/>
          <w:szCs w:val="22"/>
          <w:lang w:eastAsia="en-GB"/>
        </w:rPr>
      </w:pPr>
      <w:r w:rsidRPr="00470373">
        <w:rPr>
          <w:color w:val="000000"/>
          <w:szCs w:val="22"/>
          <w:lang w:eastAsia="en-GB"/>
        </w:rPr>
        <w:t>Tel</w:t>
      </w:r>
      <w:r w:rsidRPr="00637600">
        <w:rPr>
          <w:color w:val="000000"/>
          <w:szCs w:val="22"/>
          <w:lang w:eastAsia="en-GB"/>
        </w:rPr>
        <w:t>.: +43 1 2600</w:t>
      </w:r>
      <w:r w:rsidR="006D57B9" w:rsidRPr="00637600">
        <w:rPr>
          <w:color w:val="000000"/>
          <w:szCs w:val="22"/>
          <w:lang w:eastAsia="en-GB"/>
        </w:rPr>
        <w:t xml:space="preserve"> </w:t>
      </w:r>
      <w:r w:rsidR="00C60FD1" w:rsidRPr="00637600">
        <w:rPr>
          <w:color w:val="000000"/>
          <w:szCs w:val="22"/>
          <w:lang w:eastAsia="en-GB"/>
        </w:rPr>
        <w:t>228</w:t>
      </w:r>
      <w:r w:rsidR="0068772C" w:rsidRPr="00637600">
        <w:rPr>
          <w:color w:val="000000"/>
          <w:szCs w:val="22"/>
          <w:lang w:eastAsia="en-GB"/>
        </w:rPr>
        <w:t>8</w:t>
      </w:r>
      <w:r w:rsidR="00C60FD1" w:rsidRPr="00637600">
        <w:rPr>
          <w:color w:val="000000"/>
          <w:szCs w:val="22"/>
          <w:lang w:eastAsia="en-GB"/>
        </w:rPr>
        <w:t>3</w:t>
      </w:r>
    </w:p>
    <w:p w:rsidR="006B59F8" w:rsidRPr="004C3786" w:rsidRDefault="00750DF0" w:rsidP="00C86C3B">
      <w:pPr>
        <w:overflowPunct/>
        <w:spacing w:after="170" w:line="280" w:lineRule="atLeast"/>
        <w:contextualSpacing/>
        <w:jc w:val="both"/>
        <w:textAlignment w:val="auto"/>
        <w:rPr>
          <w:rStyle w:val="Hyperlink"/>
          <w:szCs w:val="22"/>
          <w:lang w:eastAsia="en-GB"/>
        </w:rPr>
      </w:pPr>
      <w:r w:rsidRPr="00637600">
        <w:rPr>
          <w:color w:val="000000"/>
          <w:szCs w:val="22"/>
          <w:lang w:eastAsia="en-GB"/>
        </w:rPr>
        <w:t>Email:</w:t>
      </w:r>
      <w:r w:rsidR="006D57B9" w:rsidRPr="00637600">
        <w:rPr>
          <w:color w:val="000000"/>
          <w:szCs w:val="22"/>
          <w:lang w:eastAsia="en-GB"/>
        </w:rPr>
        <w:t xml:space="preserve"> </w:t>
      </w:r>
      <w:r w:rsidR="004C3786" w:rsidRPr="004C3786">
        <w:t>NKM-Conference@iaea.org</w:t>
      </w:r>
    </w:p>
    <w:p w:rsidR="00B74C63" w:rsidRPr="004C3786" w:rsidRDefault="00AB1072" w:rsidP="00C86C3B">
      <w:pPr>
        <w:overflowPunct/>
        <w:spacing w:after="170" w:line="280" w:lineRule="atLeast"/>
        <w:contextualSpacing/>
        <w:jc w:val="both"/>
        <w:textAlignment w:val="auto"/>
        <w:rPr>
          <w:b/>
          <w:bCs/>
          <w:szCs w:val="22"/>
          <w:lang w:eastAsia="en-GB"/>
        </w:rPr>
      </w:pPr>
      <w:r w:rsidRPr="004C3786">
        <w:rPr>
          <w:b/>
          <w:bCs/>
          <w:szCs w:val="22"/>
          <w:lang w:eastAsia="en-GB"/>
        </w:rPr>
        <w:br w:type="column"/>
      </w:r>
      <w:r w:rsidR="00AD62DB" w:rsidRPr="004C3786">
        <w:rPr>
          <w:b/>
          <w:bCs/>
          <w:szCs w:val="22"/>
          <w:lang w:eastAsia="en-GB"/>
        </w:rPr>
        <w:lastRenderedPageBreak/>
        <w:t>Ms</w:t>
      </w:r>
      <w:r w:rsidR="00B74C63" w:rsidRPr="004C3786">
        <w:rPr>
          <w:b/>
          <w:bCs/>
          <w:szCs w:val="22"/>
          <w:lang w:eastAsia="en-GB"/>
        </w:rPr>
        <w:t xml:space="preserve"> Maria Elena </w:t>
      </w:r>
      <w:proofErr w:type="spellStart"/>
      <w:r w:rsidR="00B74C63" w:rsidRPr="004C3786">
        <w:rPr>
          <w:b/>
          <w:bCs/>
          <w:szCs w:val="22"/>
          <w:lang w:eastAsia="en-GB"/>
        </w:rPr>
        <w:t>Urso</w:t>
      </w:r>
      <w:proofErr w:type="spellEnd"/>
    </w:p>
    <w:p w:rsidR="00B74C63" w:rsidRPr="004C3786" w:rsidRDefault="00B74C63" w:rsidP="00C86C3B">
      <w:pPr>
        <w:overflowPunct/>
        <w:spacing w:after="170" w:line="280" w:lineRule="atLeast"/>
        <w:contextualSpacing/>
        <w:textAlignment w:val="auto"/>
      </w:pPr>
      <w:r w:rsidRPr="004C3786">
        <w:t xml:space="preserve">Nuclear Knowledge Management Section </w:t>
      </w:r>
    </w:p>
    <w:p w:rsidR="00B74C63" w:rsidRPr="004C3786" w:rsidRDefault="00B74C63" w:rsidP="00C86C3B">
      <w:pPr>
        <w:overflowPunct/>
        <w:spacing w:after="170" w:line="280" w:lineRule="atLeast"/>
        <w:contextualSpacing/>
        <w:textAlignment w:val="auto"/>
        <w:rPr>
          <w:color w:val="000000"/>
          <w:szCs w:val="22"/>
          <w:lang w:eastAsia="en-GB"/>
        </w:rPr>
      </w:pPr>
      <w:r w:rsidRPr="004C3786">
        <w:t>Department of Nuclear Energy</w:t>
      </w:r>
    </w:p>
    <w:p w:rsidR="00B74C63" w:rsidRPr="004C3786" w:rsidRDefault="00B74C63" w:rsidP="00C86C3B">
      <w:pPr>
        <w:overflowPunct/>
        <w:spacing w:after="170" w:line="280" w:lineRule="atLeast"/>
        <w:contextualSpacing/>
        <w:jc w:val="both"/>
        <w:textAlignment w:val="auto"/>
        <w:rPr>
          <w:color w:val="000000"/>
          <w:szCs w:val="22"/>
          <w:lang w:eastAsia="en-GB"/>
        </w:rPr>
      </w:pPr>
      <w:r w:rsidRPr="004C3786">
        <w:rPr>
          <w:color w:val="000000"/>
          <w:szCs w:val="22"/>
          <w:lang w:eastAsia="en-GB"/>
        </w:rPr>
        <w:t>Tel.: +43 1 2600 26579</w:t>
      </w:r>
    </w:p>
    <w:p w:rsidR="00B74C63" w:rsidRPr="004C3786" w:rsidRDefault="00B74C63" w:rsidP="00C86C3B">
      <w:pPr>
        <w:overflowPunct/>
        <w:spacing w:after="170" w:line="280" w:lineRule="atLeast"/>
        <w:contextualSpacing/>
        <w:jc w:val="both"/>
        <w:textAlignment w:val="auto"/>
        <w:rPr>
          <w:rStyle w:val="Hyperlink"/>
          <w:szCs w:val="22"/>
          <w:lang w:eastAsia="en-GB"/>
        </w:rPr>
      </w:pPr>
      <w:r w:rsidRPr="004C3786">
        <w:rPr>
          <w:color w:val="000000"/>
          <w:szCs w:val="22"/>
          <w:lang w:eastAsia="en-GB"/>
        </w:rPr>
        <w:t xml:space="preserve">Email: </w:t>
      </w:r>
      <w:r w:rsidR="004C3786" w:rsidRPr="004C3786">
        <w:t>NKM-Conference@iaea.org</w:t>
      </w:r>
    </w:p>
    <w:p w:rsidR="001B708A" w:rsidRPr="004C3786" w:rsidRDefault="001B708A" w:rsidP="00C86C3B">
      <w:pPr>
        <w:overflowPunct/>
        <w:spacing w:after="170" w:line="280" w:lineRule="atLeast"/>
        <w:jc w:val="both"/>
        <w:textAlignment w:val="auto"/>
      </w:pPr>
    </w:p>
    <w:p w:rsidR="001B708A" w:rsidRPr="004C3786" w:rsidRDefault="001B708A" w:rsidP="00C7512B">
      <w:pPr>
        <w:overflowPunct/>
        <w:spacing w:after="120" w:line="276" w:lineRule="auto"/>
        <w:jc w:val="both"/>
        <w:textAlignment w:val="auto"/>
        <w:sectPr w:rsidR="001B708A" w:rsidRPr="004C3786" w:rsidSect="007033B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num="2" w:space="720"/>
          <w:titlePg/>
          <w:docGrid w:linePitch="299"/>
        </w:sectPr>
      </w:pPr>
    </w:p>
    <w:p w:rsidR="001C2995" w:rsidRDefault="001C2995" w:rsidP="001C2995">
      <w:pPr>
        <w:overflowPunct/>
        <w:spacing w:after="120" w:line="276" w:lineRule="auto"/>
        <w:jc w:val="both"/>
        <w:textAlignment w:val="auto"/>
        <w:rPr>
          <w:highlight w:val="yellow"/>
        </w:rPr>
      </w:pPr>
    </w:p>
    <w:p w:rsidR="00C7512B" w:rsidRPr="002B3327" w:rsidRDefault="00C7512B" w:rsidP="006D57B9">
      <w:pPr>
        <w:keepNext/>
        <w:keepLines/>
        <w:overflowPunct/>
        <w:spacing w:after="120" w:line="276" w:lineRule="auto"/>
        <w:jc w:val="both"/>
        <w:textAlignment w:val="auto"/>
        <w:rPr>
          <w:b/>
          <w:bCs/>
          <w:szCs w:val="22"/>
          <w:lang w:eastAsia="en-GB"/>
        </w:rPr>
      </w:pPr>
      <w:r w:rsidRPr="002B3327">
        <w:rPr>
          <w:b/>
          <w:bCs/>
          <w:szCs w:val="22"/>
        </w:rPr>
        <w:lastRenderedPageBreak/>
        <w:t>Administrati</w:t>
      </w:r>
      <w:r w:rsidR="006D57B9" w:rsidRPr="002B3327">
        <w:rPr>
          <w:b/>
          <w:bCs/>
          <w:szCs w:val="22"/>
        </w:rPr>
        <w:t>on and organization</w:t>
      </w:r>
      <w:r w:rsidRPr="002B3327">
        <w:rPr>
          <w:b/>
          <w:bCs/>
          <w:szCs w:val="22"/>
          <w:lang w:eastAsia="en-GB"/>
        </w:rPr>
        <w:t>:</w:t>
      </w:r>
    </w:p>
    <w:p w:rsidR="00C7512B" w:rsidRPr="002B3327" w:rsidRDefault="00C7512B" w:rsidP="00725F00">
      <w:pPr>
        <w:keepNext/>
        <w:keepLines/>
        <w:overflowPunct/>
        <w:spacing w:line="276" w:lineRule="auto"/>
        <w:jc w:val="both"/>
        <w:textAlignment w:val="auto"/>
        <w:rPr>
          <w:b/>
          <w:bCs/>
          <w:color w:val="000000"/>
          <w:szCs w:val="22"/>
          <w:lang w:eastAsia="en-GB"/>
        </w:rPr>
      </w:pPr>
      <w:r w:rsidRPr="002B3327">
        <w:rPr>
          <w:b/>
          <w:bCs/>
          <w:color w:val="000000"/>
          <w:szCs w:val="22"/>
          <w:lang w:eastAsia="en-GB"/>
        </w:rPr>
        <w:t>Ms</w:t>
      </w:r>
      <w:r w:rsidR="006D57B9" w:rsidRPr="002B3327">
        <w:rPr>
          <w:b/>
          <w:bCs/>
          <w:color w:val="000000"/>
          <w:szCs w:val="22"/>
          <w:lang w:eastAsia="en-GB"/>
        </w:rPr>
        <w:t xml:space="preserve"> </w:t>
      </w:r>
      <w:r w:rsidR="002B3327">
        <w:rPr>
          <w:b/>
          <w:bCs/>
          <w:color w:val="000000"/>
          <w:szCs w:val="22"/>
          <w:lang w:eastAsia="en-GB"/>
        </w:rPr>
        <w:t>Karen Morrison</w:t>
      </w:r>
    </w:p>
    <w:p w:rsidR="00C7512B" w:rsidRPr="002B3327" w:rsidRDefault="006D57B9" w:rsidP="00725F00">
      <w:pPr>
        <w:keepNext/>
        <w:keepLines/>
        <w:overflowPunct/>
        <w:spacing w:line="276" w:lineRule="auto"/>
        <w:jc w:val="both"/>
        <w:textAlignment w:val="auto"/>
      </w:pPr>
      <w:r w:rsidRPr="002B3327">
        <w:t>Conference Services Section</w:t>
      </w:r>
    </w:p>
    <w:p w:rsidR="006D57B9" w:rsidRPr="002B3327" w:rsidRDefault="006D57B9" w:rsidP="00725F00">
      <w:pPr>
        <w:keepNext/>
        <w:keepLines/>
        <w:overflowPunct/>
        <w:spacing w:line="276" w:lineRule="auto"/>
        <w:jc w:val="both"/>
        <w:textAlignment w:val="auto"/>
      </w:pPr>
      <w:r w:rsidRPr="002B3327">
        <w:t>Division of Conference and Document Services</w:t>
      </w:r>
    </w:p>
    <w:p w:rsidR="00C7512B" w:rsidRPr="002B3327" w:rsidRDefault="006D57B9" w:rsidP="00725F00">
      <w:pPr>
        <w:keepNext/>
        <w:keepLines/>
        <w:overflowPunct/>
        <w:spacing w:line="276" w:lineRule="auto"/>
        <w:jc w:val="both"/>
        <w:textAlignment w:val="auto"/>
        <w:rPr>
          <w:szCs w:val="22"/>
          <w:lang w:eastAsia="en-GB"/>
        </w:rPr>
      </w:pPr>
      <w:r w:rsidRPr="002B3327">
        <w:t>Department of Management</w:t>
      </w:r>
    </w:p>
    <w:p w:rsidR="00C7512B" w:rsidRPr="002B3327" w:rsidRDefault="006D57B9" w:rsidP="00725F00">
      <w:pPr>
        <w:keepNext/>
        <w:keepLines/>
        <w:overflowPunct/>
        <w:spacing w:line="276" w:lineRule="auto"/>
        <w:jc w:val="both"/>
        <w:textAlignment w:val="auto"/>
        <w:rPr>
          <w:szCs w:val="22"/>
          <w:lang w:eastAsia="en-GB"/>
        </w:rPr>
      </w:pPr>
      <w:r w:rsidRPr="002B3327">
        <w:rPr>
          <w:szCs w:val="22"/>
          <w:lang w:eastAsia="en-GB"/>
        </w:rPr>
        <w:t>IAEA-CN-</w:t>
      </w:r>
      <w:r w:rsidR="00C60FD1">
        <w:rPr>
          <w:szCs w:val="22"/>
          <w:lang w:eastAsia="en-GB"/>
        </w:rPr>
        <w:t>241</w:t>
      </w:r>
    </w:p>
    <w:p w:rsidR="00C7512B" w:rsidRPr="002B3327" w:rsidRDefault="00C7512B" w:rsidP="00725F00">
      <w:pPr>
        <w:keepNext/>
        <w:keepLines/>
        <w:overflowPunct/>
        <w:spacing w:line="276" w:lineRule="auto"/>
        <w:jc w:val="both"/>
        <w:textAlignment w:val="auto"/>
        <w:rPr>
          <w:szCs w:val="22"/>
          <w:lang w:eastAsia="en-GB"/>
        </w:rPr>
      </w:pPr>
      <w:r w:rsidRPr="002B3327">
        <w:rPr>
          <w:color w:val="000000"/>
          <w:szCs w:val="22"/>
          <w:lang w:eastAsia="en-GB"/>
        </w:rPr>
        <w:t xml:space="preserve">Tel.: +43 1 </w:t>
      </w:r>
      <w:r w:rsidRPr="002B3327">
        <w:rPr>
          <w:szCs w:val="22"/>
          <w:lang w:eastAsia="en-GB"/>
        </w:rPr>
        <w:t xml:space="preserve">2600 </w:t>
      </w:r>
      <w:r w:rsidR="006D57B9" w:rsidRPr="002B3327">
        <w:t>2131</w:t>
      </w:r>
      <w:r w:rsidR="002B3327">
        <w:t>7</w:t>
      </w:r>
    </w:p>
    <w:p w:rsidR="00C7512B" w:rsidRPr="002B3327" w:rsidRDefault="006D57B9" w:rsidP="00725F00">
      <w:pPr>
        <w:keepNext/>
        <w:keepLines/>
        <w:overflowPunct/>
        <w:spacing w:after="120" w:line="276" w:lineRule="auto"/>
        <w:jc w:val="both"/>
        <w:textAlignment w:val="auto"/>
        <w:rPr>
          <w:color w:val="0000FF"/>
        </w:rPr>
      </w:pPr>
      <w:r w:rsidRPr="00637600">
        <w:rPr>
          <w:color w:val="000000"/>
          <w:szCs w:val="22"/>
          <w:lang w:eastAsia="en-GB"/>
        </w:rPr>
        <w:t xml:space="preserve">Email: </w:t>
      </w:r>
      <w:hyperlink r:id="rId23" w:history="1">
        <w:r w:rsidR="002B3327" w:rsidRPr="00637600">
          <w:rPr>
            <w:rStyle w:val="Hyperlink"/>
            <w:szCs w:val="22"/>
            <w:lang w:eastAsia="en-GB"/>
          </w:rPr>
          <w:t>K.Morrison@iaea.org</w:t>
        </w:r>
      </w:hyperlink>
    </w:p>
    <w:p w:rsidR="00750DF0" w:rsidRPr="002B3327" w:rsidRDefault="00750DF0" w:rsidP="008C3B22">
      <w:pPr>
        <w:overflowPunct/>
        <w:spacing w:after="120" w:line="276" w:lineRule="auto"/>
        <w:jc w:val="both"/>
        <w:textAlignment w:val="auto"/>
        <w:rPr>
          <w:color w:val="000000"/>
          <w:szCs w:val="22"/>
          <w:lang w:eastAsia="en-GB"/>
        </w:rPr>
      </w:pPr>
      <w:r w:rsidRPr="002B3327">
        <w:rPr>
          <w:color w:val="000000"/>
          <w:szCs w:val="22"/>
          <w:lang w:eastAsia="en-GB"/>
        </w:rPr>
        <w:t>Subsequent correspondence on scientific matters</w:t>
      </w:r>
      <w:r w:rsidR="00CC6750" w:rsidRPr="002B3327">
        <w:rPr>
          <w:color w:val="000000"/>
          <w:szCs w:val="22"/>
          <w:lang w:eastAsia="en-GB"/>
        </w:rPr>
        <w:t xml:space="preserve"> </w:t>
      </w:r>
      <w:r w:rsidRPr="002B3327">
        <w:rPr>
          <w:color w:val="000000"/>
          <w:szCs w:val="22"/>
          <w:lang w:eastAsia="en-GB"/>
        </w:rPr>
        <w:t xml:space="preserve">should be sent to </w:t>
      </w:r>
      <w:r w:rsidR="008C3B22">
        <w:rPr>
          <w:color w:val="000000"/>
          <w:szCs w:val="22"/>
          <w:lang w:eastAsia="en-GB"/>
        </w:rPr>
        <w:t xml:space="preserve">either of </w:t>
      </w:r>
      <w:r w:rsidRPr="002B3327">
        <w:rPr>
          <w:color w:val="000000"/>
          <w:szCs w:val="22"/>
          <w:lang w:eastAsia="en-GB"/>
        </w:rPr>
        <w:t xml:space="preserve">the </w:t>
      </w:r>
      <w:bookmarkStart w:id="4" w:name="_Ref372051245"/>
      <w:r w:rsidRPr="002B3327">
        <w:rPr>
          <w:color w:val="000000"/>
          <w:szCs w:val="22"/>
          <w:lang w:eastAsia="en-GB"/>
        </w:rPr>
        <w:t>Scientific Secretar</w:t>
      </w:r>
      <w:bookmarkEnd w:id="4"/>
      <w:r w:rsidR="008C3B22">
        <w:rPr>
          <w:color w:val="000000"/>
          <w:szCs w:val="22"/>
          <w:lang w:eastAsia="en-GB"/>
        </w:rPr>
        <w:t>ies</w:t>
      </w:r>
      <w:r w:rsidR="006D57B9" w:rsidRPr="002B3327">
        <w:rPr>
          <w:color w:val="000000"/>
          <w:szCs w:val="22"/>
          <w:lang w:eastAsia="en-GB"/>
        </w:rPr>
        <w:t xml:space="preserve"> of the</w:t>
      </w:r>
      <w:r w:rsidRPr="002B3327">
        <w:rPr>
          <w:color w:val="000000"/>
          <w:szCs w:val="22"/>
          <w:lang w:eastAsia="en-GB"/>
        </w:rPr>
        <w:t xml:space="preserve"> </w:t>
      </w:r>
      <w:r w:rsidR="006D57B9" w:rsidRPr="002B3327">
        <w:rPr>
          <w:color w:val="000000"/>
          <w:szCs w:val="22"/>
          <w:lang w:eastAsia="en-GB"/>
        </w:rPr>
        <w:t>conference</w:t>
      </w:r>
      <w:r w:rsidR="00F700BA">
        <w:rPr>
          <w:color w:val="000000"/>
          <w:szCs w:val="22"/>
          <w:lang w:eastAsia="en-GB"/>
        </w:rPr>
        <w:t>,</w:t>
      </w:r>
      <w:r w:rsidR="006D57B9" w:rsidRPr="002B3327">
        <w:rPr>
          <w:color w:val="000000"/>
          <w:szCs w:val="22"/>
          <w:lang w:eastAsia="en-GB"/>
        </w:rPr>
        <w:t xml:space="preserve"> </w:t>
      </w:r>
      <w:r w:rsidRPr="002B3327">
        <w:rPr>
          <w:color w:val="000000"/>
          <w:szCs w:val="22"/>
          <w:lang w:eastAsia="en-GB"/>
        </w:rPr>
        <w:t>and</w:t>
      </w:r>
      <w:r w:rsidR="00E379C7" w:rsidRPr="002B3327">
        <w:rPr>
          <w:color w:val="000000"/>
          <w:szCs w:val="22"/>
          <w:lang w:eastAsia="en-GB"/>
        </w:rPr>
        <w:t xml:space="preserve"> </w:t>
      </w:r>
      <w:r w:rsidR="00CC6750" w:rsidRPr="002B3327">
        <w:rPr>
          <w:color w:val="000000"/>
          <w:szCs w:val="22"/>
          <w:lang w:eastAsia="en-GB"/>
        </w:rPr>
        <w:t xml:space="preserve">correspondence on </w:t>
      </w:r>
      <w:r w:rsidR="00F87858" w:rsidRPr="002B3327">
        <w:rPr>
          <w:color w:val="000000"/>
          <w:szCs w:val="22"/>
          <w:lang w:eastAsia="en-GB"/>
        </w:rPr>
        <w:t>administrative</w:t>
      </w:r>
      <w:r w:rsidRPr="002B3327">
        <w:rPr>
          <w:color w:val="000000"/>
          <w:szCs w:val="22"/>
          <w:lang w:eastAsia="en-GB"/>
        </w:rPr>
        <w:t xml:space="preserve"> </w:t>
      </w:r>
      <w:r w:rsidRPr="007D1F21">
        <w:rPr>
          <w:color w:val="000000"/>
          <w:szCs w:val="22"/>
          <w:lang w:eastAsia="en-GB"/>
        </w:rPr>
        <w:t xml:space="preserve">matters </w:t>
      </w:r>
      <w:r w:rsidR="00CC6750" w:rsidRPr="007D1F21">
        <w:rPr>
          <w:color w:val="000000"/>
          <w:szCs w:val="22"/>
          <w:lang w:eastAsia="en-GB"/>
        </w:rPr>
        <w:t xml:space="preserve">to the </w:t>
      </w:r>
      <w:r w:rsidR="00F87858" w:rsidRPr="007D1F21">
        <w:rPr>
          <w:color w:val="000000"/>
          <w:szCs w:val="22"/>
          <w:lang w:eastAsia="en-GB"/>
        </w:rPr>
        <w:t>IAEA Conference Services Section</w:t>
      </w:r>
      <w:r w:rsidR="00260293" w:rsidRPr="007D1F21">
        <w:rPr>
          <w:color w:val="000000"/>
          <w:szCs w:val="22"/>
          <w:lang w:eastAsia="en-GB"/>
        </w:rPr>
        <w:t>.</w:t>
      </w:r>
    </w:p>
    <w:p w:rsidR="00CC6750" w:rsidRPr="002B3327" w:rsidRDefault="006D57B9" w:rsidP="00165141">
      <w:pPr>
        <w:pStyle w:val="Heading1"/>
        <w:numPr>
          <w:ilvl w:val="0"/>
          <w:numId w:val="7"/>
        </w:numPr>
        <w:spacing w:before="720"/>
        <w:ind w:left="0" w:firstLine="0"/>
      </w:pPr>
      <w:bookmarkStart w:id="5" w:name="_Ref389037002"/>
      <w:r w:rsidRPr="002B3327">
        <w:t>Conference</w:t>
      </w:r>
      <w:r w:rsidR="00CC6750" w:rsidRPr="002B3327">
        <w:t xml:space="preserve"> Web Page</w:t>
      </w:r>
      <w:bookmarkEnd w:id="5"/>
    </w:p>
    <w:p w:rsidR="006D57B9" w:rsidRPr="002D4185" w:rsidRDefault="006D57B9" w:rsidP="00291FB2">
      <w:pPr>
        <w:pStyle w:val="BodyText"/>
      </w:pPr>
      <w:r w:rsidRPr="007D1F21">
        <w:t xml:space="preserve">Please visit the </w:t>
      </w:r>
      <w:r w:rsidR="00291FB2" w:rsidRPr="007D1F21">
        <w:t>following</w:t>
      </w:r>
      <w:r w:rsidRPr="007D1F21">
        <w:t xml:space="preserve"> web page regularly for new information regarding this conference:</w:t>
      </w:r>
    </w:p>
    <w:p w:rsidR="00322985" w:rsidRDefault="00BE32B5" w:rsidP="00C60FD1">
      <w:hyperlink r:id="rId24" w:history="1">
        <w:r w:rsidR="00C86C3B" w:rsidRPr="00C86C3B">
          <w:rPr>
            <w:rStyle w:val="Hyperlink"/>
          </w:rPr>
          <w:t>http://www-pub.iaea.org/iaeameetings/50805/Third-International-Conference-on-Knowledge-Management</w:t>
        </w:r>
      </w:hyperlink>
    </w:p>
    <w:sectPr w:rsidR="00322985" w:rsidSect="001B708A">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2B" w:rsidRDefault="00EC232B">
      <w:r>
        <w:separator/>
      </w:r>
    </w:p>
  </w:endnote>
  <w:endnote w:type="continuationSeparator" w:id="0">
    <w:p w:rsidR="00EC232B" w:rsidRDefault="00EC232B">
      <w:r>
        <w:continuationSeparator/>
      </w:r>
    </w:p>
  </w:endnote>
  <w:endnote w:type="continuationNotice" w:id="1">
    <w:p w:rsidR="00EC232B" w:rsidRDefault="00EC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Default="007033B7">
    <w:pPr>
      <w:pStyle w:val="zyxClassification1"/>
    </w:pPr>
    <w:r>
      <w:fldChar w:fldCharType="begin"/>
    </w:r>
    <w:r>
      <w:instrText xml:space="preserve"> DOCPROPERTY "IaeaClassification"  \* MERGEFORMAT </w:instrText>
    </w:r>
    <w:r>
      <w:fldChar w:fldCharType="end"/>
    </w:r>
  </w:p>
  <w:p w:rsidR="00054917" w:rsidRDefault="007033B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Default="007033B7">
    <w:pPr>
      <w:pStyle w:val="zyxClassification1"/>
    </w:pPr>
    <w:r>
      <w:fldChar w:fldCharType="begin"/>
    </w:r>
    <w:r>
      <w:instrText xml:space="preserve"> DOCPROPERTY "IaeaClassification"  \* MERGEFORMAT </w:instrText>
    </w:r>
    <w:r>
      <w:fldChar w:fldCharType="end"/>
    </w:r>
  </w:p>
  <w:p w:rsidR="00054917" w:rsidRDefault="007033B7">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86" w:rsidRDefault="004529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86" w:rsidRDefault="00452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2B" w:rsidRDefault="00EC232B">
      <w:r>
        <w:t>___________________________________________________________________________</w:t>
      </w:r>
    </w:p>
  </w:footnote>
  <w:footnote w:type="continuationSeparator" w:id="0">
    <w:p w:rsidR="00EC232B" w:rsidRDefault="00EC232B">
      <w:r>
        <w:t>___________________________________________________________________________</w:t>
      </w:r>
    </w:p>
  </w:footnote>
  <w:footnote w:type="continuationNotice" w:id="1">
    <w:p w:rsidR="00EC232B" w:rsidRDefault="00EC2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Default="00054917">
    <w:pPr>
      <w:pStyle w:val="Header"/>
      <w:spacing w:after="0"/>
      <w:rPr>
        <w:sz w:val="8"/>
      </w:rPr>
    </w:pPr>
    <w:r>
      <w:br/>
      <w:t xml:space="preserve">Page </w:t>
    </w:r>
    <w:r>
      <w:fldChar w:fldCharType="begin"/>
    </w:r>
    <w:r>
      <w:instrText xml:space="preserve"> PAGE </w:instrText>
    </w:r>
    <w:r>
      <w:fldChar w:fldCharType="separate"/>
    </w:r>
    <w:r w:rsidR="00BE32B5">
      <w:rPr>
        <w:noProof/>
      </w:rPr>
      <w:t>10</w:t>
    </w:r>
    <w:r>
      <w:fldChar w:fldCharType="end"/>
    </w:r>
    <w:r>
      <w:br/>
    </w:r>
  </w:p>
  <w:p w:rsidR="00054917" w:rsidRDefault="007033B7">
    <w:pPr>
      <w:pStyle w:val="zyxClassification1"/>
    </w:pPr>
    <w:r>
      <w:fldChar w:fldCharType="begin"/>
    </w:r>
    <w:r>
      <w:instrText xml:space="preserve"> DOCPROPERTY "IaeaClassification"  \* MERGEFORMAT </w:instrText>
    </w:r>
    <w:r>
      <w:fldChar w:fldCharType="end"/>
    </w:r>
  </w:p>
  <w:p w:rsidR="00054917" w:rsidRDefault="007033B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Pr="003332DA" w:rsidRDefault="00054917" w:rsidP="003332DA">
    <w:pPr>
      <w:pStyle w:val="Header"/>
      <w:spacing w:after="0"/>
      <w:jc w:val="right"/>
      <w:rPr>
        <w:sz w:val="8"/>
        <w:szCs w:val="8"/>
      </w:rPr>
    </w:pPr>
    <w:r>
      <w:br/>
      <w:t xml:space="preserve">Page </w:t>
    </w:r>
    <w:r>
      <w:fldChar w:fldCharType="begin"/>
    </w:r>
    <w:r>
      <w:instrText xml:space="preserve"> PAGE </w:instrText>
    </w:r>
    <w:r>
      <w:fldChar w:fldCharType="separate"/>
    </w:r>
    <w:r w:rsidR="00BE32B5">
      <w:rPr>
        <w:noProof/>
      </w:rPr>
      <w:t>9</w:t>
    </w:r>
    <w:r>
      <w:fldChar w:fldCharType="end"/>
    </w:r>
    <w:r>
      <w:br/>
    </w:r>
  </w:p>
  <w:p w:rsidR="00054917" w:rsidRDefault="00054917">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4741" w:type="dxa"/>
      <w:tblLayout w:type="fixed"/>
      <w:tblLook w:val="0000" w:firstRow="0" w:lastRow="0" w:firstColumn="0" w:lastColumn="0" w:noHBand="0" w:noVBand="0"/>
    </w:tblPr>
    <w:tblGrid>
      <w:gridCol w:w="979"/>
      <w:gridCol w:w="8060"/>
      <w:gridCol w:w="5702"/>
    </w:tblGrid>
    <w:tr w:rsidR="00054917" w:rsidTr="00562D91">
      <w:trPr>
        <w:cantSplit/>
        <w:trHeight w:val="167"/>
      </w:trPr>
      <w:tc>
        <w:tcPr>
          <w:tcW w:w="979" w:type="dxa"/>
        </w:tcPr>
        <w:p w:rsidR="00054917" w:rsidRDefault="00054917">
          <w:pPr>
            <w:spacing w:before="57"/>
          </w:pPr>
        </w:p>
      </w:tc>
      <w:tc>
        <w:tcPr>
          <w:tcW w:w="8060" w:type="dxa"/>
          <w:vAlign w:val="bottom"/>
        </w:tcPr>
        <w:p w:rsidR="00054917" w:rsidRDefault="00054917">
          <w:pPr>
            <w:pStyle w:val="Heading9"/>
            <w:spacing w:before="0" w:after="10"/>
          </w:pPr>
        </w:p>
      </w:tc>
      <w:tc>
        <w:tcPr>
          <w:tcW w:w="5702" w:type="dxa"/>
          <w:vAlign w:val="bottom"/>
        </w:tcPr>
        <w:p w:rsidR="00054917" w:rsidRDefault="00054917">
          <w:pPr>
            <w:pStyle w:val="Heading9"/>
            <w:spacing w:before="0" w:after="10"/>
          </w:pPr>
        </w:p>
      </w:tc>
    </w:tr>
  </w:tbl>
  <w:p w:rsidR="00054917" w:rsidRDefault="000549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Default="00054917">
    <w:pPr>
      <w:pStyle w:val="Header"/>
      <w:spacing w:after="0"/>
      <w:rPr>
        <w:sz w:val="8"/>
      </w:rPr>
    </w:pPr>
    <w:r>
      <w:br/>
      <w:t xml:space="preserve">Page </w:t>
    </w:r>
    <w:r>
      <w:fldChar w:fldCharType="begin"/>
    </w:r>
    <w:r>
      <w:instrText xml:space="preserve"> PAGE </w:instrText>
    </w:r>
    <w:r>
      <w:fldChar w:fldCharType="separate"/>
    </w:r>
    <w:r w:rsidR="009D466E">
      <w:rPr>
        <w:noProof/>
      </w:rPr>
      <w:t>10</w:t>
    </w:r>
    <w:r>
      <w:fldChar w:fldCharType="end"/>
    </w:r>
    <w:r>
      <w:br/>
    </w:r>
  </w:p>
  <w:p w:rsidR="00054917" w:rsidRDefault="007033B7">
    <w:pPr>
      <w:pStyle w:val="zyxClassification1"/>
    </w:pPr>
    <w:r>
      <w:fldChar w:fldCharType="begin"/>
    </w:r>
    <w:r>
      <w:instrText xml:space="preserve"> DOCPROPERTY "IaeaClassification"  \* MERGEFORMAT </w:instrText>
    </w:r>
    <w:r>
      <w:fldChar w:fldCharType="end"/>
    </w:r>
  </w:p>
  <w:p w:rsidR="00054917" w:rsidRDefault="007033B7">
    <w:pPr>
      <w:pStyle w:val="zyxClassification2"/>
    </w:pPr>
    <w:r>
      <w:fldChar w:fldCharType="begin"/>
    </w:r>
    <w:r>
      <w:instrText>DOCPROPERTY "IaeaClassification2"  \* MERGEFORMAT</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Pr="003332DA" w:rsidRDefault="00054917" w:rsidP="003332DA">
    <w:pPr>
      <w:pStyle w:val="Header"/>
      <w:spacing w:after="0"/>
      <w:jc w:val="right"/>
      <w:rPr>
        <w:sz w:val="8"/>
        <w:szCs w:val="8"/>
      </w:rPr>
    </w:pPr>
    <w:r>
      <w:br/>
      <w:t xml:space="preserve">Page </w:t>
    </w:r>
    <w:r>
      <w:fldChar w:fldCharType="begin"/>
    </w:r>
    <w:r>
      <w:instrText xml:space="preserve"> PAGE </w:instrText>
    </w:r>
    <w:r>
      <w:fldChar w:fldCharType="separate"/>
    </w:r>
    <w:r w:rsidR="00BE32B5">
      <w:rPr>
        <w:noProof/>
      </w:rPr>
      <w:t>11</w:t>
    </w:r>
    <w:r>
      <w:fldChar w:fldCharType="end"/>
    </w:r>
    <w:r>
      <w:br/>
    </w:r>
  </w:p>
  <w:p w:rsidR="00054917" w:rsidRDefault="00054917">
    <w:pPr>
      <w:jc w:val="righ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4741" w:type="dxa"/>
      <w:tblLayout w:type="fixed"/>
      <w:tblLook w:val="0000" w:firstRow="0" w:lastRow="0" w:firstColumn="0" w:lastColumn="0" w:noHBand="0" w:noVBand="0"/>
    </w:tblPr>
    <w:tblGrid>
      <w:gridCol w:w="979"/>
      <w:gridCol w:w="8060"/>
      <w:gridCol w:w="5702"/>
    </w:tblGrid>
    <w:tr w:rsidR="00054917" w:rsidTr="00562D91">
      <w:trPr>
        <w:cantSplit/>
        <w:trHeight w:val="167"/>
      </w:trPr>
      <w:tc>
        <w:tcPr>
          <w:tcW w:w="979" w:type="dxa"/>
        </w:tcPr>
        <w:p w:rsidR="00054917" w:rsidRDefault="00054917">
          <w:pPr>
            <w:spacing w:before="57"/>
          </w:pPr>
        </w:p>
      </w:tc>
      <w:tc>
        <w:tcPr>
          <w:tcW w:w="8060" w:type="dxa"/>
          <w:vAlign w:val="bottom"/>
        </w:tcPr>
        <w:p w:rsidR="00054917" w:rsidRDefault="00054917">
          <w:pPr>
            <w:pStyle w:val="Heading9"/>
            <w:spacing w:before="0" w:after="10"/>
          </w:pPr>
        </w:p>
      </w:tc>
      <w:tc>
        <w:tcPr>
          <w:tcW w:w="5702" w:type="dxa"/>
          <w:vAlign w:val="bottom"/>
        </w:tcPr>
        <w:p w:rsidR="00054917" w:rsidRDefault="00054917">
          <w:pPr>
            <w:pStyle w:val="Heading9"/>
            <w:spacing w:before="0" w:after="10"/>
          </w:pPr>
        </w:p>
      </w:tc>
    </w:tr>
  </w:tbl>
  <w:p w:rsidR="00AB1072" w:rsidRDefault="00AB1072" w:rsidP="00B309B8">
    <w:pPr>
      <w:pStyle w:val="Header"/>
      <w:spacing w:after="0"/>
      <w:jc w:val="right"/>
      <w:rPr>
        <w:sz w:val="8"/>
      </w:rPr>
    </w:pPr>
    <w:r>
      <w:br/>
      <w:t xml:space="preserve">Page </w:t>
    </w:r>
    <w:r>
      <w:fldChar w:fldCharType="begin"/>
    </w:r>
    <w:r>
      <w:instrText xml:space="preserve"> PAGE </w:instrText>
    </w:r>
    <w:r>
      <w:fldChar w:fldCharType="separate"/>
    </w:r>
    <w:r w:rsidR="009D466E">
      <w:rPr>
        <w:noProof/>
      </w:rPr>
      <w:t>10</w:t>
    </w:r>
    <w:r>
      <w:fldChar w:fldCharType="end"/>
    </w:r>
    <w:r>
      <w:br/>
    </w:r>
  </w:p>
  <w:p w:rsidR="00054917" w:rsidRDefault="00054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34A"/>
    <w:multiLevelType w:val="hybridMultilevel"/>
    <w:tmpl w:val="A5CA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9BC07A7"/>
    <w:multiLevelType w:val="hybridMultilevel"/>
    <w:tmpl w:val="9A9A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C41CB"/>
    <w:multiLevelType w:val="hybridMultilevel"/>
    <w:tmpl w:val="9992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36857"/>
    <w:multiLevelType w:val="hybridMultilevel"/>
    <w:tmpl w:val="7168304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35AD7BB1"/>
    <w:multiLevelType w:val="hybridMultilevel"/>
    <w:tmpl w:val="0ACC7294"/>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9">
    <w:nsid w:val="424E7DF8"/>
    <w:multiLevelType w:val="hybridMultilevel"/>
    <w:tmpl w:val="7C507140"/>
    <w:lvl w:ilvl="0" w:tplc="08090001">
      <w:start w:val="1"/>
      <w:numFmt w:val="bullet"/>
      <w:lvlText w:val=""/>
      <w:lvlJc w:val="left"/>
      <w:pPr>
        <w:ind w:left="927" w:hanging="360"/>
      </w:pPr>
      <w:rPr>
        <w:rFonts w:ascii="Symbol" w:hAnsi="Symbol" w:hint="default"/>
      </w:rPr>
    </w:lvl>
    <w:lvl w:ilvl="1" w:tplc="1E9CC74A">
      <w:numFmt w:val="bullet"/>
      <w:lvlText w:val="·"/>
      <w:lvlJc w:val="left"/>
      <w:pPr>
        <w:ind w:left="1647" w:hanging="360"/>
      </w:pPr>
      <w:rPr>
        <w:rFonts w:ascii="Times New Roman" w:eastAsia="SimSun" w:hAnsi="Times New Roman" w:cs="Times New Roman"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D65B9"/>
    <w:multiLevelType w:val="multilevel"/>
    <w:tmpl w:val="DAEAD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2A96192"/>
    <w:multiLevelType w:val="hybridMultilevel"/>
    <w:tmpl w:val="482AD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44F1C96"/>
    <w:multiLevelType w:val="hybridMultilevel"/>
    <w:tmpl w:val="A12C8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5">
    <w:nsid w:val="57CB5681"/>
    <w:multiLevelType w:val="hybridMultilevel"/>
    <w:tmpl w:val="6C3A4D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3E5C7D"/>
    <w:multiLevelType w:val="hybridMultilevel"/>
    <w:tmpl w:val="F052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9">
    <w:nsid w:val="74094F59"/>
    <w:multiLevelType w:val="multilevel"/>
    <w:tmpl w:val="BEE4D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97A0A13"/>
    <w:multiLevelType w:val="hybridMultilevel"/>
    <w:tmpl w:val="2FFE9DE4"/>
    <w:lvl w:ilvl="0" w:tplc="133E852A">
      <w:numFmt w:val="bullet"/>
      <w:lvlText w:val="•"/>
      <w:lvlJc w:val="left"/>
      <w:pPr>
        <w:ind w:left="930" w:hanging="57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14389E"/>
    <w:multiLevelType w:val="hybridMultilevel"/>
    <w:tmpl w:val="9844DAFC"/>
    <w:lvl w:ilvl="0" w:tplc="8762308E">
      <w:start w:val="1"/>
      <w:numFmt w:val="upperLetter"/>
      <w:lvlText w:val="%1."/>
      <w:lvlJc w:val="left"/>
      <w:pPr>
        <w:ind w:left="1637"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6"/>
  </w:num>
  <w:num w:numId="5">
    <w:abstractNumId w:val="20"/>
  </w:num>
  <w:num w:numId="6">
    <w:abstractNumId w:val="1"/>
  </w:num>
  <w:num w:numId="7">
    <w:abstractNumId w:val="22"/>
  </w:num>
  <w:num w:numId="8">
    <w:abstractNumId w:val="6"/>
  </w:num>
  <w:num w:numId="9">
    <w:abstractNumId w:val="9"/>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0"/>
  </w:num>
  <w:num w:numId="15">
    <w:abstractNumId w:val="22"/>
  </w:num>
  <w:num w:numId="16">
    <w:abstractNumId w:val="11"/>
  </w:num>
  <w:num w:numId="17">
    <w:abstractNumId w:val="17"/>
  </w:num>
  <w:num w:numId="18">
    <w:abstractNumId w:val="21"/>
  </w:num>
  <w:num w:numId="19">
    <w:abstractNumId w:val="14"/>
  </w:num>
  <w:num w:numId="20">
    <w:abstractNumId w:val="5"/>
  </w:num>
  <w:num w:numId="21">
    <w:abstractNumId w:val="13"/>
  </w:num>
  <w:num w:numId="22">
    <w:abstractNumId w:val="3"/>
  </w:num>
  <w:num w:numId="23">
    <w:abstractNumId w:val="22"/>
  </w:num>
  <w:num w:numId="24">
    <w:abstractNumId w:val="0"/>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04EB7"/>
    <w:rsid w:val="00007007"/>
    <w:rsid w:val="000169CF"/>
    <w:rsid w:val="00016BEC"/>
    <w:rsid w:val="00020DDE"/>
    <w:rsid w:val="00021D69"/>
    <w:rsid w:val="000229AB"/>
    <w:rsid w:val="000258FA"/>
    <w:rsid w:val="000266DC"/>
    <w:rsid w:val="000300D8"/>
    <w:rsid w:val="00037864"/>
    <w:rsid w:val="00037D37"/>
    <w:rsid w:val="0004036E"/>
    <w:rsid w:val="0004383A"/>
    <w:rsid w:val="00051557"/>
    <w:rsid w:val="000524F7"/>
    <w:rsid w:val="00054917"/>
    <w:rsid w:val="00054FD8"/>
    <w:rsid w:val="000746FF"/>
    <w:rsid w:val="000765A7"/>
    <w:rsid w:val="000829EB"/>
    <w:rsid w:val="00091A3F"/>
    <w:rsid w:val="000A16D1"/>
    <w:rsid w:val="000A1C24"/>
    <w:rsid w:val="000A7062"/>
    <w:rsid w:val="000B3C44"/>
    <w:rsid w:val="000B4E9B"/>
    <w:rsid w:val="000C1D7B"/>
    <w:rsid w:val="000C4958"/>
    <w:rsid w:val="000C50A3"/>
    <w:rsid w:val="000C7DAF"/>
    <w:rsid w:val="000D4073"/>
    <w:rsid w:val="000D4173"/>
    <w:rsid w:val="000D5DAB"/>
    <w:rsid w:val="000D66C0"/>
    <w:rsid w:val="000E146D"/>
    <w:rsid w:val="000E1B4C"/>
    <w:rsid w:val="000E3246"/>
    <w:rsid w:val="000E4286"/>
    <w:rsid w:val="000E5536"/>
    <w:rsid w:val="000F033E"/>
    <w:rsid w:val="000F0519"/>
    <w:rsid w:val="000F1D8F"/>
    <w:rsid w:val="000F3B85"/>
    <w:rsid w:val="000F3EDC"/>
    <w:rsid w:val="000F705D"/>
    <w:rsid w:val="000F7E94"/>
    <w:rsid w:val="00110119"/>
    <w:rsid w:val="00110DC6"/>
    <w:rsid w:val="001114C8"/>
    <w:rsid w:val="00112294"/>
    <w:rsid w:val="0011636E"/>
    <w:rsid w:val="00116D05"/>
    <w:rsid w:val="001221A0"/>
    <w:rsid w:val="00125555"/>
    <w:rsid w:val="0013076F"/>
    <w:rsid w:val="0014034F"/>
    <w:rsid w:val="00140CAC"/>
    <w:rsid w:val="00151324"/>
    <w:rsid w:val="0015429A"/>
    <w:rsid w:val="001636A1"/>
    <w:rsid w:val="00165141"/>
    <w:rsid w:val="00165B45"/>
    <w:rsid w:val="00166AB0"/>
    <w:rsid w:val="00186752"/>
    <w:rsid w:val="0019028B"/>
    <w:rsid w:val="001A14C1"/>
    <w:rsid w:val="001B20E0"/>
    <w:rsid w:val="001B305A"/>
    <w:rsid w:val="001B3614"/>
    <w:rsid w:val="001B708A"/>
    <w:rsid w:val="001B7C8A"/>
    <w:rsid w:val="001C061C"/>
    <w:rsid w:val="001C2995"/>
    <w:rsid w:val="001E6A14"/>
    <w:rsid w:val="001F3F28"/>
    <w:rsid w:val="00213E0D"/>
    <w:rsid w:val="00217780"/>
    <w:rsid w:val="00231DAC"/>
    <w:rsid w:val="002335FB"/>
    <w:rsid w:val="0023507A"/>
    <w:rsid w:val="00243701"/>
    <w:rsid w:val="00260293"/>
    <w:rsid w:val="002612DD"/>
    <w:rsid w:val="00263883"/>
    <w:rsid w:val="0026679E"/>
    <w:rsid w:val="002700D1"/>
    <w:rsid w:val="00274284"/>
    <w:rsid w:val="00274790"/>
    <w:rsid w:val="00276559"/>
    <w:rsid w:val="00280868"/>
    <w:rsid w:val="00291FB2"/>
    <w:rsid w:val="00292D5E"/>
    <w:rsid w:val="002944CA"/>
    <w:rsid w:val="0029627C"/>
    <w:rsid w:val="002A419B"/>
    <w:rsid w:val="002A57CF"/>
    <w:rsid w:val="002A63B1"/>
    <w:rsid w:val="002B3327"/>
    <w:rsid w:val="002C1B48"/>
    <w:rsid w:val="002C3F6D"/>
    <w:rsid w:val="002D4185"/>
    <w:rsid w:val="002E120D"/>
    <w:rsid w:val="002E12EB"/>
    <w:rsid w:val="002E2C83"/>
    <w:rsid w:val="002E5688"/>
    <w:rsid w:val="002F3670"/>
    <w:rsid w:val="002F3D3D"/>
    <w:rsid w:val="002F411E"/>
    <w:rsid w:val="0030699D"/>
    <w:rsid w:val="00313E28"/>
    <w:rsid w:val="0031580D"/>
    <w:rsid w:val="00317587"/>
    <w:rsid w:val="003208EF"/>
    <w:rsid w:val="00322985"/>
    <w:rsid w:val="00323050"/>
    <w:rsid w:val="00325D30"/>
    <w:rsid w:val="00327BF5"/>
    <w:rsid w:val="003332DA"/>
    <w:rsid w:val="00333966"/>
    <w:rsid w:val="00337B52"/>
    <w:rsid w:val="003413C5"/>
    <w:rsid w:val="00362111"/>
    <w:rsid w:val="00363E4C"/>
    <w:rsid w:val="003727A1"/>
    <w:rsid w:val="00381559"/>
    <w:rsid w:val="00385244"/>
    <w:rsid w:val="00385647"/>
    <w:rsid w:val="003A061E"/>
    <w:rsid w:val="003A4CFD"/>
    <w:rsid w:val="003B0083"/>
    <w:rsid w:val="003B1DED"/>
    <w:rsid w:val="003B463C"/>
    <w:rsid w:val="003C2BA9"/>
    <w:rsid w:val="003C5BCE"/>
    <w:rsid w:val="003C6C01"/>
    <w:rsid w:val="003C78D5"/>
    <w:rsid w:val="003C7FA2"/>
    <w:rsid w:val="003D08F2"/>
    <w:rsid w:val="003D10EE"/>
    <w:rsid w:val="003D255A"/>
    <w:rsid w:val="003E50FD"/>
    <w:rsid w:val="003F29DB"/>
    <w:rsid w:val="003F51F4"/>
    <w:rsid w:val="004002E3"/>
    <w:rsid w:val="004023F7"/>
    <w:rsid w:val="0040319F"/>
    <w:rsid w:val="00414B61"/>
    <w:rsid w:val="00432D88"/>
    <w:rsid w:val="004523B4"/>
    <w:rsid w:val="00452986"/>
    <w:rsid w:val="00464207"/>
    <w:rsid w:val="00465BEC"/>
    <w:rsid w:val="00470373"/>
    <w:rsid w:val="0049070C"/>
    <w:rsid w:val="004B2FAC"/>
    <w:rsid w:val="004B7480"/>
    <w:rsid w:val="004C3786"/>
    <w:rsid w:val="004C66C3"/>
    <w:rsid w:val="004D1335"/>
    <w:rsid w:val="004D3078"/>
    <w:rsid w:val="004E3032"/>
    <w:rsid w:val="004E381F"/>
    <w:rsid w:val="004E663A"/>
    <w:rsid w:val="004E6B98"/>
    <w:rsid w:val="004F1AA7"/>
    <w:rsid w:val="005002E1"/>
    <w:rsid w:val="00503B29"/>
    <w:rsid w:val="005066F4"/>
    <w:rsid w:val="005141F8"/>
    <w:rsid w:val="00521275"/>
    <w:rsid w:val="005250F7"/>
    <w:rsid w:val="005416E5"/>
    <w:rsid w:val="00544156"/>
    <w:rsid w:val="00552A51"/>
    <w:rsid w:val="005530B7"/>
    <w:rsid w:val="005560D6"/>
    <w:rsid w:val="00562D91"/>
    <w:rsid w:val="005716A9"/>
    <w:rsid w:val="00573C87"/>
    <w:rsid w:val="00580C57"/>
    <w:rsid w:val="00595DCB"/>
    <w:rsid w:val="00596086"/>
    <w:rsid w:val="005B2538"/>
    <w:rsid w:val="005B313D"/>
    <w:rsid w:val="005B6836"/>
    <w:rsid w:val="005B6E72"/>
    <w:rsid w:val="005C2869"/>
    <w:rsid w:val="005C376C"/>
    <w:rsid w:val="005C6432"/>
    <w:rsid w:val="005D422E"/>
    <w:rsid w:val="005D6BF1"/>
    <w:rsid w:val="005D7DCD"/>
    <w:rsid w:val="005E28D8"/>
    <w:rsid w:val="005E29CC"/>
    <w:rsid w:val="005E4066"/>
    <w:rsid w:val="005E4431"/>
    <w:rsid w:val="005E54EA"/>
    <w:rsid w:val="005E6455"/>
    <w:rsid w:val="005F3D29"/>
    <w:rsid w:val="005F6D5C"/>
    <w:rsid w:val="0060008F"/>
    <w:rsid w:val="006117D0"/>
    <w:rsid w:val="00613C9F"/>
    <w:rsid w:val="00614756"/>
    <w:rsid w:val="006207AA"/>
    <w:rsid w:val="0062541E"/>
    <w:rsid w:val="0063750C"/>
    <w:rsid w:val="00637600"/>
    <w:rsid w:val="00637D08"/>
    <w:rsid w:val="00640A84"/>
    <w:rsid w:val="00654B8F"/>
    <w:rsid w:val="0065728A"/>
    <w:rsid w:val="00657734"/>
    <w:rsid w:val="006617F7"/>
    <w:rsid w:val="0066719F"/>
    <w:rsid w:val="006720EC"/>
    <w:rsid w:val="006727C1"/>
    <w:rsid w:val="00674E59"/>
    <w:rsid w:val="00674EE5"/>
    <w:rsid w:val="00677520"/>
    <w:rsid w:val="00686C33"/>
    <w:rsid w:val="0068772C"/>
    <w:rsid w:val="00690D79"/>
    <w:rsid w:val="00691893"/>
    <w:rsid w:val="006B2AAC"/>
    <w:rsid w:val="006B3216"/>
    <w:rsid w:val="006B34CB"/>
    <w:rsid w:val="006B59F8"/>
    <w:rsid w:val="006C46BA"/>
    <w:rsid w:val="006C496C"/>
    <w:rsid w:val="006D16CA"/>
    <w:rsid w:val="006D5176"/>
    <w:rsid w:val="006D57B9"/>
    <w:rsid w:val="006D6DBC"/>
    <w:rsid w:val="006E5C6B"/>
    <w:rsid w:val="006E67B4"/>
    <w:rsid w:val="006E77FE"/>
    <w:rsid w:val="006F4FE7"/>
    <w:rsid w:val="006F7004"/>
    <w:rsid w:val="00700F89"/>
    <w:rsid w:val="007033B7"/>
    <w:rsid w:val="0071697A"/>
    <w:rsid w:val="0072598A"/>
    <w:rsid w:val="00725F00"/>
    <w:rsid w:val="0072693A"/>
    <w:rsid w:val="0072699A"/>
    <w:rsid w:val="00740220"/>
    <w:rsid w:val="00741290"/>
    <w:rsid w:val="00741925"/>
    <w:rsid w:val="00742F46"/>
    <w:rsid w:val="007445DA"/>
    <w:rsid w:val="00745405"/>
    <w:rsid w:val="00750DF0"/>
    <w:rsid w:val="00751CB5"/>
    <w:rsid w:val="00756F86"/>
    <w:rsid w:val="007677C6"/>
    <w:rsid w:val="00770502"/>
    <w:rsid w:val="0078141C"/>
    <w:rsid w:val="00797331"/>
    <w:rsid w:val="007A12C6"/>
    <w:rsid w:val="007B66D4"/>
    <w:rsid w:val="007C12D0"/>
    <w:rsid w:val="007D0EDC"/>
    <w:rsid w:val="007D1F21"/>
    <w:rsid w:val="007D2FA1"/>
    <w:rsid w:val="007E15EA"/>
    <w:rsid w:val="007E2ED9"/>
    <w:rsid w:val="007E59E8"/>
    <w:rsid w:val="007E5E6D"/>
    <w:rsid w:val="007F1E46"/>
    <w:rsid w:val="008018D7"/>
    <w:rsid w:val="008021D2"/>
    <w:rsid w:val="00802EC4"/>
    <w:rsid w:val="00803793"/>
    <w:rsid w:val="00804062"/>
    <w:rsid w:val="00813238"/>
    <w:rsid w:val="008173C5"/>
    <w:rsid w:val="0082007F"/>
    <w:rsid w:val="00820D69"/>
    <w:rsid w:val="0082378A"/>
    <w:rsid w:val="00827F15"/>
    <w:rsid w:val="0083408E"/>
    <w:rsid w:val="008529C1"/>
    <w:rsid w:val="008554AF"/>
    <w:rsid w:val="0085668A"/>
    <w:rsid w:val="00867239"/>
    <w:rsid w:val="00874979"/>
    <w:rsid w:val="00877EB4"/>
    <w:rsid w:val="00883189"/>
    <w:rsid w:val="0089241A"/>
    <w:rsid w:val="00892FA5"/>
    <w:rsid w:val="00893D40"/>
    <w:rsid w:val="00897F1A"/>
    <w:rsid w:val="008A1B18"/>
    <w:rsid w:val="008B1BEB"/>
    <w:rsid w:val="008B22A2"/>
    <w:rsid w:val="008B2A07"/>
    <w:rsid w:val="008B2E42"/>
    <w:rsid w:val="008B7ECA"/>
    <w:rsid w:val="008C2E7D"/>
    <w:rsid w:val="008C3B22"/>
    <w:rsid w:val="008C5800"/>
    <w:rsid w:val="008C6877"/>
    <w:rsid w:val="008C796F"/>
    <w:rsid w:val="008D2752"/>
    <w:rsid w:val="008D3425"/>
    <w:rsid w:val="008D58DA"/>
    <w:rsid w:val="008F0045"/>
    <w:rsid w:val="008F0E68"/>
    <w:rsid w:val="008F2E07"/>
    <w:rsid w:val="008F3152"/>
    <w:rsid w:val="008F4504"/>
    <w:rsid w:val="008F5093"/>
    <w:rsid w:val="00900848"/>
    <w:rsid w:val="00902627"/>
    <w:rsid w:val="00905304"/>
    <w:rsid w:val="00905746"/>
    <w:rsid w:val="00911FE9"/>
    <w:rsid w:val="009151F0"/>
    <w:rsid w:val="00915843"/>
    <w:rsid w:val="009166E5"/>
    <w:rsid w:val="009229B5"/>
    <w:rsid w:val="0092644A"/>
    <w:rsid w:val="00926A50"/>
    <w:rsid w:val="00932DC7"/>
    <w:rsid w:val="00945853"/>
    <w:rsid w:val="0094761C"/>
    <w:rsid w:val="009477A2"/>
    <w:rsid w:val="0096089A"/>
    <w:rsid w:val="00966101"/>
    <w:rsid w:val="0097283E"/>
    <w:rsid w:val="009832AF"/>
    <w:rsid w:val="009943FA"/>
    <w:rsid w:val="009A08AD"/>
    <w:rsid w:val="009B0E9A"/>
    <w:rsid w:val="009C0D5F"/>
    <w:rsid w:val="009C37B2"/>
    <w:rsid w:val="009D0295"/>
    <w:rsid w:val="009D0B86"/>
    <w:rsid w:val="009D466E"/>
    <w:rsid w:val="009E26FF"/>
    <w:rsid w:val="00A0323B"/>
    <w:rsid w:val="00A044BB"/>
    <w:rsid w:val="00A149E0"/>
    <w:rsid w:val="00A163F7"/>
    <w:rsid w:val="00A22550"/>
    <w:rsid w:val="00A324F3"/>
    <w:rsid w:val="00A4103B"/>
    <w:rsid w:val="00A47645"/>
    <w:rsid w:val="00A52871"/>
    <w:rsid w:val="00A551FC"/>
    <w:rsid w:val="00A66F48"/>
    <w:rsid w:val="00A71A4C"/>
    <w:rsid w:val="00A756D2"/>
    <w:rsid w:val="00A84DD1"/>
    <w:rsid w:val="00A8772A"/>
    <w:rsid w:val="00AA3B8E"/>
    <w:rsid w:val="00AB1072"/>
    <w:rsid w:val="00AB3DA3"/>
    <w:rsid w:val="00AC2346"/>
    <w:rsid w:val="00AD11FA"/>
    <w:rsid w:val="00AD1CB2"/>
    <w:rsid w:val="00AD5393"/>
    <w:rsid w:val="00AD62DB"/>
    <w:rsid w:val="00AE262E"/>
    <w:rsid w:val="00AF76A8"/>
    <w:rsid w:val="00B013DC"/>
    <w:rsid w:val="00B05CCC"/>
    <w:rsid w:val="00B11CE6"/>
    <w:rsid w:val="00B279DC"/>
    <w:rsid w:val="00B27A03"/>
    <w:rsid w:val="00B309B8"/>
    <w:rsid w:val="00B330C0"/>
    <w:rsid w:val="00B41854"/>
    <w:rsid w:val="00B521CB"/>
    <w:rsid w:val="00B522D3"/>
    <w:rsid w:val="00B526C0"/>
    <w:rsid w:val="00B633E5"/>
    <w:rsid w:val="00B64059"/>
    <w:rsid w:val="00B67169"/>
    <w:rsid w:val="00B676C2"/>
    <w:rsid w:val="00B67A6A"/>
    <w:rsid w:val="00B70A7F"/>
    <w:rsid w:val="00B74B29"/>
    <w:rsid w:val="00B74C63"/>
    <w:rsid w:val="00B77990"/>
    <w:rsid w:val="00B81415"/>
    <w:rsid w:val="00B91702"/>
    <w:rsid w:val="00BA4EE9"/>
    <w:rsid w:val="00BA7389"/>
    <w:rsid w:val="00BC3718"/>
    <w:rsid w:val="00BD1400"/>
    <w:rsid w:val="00BD2C37"/>
    <w:rsid w:val="00BD4A64"/>
    <w:rsid w:val="00BE2A76"/>
    <w:rsid w:val="00BE32B5"/>
    <w:rsid w:val="00BF037B"/>
    <w:rsid w:val="00BF11F8"/>
    <w:rsid w:val="00BF68CA"/>
    <w:rsid w:val="00BF734D"/>
    <w:rsid w:val="00C11473"/>
    <w:rsid w:val="00C219A7"/>
    <w:rsid w:val="00C21AC1"/>
    <w:rsid w:val="00C224AC"/>
    <w:rsid w:val="00C313C1"/>
    <w:rsid w:val="00C3590B"/>
    <w:rsid w:val="00C35EEE"/>
    <w:rsid w:val="00C54B4F"/>
    <w:rsid w:val="00C5689F"/>
    <w:rsid w:val="00C60FD1"/>
    <w:rsid w:val="00C623B3"/>
    <w:rsid w:val="00C62760"/>
    <w:rsid w:val="00C7512B"/>
    <w:rsid w:val="00C83099"/>
    <w:rsid w:val="00C84614"/>
    <w:rsid w:val="00C86C3B"/>
    <w:rsid w:val="00C8741C"/>
    <w:rsid w:val="00C929D3"/>
    <w:rsid w:val="00C9635B"/>
    <w:rsid w:val="00C974B9"/>
    <w:rsid w:val="00CA05E6"/>
    <w:rsid w:val="00CA4203"/>
    <w:rsid w:val="00CA5882"/>
    <w:rsid w:val="00CB0FFA"/>
    <w:rsid w:val="00CB204C"/>
    <w:rsid w:val="00CB4814"/>
    <w:rsid w:val="00CC6750"/>
    <w:rsid w:val="00CD02C1"/>
    <w:rsid w:val="00CD25AE"/>
    <w:rsid w:val="00CE3AAB"/>
    <w:rsid w:val="00CE5A52"/>
    <w:rsid w:val="00CF4314"/>
    <w:rsid w:val="00CF5174"/>
    <w:rsid w:val="00D03260"/>
    <w:rsid w:val="00D13DC0"/>
    <w:rsid w:val="00D15603"/>
    <w:rsid w:val="00D41A10"/>
    <w:rsid w:val="00D46ABC"/>
    <w:rsid w:val="00D55312"/>
    <w:rsid w:val="00D55685"/>
    <w:rsid w:val="00D6010B"/>
    <w:rsid w:val="00D60341"/>
    <w:rsid w:val="00D626A1"/>
    <w:rsid w:val="00D73E75"/>
    <w:rsid w:val="00D878EF"/>
    <w:rsid w:val="00D9010C"/>
    <w:rsid w:val="00D91FEA"/>
    <w:rsid w:val="00D93039"/>
    <w:rsid w:val="00DA220F"/>
    <w:rsid w:val="00DA46CA"/>
    <w:rsid w:val="00DA59D7"/>
    <w:rsid w:val="00DB06BB"/>
    <w:rsid w:val="00DC23DC"/>
    <w:rsid w:val="00DC4155"/>
    <w:rsid w:val="00DD0331"/>
    <w:rsid w:val="00DD5F8C"/>
    <w:rsid w:val="00DE16D3"/>
    <w:rsid w:val="00DE2924"/>
    <w:rsid w:val="00DF3E83"/>
    <w:rsid w:val="00E00915"/>
    <w:rsid w:val="00E02D3E"/>
    <w:rsid w:val="00E12FF2"/>
    <w:rsid w:val="00E15D87"/>
    <w:rsid w:val="00E20E70"/>
    <w:rsid w:val="00E23813"/>
    <w:rsid w:val="00E2468C"/>
    <w:rsid w:val="00E24E0A"/>
    <w:rsid w:val="00E379C7"/>
    <w:rsid w:val="00E51C44"/>
    <w:rsid w:val="00E54B23"/>
    <w:rsid w:val="00E62881"/>
    <w:rsid w:val="00E633E6"/>
    <w:rsid w:val="00E6504C"/>
    <w:rsid w:val="00E65547"/>
    <w:rsid w:val="00E73E8A"/>
    <w:rsid w:val="00E7421C"/>
    <w:rsid w:val="00E75F70"/>
    <w:rsid w:val="00E77634"/>
    <w:rsid w:val="00E94F21"/>
    <w:rsid w:val="00E96964"/>
    <w:rsid w:val="00EA1E53"/>
    <w:rsid w:val="00EB2818"/>
    <w:rsid w:val="00EB78AC"/>
    <w:rsid w:val="00EC232B"/>
    <w:rsid w:val="00ED540D"/>
    <w:rsid w:val="00EE094A"/>
    <w:rsid w:val="00EE75B5"/>
    <w:rsid w:val="00EF178E"/>
    <w:rsid w:val="00EF2892"/>
    <w:rsid w:val="00EF7336"/>
    <w:rsid w:val="00F00E69"/>
    <w:rsid w:val="00F1752C"/>
    <w:rsid w:val="00F1761D"/>
    <w:rsid w:val="00F24E42"/>
    <w:rsid w:val="00F342E2"/>
    <w:rsid w:val="00F4545E"/>
    <w:rsid w:val="00F46D3C"/>
    <w:rsid w:val="00F47D4F"/>
    <w:rsid w:val="00F47DAF"/>
    <w:rsid w:val="00F53D1B"/>
    <w:rsid w:val="00F54FAF"/>
    <w:rsid w:val="00F700BA"/>
    <w:rsid w:val="00F70417"/>
    <w:rsid w:val="00F76E97"/>
    <w:rsid w:val="00F87858"/>
    <w:rsid w:val="00F91E75"/>
    <w:rsid w:val="00F952CC"/>
    <w:rsid w:val="00F96664"/>
    <w:rsid w:val="00FB0516"/>
    <w:rsid w:val="00FB26BA"/>
    <w:rsid w:val="00FB4C11"/>
    <w:rsid w:val="00FC43E7"/>
    <w:rsid w:val="00FC59DC"/>
    <w:rsid w:val="00FD6C75"/>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4" w:qFormat="1"/>
    <w:lsdException w:name="heading 5" w:uiPriority="19"/>
    <w:lsdException w:name="heading 6" w:uiPriority="19"/>
    <w:lsdException w:name="heading 7" w:uiPriority="19"/>
    <w:lsdException w:name="heading 8" w:uiPriority="19"/>
    <w:lsdException w:name="heading 9" w:uiPriority="19"/>
    <w:lsdException w:name="footnote text" w:uiPriority="0"/>
    <w:lsdException w:name="annotation text" w:uiPriority="0"/>
    <w:lsdException w:name="footer" w:uiPriority="99"/>
    <w:lsdException w:name="footnote reference" w:uiPriority="0"/>
    <w:lsdException w:name="annotation reference" w:uiPriority="0"/>
    <w:lsdException w:name="Title" w:uiPriority="2" w:qFormat="1"/>
    <w:lsdException w:name="Default Paragraph Font" w:uiPriority="1"/>
    <w:lsdException w:name="Body Text" w:uiPriority="0" w:qFormat="1"/>
    <w:lsdException w:name="Body Text Indent" w:uiPriority="0"/>
    <w:lsdException w:name="Subtitle" w:uiPriority="3"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0045"/>
    <w:pPr>
      <w:keepNext/>
      <w:keepLines/>
      <w:widowControl w:val="0"/>
      <w:spacing w:before="851" w:after="390" w:line="360" w:lineRule="exact"/>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004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EndnoteText">
    <w:name w:val="endnote text"/>
    <w:basedOn w:val="Normal"/>
    <w:link w:val="EndnoteTextChar"/>
    <w:uiPriority w:val="49"/>
    <w:rsid w:val="000258FA"/>
    <w:rPr>
      <w:sz w:val="20"/>
    </w:rPr>
  </w:style>
  <w:style w:type="character" w:customStyle="1" w:styleId="EndnoteTextChar">
    <w:name w:val="Endnote Text Char"/>
    <w:basedOn w:val="DefaultParagraphFont"/>
    <w:link w:val="EndnoteText"/>
    <w:uiPriority w:val="49"/>
    <w:rsid w:val="000258FA"/>
    <w:rPr>
      <w:lang w:eastAsia="en-US"/>
    </w:rPr>
  </w:style>
  <w:style w:type="character" w:styleId="EndnoteReference">
    <w:name w:val="endnote reference"/>
    <w:basedOn w:val="DefaultParagraphFont"/>
    <w:uiPriority w:val="49"/>
    <w:rsid w:val="000258FA"/>
    <w:rPr>
      <w:vertAlign w:val="superscript"/>
    </w:rPr>
  </w:style>
  <w:style w:type="character" w:customStyle="1" w:styleId="c14">
    <w:name w:val="c14"/>
    <w:basedOn w:val="DefaultParagraphFont"/>
    <w:rsid w:val="00074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4" w:qFormat="1"/>
    <w:lsdException w:name="heading 5" w:uiPriority="19"/>
    <w:lsdException w:name="heading 6" w:uiPriority="19"/>
    <w:lsdException w:name="heading 7" w:uiPriority="19"/>
    <w:lsdException w:name="heading 8" w:uiPriority="19"/>
    <w:lsdException w:name="heading 9" w:uiPriority="19"/>
    <w:lsdException w:name="footnote text" w:uiPriority="0"/>
    <w:lsdException w:name="annotation text" w:uiPriority="0"/>
    <w:lsdException w:name="footer" w:uiPriority="99"/>
    <w:lsdException w:name="footnote reference" w:uiPriority="0"/>
    <w:lsdException w:name="annotation reference" w:uiPriority="0"/>
    <w:lsdException w:name="Title" w:uiPriority="2" w:qFormat="1"/>
    <w:lsdException w:name="Default Paragraph Font" w:uiPriority="1"/>
    <w:lsdException w:name="Body Text" w:uiPriority="0" w:qFormat="1"/>
    <w:lsdException w:name="Body Text Indent" w:uiPriority="0"/>
    <w:lsdException w:name="Subtitle" w:uiPriority="3"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0045"/>
    <w:pPr>
      <w:keepNext/>
      <w:keepLines/>
      <w:widowControl w:val="0"/>
      <w:spacing w:before="851" w:after="390" w:line="360" w:lineRule="exact"/>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004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EndnoteText">
    <w:name w:val="endnote text"/>
    <w:basedOn w:val="Normal"/>
    <w:link w:val="EndnoteTextChar"/>
    <w:uiPriority w:val="49"/>
    <w:rsid w:val="000258FA"/>
    <w:rPr>
      <w:sz w:val="20"/>
    </w:rPr>
  </w:style>
  <w:style w:type="character" w:customStyle="1" w:styleId="EndnoteTextChar">
    <w:name w:val="Endnote Text Char"/>
    <w:basedOn w:val="DefaultParagraphFont"/>
    <w:link w:val="EndnoteText"/>
    <w:uiPriority w:val="49"/>
    <w:rsid w:val="000258FA"/>
    <w:rPr>
      <w:lang w:eastAsia="en-US"/>
    </w:rPr>
  </w:style>
  <w:style w:type="character" w:styleId="EndnoteReference">
    <w:name w:val="endnote reference"/>
    <w:basedOn w:val="DefaultParagraphFont"/>
    <w:uiPriority w:val="49"/>
    <w:rsid w:val="000258FA"/>
    <w:rPr>
      <w:vertAlign w:val="superscript"/>
    </w:rPr>
  </w:style>
  <w:style w:type="character" w:customStyle="1" w:styleId="c14">
    <w:name w:val="c14"/>
    <w:basedOn w:val="DefaultParagraphFont"/>
    <w:rsid w:val="0007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151873714">
      <w:bodyDiv w:val="1"/>
      <w:marLeft w:val="0"/>
      <w:marRight w:val="0"/>
      <w:marTop w:val="0"/>
      <w:marBottom w:val="0"/>
      <w:divBdr>
        <w:top w:val="none" w:sz="0" w:space="0" w:color="auto"/>
        <w:left w:val="none" w:sz="0" w:space="0" w:color="auto"/>
        <w:bottom w:val="none" w:sz="0" w:space="0" w:color="auto"/>
        <w:right w:val="none" w:sz="0" w:space="0" w:color="auto"/>
      </w:divBdr>
      <w:divsChild>
        <w:div w:id="284697949">
          <w:marLeft w:val="547"/>
          <w:marRight w:val="0"/>
          <w:marTop w:val="154"/>
          <w:marBottom w:val="0"/>
          <w:divBdr>
            <w:top w:val="none" w:sz="0" w:space="0" w:color="auto"/>
            <w:left w:val="none" w:sz="0" w:space="0" w:color="auto"/>
            <w:bottom w:val="none" w:sz="0" w:space="0" w:color="auto"/>
            <w:right w:val="none" w:sz="0" w:space="0" w:color="auto"/>
          </w:divBdr>
        </w:div>
        <w:div w:id="13924909">
          <w:marLeft w:val="547"/>
          <w:marRight w:val="0"/>
          <w:marTop w:val="154"/>
          <w:marBottom w:val="0"/>
          <w:divBdr>
            <w:top w:val="none" w:sz="0" w:space="0" w:color="auto"/>
            <w:left w:val="none" w:sz="0" w:space="0" w:color="auto"/>
            <w:bottom w:val="none" w:sz="0" w:space="0" w:color="auto"/>
            <w:right w:val="none" w:sz="0" w:space="0" w:color="auto"/>
          </w:divBdr>
        </w:div>
      </w:divsChild>
    </w:div>
    <w:div w:id="1287926583">
      <w:bodyDiv w:val="1"/>
      <w:marLeft w:val="0"/>
      <w:marRight w:val="0"/>
      <w:marTop w:val="0"/>
      <w:marBottom w:val="0"/>
      <w:divBdr>
        <w:top w:val="none" w:sz="0" w:space="0" w:color="auto"/>
        <w:left w:val="none" w:sz="0" w:space="0" w:color="auto"/>
        <w:bottom w:val="none" w:sz="0" w:space="0" w:color="auto"/>
        <w:right w:val="none" w:sz="0" w:space="0" w:color="auto"/>
      </w:divBdr>
    </w:div>
    <w:div w:id="1312173211">
      <w:bodyDiv w:val="1"/>
      <w:marLeft w:val="0"/>
      <w:marRight w:val="0"/>
      <w:marTop w:val="0"/>
      <w:marBottom w:val="0"/>
      <w:divBdr>
        <w:top w:val="none" w:sz="0" w:space="0" w:color="auto"/>
        <w:left w:val="none" w:sz="0" w:space="0" w:color="auto"/>
        <w:bottom w:val="none" w:sz="0" w:space="0" w:color="auto"/>
        <w:right w:val="none" w:sz="0" w:space="0" w:color="auto"/>
      </w:divBdr>
    </w:div>
    <w:div w:id="1531259586">
      <w:bodyDiv w:val="1"/>
      <w:marLeft w:val="0"/>
      <w:marRight w:val="0"/>
      <w:marTop w:val="0"/>
      <w:marBottom w:val="0"/>
      <w:divBdr>
        <w:top w:val="none" w:sz="0" w:space="0" w:color="auto"/>
        <w:left w:val="none" w:sz="0" w:space="0" w:color="auto"/>
        <w:bottom w:val="none" w:sz="0" w:space="0" w:color="auto"/>
        <w:right w:val="none" w:sz="0" w:space="0" w:color="auto"/>
      </w:divBdr>
    </w:div>
    <w:div w:id="1652249729">
      <w:bodyDiv w:val="1"/>
      <w:marLeft w:val="0"/>
      <w:marRight w:val="0"/>
      <w:marTop w:val="0"/>
      <w:marBottom w:val="0"/>
      <w:divBdr>
        <w:top w:val="none" w:sz="0" w:space="0" w:color="auto"/>
        <w:left w:val="none" w:sz="0" w:space="0" w:color="auto"/>
        <w:bottom w:val="none" w:sz="0" w:space="0" w:color="auto"/>
        <w:right w:val="none" w:sz="0" w:space="0" w:color="auto"/>
      </w:divBdr>
    </w:div>
    <w:div w:id="2117364963">
      <w:bodyDiv w:val="1"/>
      <w:marLeft w:val="0"/>
      <w:marRight w:val="0"/>
      <w:marTop w:val="0"/>
      <w:marBottom w:val="0"/>
      <w:divBdr>
        <w:top w:val="none" w:sz="0" w:space="0" w:color="auto"/>
        <w:left w:val="none" w:sz="0" w:space="0" w:color="auto"/>
        <w:bottom w:val="none" w:sz="0" w:space="0" w:color="auto"/>
        <w:right w:val="none" w:sz="0" w:space="0" w:color="auto"/>
      </w:divBdr>
      <w:divsChild>
        <w:div w:id="11972793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M-Conference@iaea.org" TargetMode="External"/><Relationship Id="rId24" Type="http://schemas.openxmlformats.org/officeDocument/2006/relationships/hyperlink" Target="http://www-pub.iaea.org/iaeameetings/50805/Third-International-Conference-on-Knowledge-Managemen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K.Morrison@iaea.org" TargetMode="External"/><Relationship Id="rId10" Type="http://schemas.openxmlformats.org/officeDocument/2006/relationships/hyperlink" Target="mailto:official.mail@iaea.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909A-22D7-4949-81BA-88B6D8E0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11</Pages>
  <Words>2972</Words>
  <Characters>16946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2</cp:revision>
  <cp:lastPrinted>2016-03-07T07:56:00Z</cp:lastPrinted>
  <dcterms:created xsi:type="dcterms:W3CDTF">2016-03-21T14:22:00Z</dcterms:created>
  <dcterms:modified xsi:type="dcterms:W3CDTF">2016-03-21T14:22:00Z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