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09CBC" w14:textId="77777777" w:rsidR="00E20E70" w:rsidRPr="006B59F8" w:rsidRDefault="00F1752C" w:rsidP="00CE6439">
      <w:pPr>
        <w:pStyle w:val="BodyText"/>
        <w:spacing w:line="276" w:lineRule="auto"/>
        <w:jc w:val="center"/>
        <w:rPr>
          <w:rFonts w:asciiTheme="minorHAnsi" w:hAnsiTheme="minorHAnsi" w:cstheme="minorHAnsi"/>
        </w:rPr>
      </w:pPr>
      <w:r w:rsidRPr="00322985">
        <w:rPr>
          <w:rFonts w:asciiTheme="minorHAnsi" w:hAnsiTheme="minorHAnsi" w:cstheme="minorHAnsi"/>
          <w:noProof/>
          <w:lang w:eastAsia="en-GB"/>
        </w:rPr>
        <w:drawing>
          <wp:inline distT="0" distB="0" distL="0" distR="0" wp14:anchorId="6C7923F1" wp14:editId="7E64D7F9">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5459C6AA" w14:textId="77777777" w:rsidR="00F1752C" w:rsidRPr="006B59F8" w:rsidRDefault="00F1752C">
      <w:pPr>
        <w:pStyle w:val="BodyText"/>
        <w:spacing w:after="0" w:line="276" w:lineRule="auto"/>
        <w:jc w:val="center"/>
        <w:rPr>
          <w:b/>
          <w:sz w:val="28"/>
          <w:szCs w:val="28"/>
        </w:rPr>
      </w:pPr>
    </w:p>
    <w:p w14:paraId="4638269F" w14:textId="5DFD317E" w:rsidR="008064AB" w:rsidRDefault="006D57B9" w:rsidP="008064AB">
      <w:pPr>
        <w:overflowPunct/>
        <w:spacing w:line="276" w:lineRule="auto"/>
        <w:jc w:val="center"/>
        <w:textAlignment w:val="auto"/>
        <w:rPr>
          <w:b/>
          <w:bCs/>
          <w:sz w:val="42"/>
          <w:szCs w:val="42"/>
        </w:rPr>
      </w:pPr>
      <w:r w:rsidRPr="00322985">
        <w:rPr>
          <w:b/>
          <w:bCs/>
          <w:sz w:val="42"/>
          <w:szCs w:val="42"/>
        </w:rPr>
        <w:t xml:space="preserve">International Conference </w:t>
      </w:r>
      <w:r w:rsidR="008064AB" w:rsidRPr="00322985">
        <w:rPr>
          <w:b/>
          <w:bCs/>
          <w:sz w:val="42"/>
          <w:szCs w:val="42"/>
        </w:rPr>
        <w:t>on</w:t>
      </w:r>
    </w:p>
    <w:p w14:paraId="67427744" w14:textId="77149649" w:rsidR="009943FA" w:rsidRPr="003208EF" w:rsidRDefault="004620F4" w:rsidP="008064AB">
      <w:pPr>
        <w:overflowPunct/>
        <w:spacing w:line="276" w:lineRule="auto"/>
        <w:jc w:val="center"/>
        <w:textAlignment w:val="auto"/>
        <w:rPr>
          <w:b/>
          <w:bCs/>
          <w:sz w:val="42"/>
          <w:szCs w:val="42"/>
        </w:rPr>
      </w:pPr>
      <w:r w:rsidRPr="004620F4">
        <w:rPr>
          <w:b/>
          <w:bCs/>
          <w:sz w:val="42"/>
          <w:szCs w:val="42"/>
        </w:rPr>
        <w:t>Advancing the</w:t>
      </w:r>
      <w:r w:rsidR="008064AB">
        <w:rPr>
          <w:b/>
          <w:bCs/>
          <w:sz w:val="42"/>
          <w:szCs w:val="42"/>
        </w:rPr>
        <w:t xml:space="preserve"> </w:t>
      </w:r>
      <w:r w:rsidRPr="004620F4">
        <w:rPr>
          <w:b/>
          <w:bCs/>
          <w:sz w:val="42"/>
          <w:szCs w:val="42"/>
        </w:rPr>
        <w:t>Global Implementation of Decommissioning and Environmental Remediation Programmes</w:t>
      </w:r>
    </w:p>
    <w:p w14:paraId="7BE64FBB" w14:textId="77777777" w:rsidR="00F1752C" w:rsidRPr="00322985" w:rsidRDefault="00F1752C">
      <w:pPr>
        <w:overflowPunct/>
        <w:spacing w:line="276" w:lineRule="auto"/>
        <w:jc w:val="center"/>
        <w:textAlignment w:val="auto"/>
        <w:rPr>
          <w:b/>
          <w:bCs/>
          <w:color w:val="000000"/>
          <w:sz w:val="28"/>
          <w:szCs w:val="28"/>
          <w:lang w:eastAsia="en-GB"/>
        </w:rPr>
      </w:pPr>
    </w:p>
    <w:p w14:paraId="4D8DA594" w14:textId="61B99F27" w:rsidR="003B1DED" w:rsidRPr="00322985" w:rsidRDefault="004620F4" w:rsidP="008064AB">
      <w:pPr>
        <w:overflowPunct/>
        <w:spacing w:line="276" w:lineRule="auto"/>
        <w:jc w:val="center"/>
        <w:textAlignment w:val="auto"/>
        <w:rPr>
          <w:b/>
          <w:bCs/>
          <w:color w:val="000000"/>
          <w:sz w:val="28"/>
          <w:szCs w:val="28"/>
          <w:lang w:eastAsia="en-GB"/>
        </w:rPr>
      </w:pPr>
      <w:r w:rsidRPr="00872A85">
        <w:rPr>
          <w:b/>
          <w:bCs/>
          <w:color w:val="000000"/>
          <w:sz w:val="28"/>
          <w:szCs w:val="28"/>
          <w:lang w:eastAsia="en-GB"/>
        </w:rPr>
        <w:t>Madrid, Spain</w:t>
      </w:r>
      <w:r w:rsidR="004A6B2D">
        <w:rPr>
          <w:rStyle w:val="FootnoteReference"/>
          <w:b/>
          <w:bCs/>
          <w:color w:val="000000"/>
          <w:sz w:val="28"/>
          <w:szCs w:val="28"/>
          <w:lang w:eastAsia="en-GB"/>
        </w:rPr>
        <w:footnoteReference w:id="2"/>
      </w:r>
    </w:p>
    <w:p w14:paraId="4E160724" w14:textId="77777777" w:rsidR="003B1DED" w:rsidRPr="00322985" w:rsidRDefault="003B1DED">
      <w:pPr>
        <w:overflowPunct/>
        <w:spacing w:line="276" w:lineRule="auto"/>
        <w:jc w:val="center"/>
        <w:textAlignment w:val="auto"/>
        <w:rPr>
          <w:b/>
          <w:bCs/>
          <w:color w:val="000000"/>
          <w:sz w:val="24"/>
          <w:szCs w:val="24"/>
          <w:lang w:eastAsia="en-GB"/>
        </w:rPr>
      </w:pPr>
    </w:p>
    <w:p w14:paraId="3E1CCAE4" w14:textId="2260E5FB" w:rsidR="00362111" w:rsidRPr="00322985" w:rsidRDefault="004620F4" w:rsidP="008064AB">
      <w:pPr>
        <w:overflowPunct/>
        <w:spacing w:line="276" w:lineRule="auto"/>
        <w:jc w:val="center"/>
        <w:textAlignment w:val="auto"/>
        <w:rPr>
          <w:b/>
          <w:bCs/>
          <w:sz w:val="28"/>
          <w:szCs w:val="28"/>
          <w:lang w:eastAsia="en-GB"/>
        </w:rPr>
      </w:pPr>
      <w:r>
        <w:rPr>
          <w:b/>
          <w:bCs/>
          <w:sz w:val="28"/>
          <w:szCs w:val="28"/>
        </w:rPr>
        <w:t>23–27 May 2016</w:t>
      </w:r>
    </w:p>
    <w:p w14:paraId="71A06C5C" w14:textId="77777777" w:rsidR="00F1752C" w:rsidRPr="00322985" w:rsidRDefault="00F1752C">
      <w:pPr>
        <w:overflowPunct/>
        <w:spacing w:line="276" w:lineRule="auto"/>
        <w:jc w:val="center"/>
        <w:textAlignment w:val="auto"/>
        <w:rPr>
          <w:b/>
          <w:bCs/>
          <w:sz w:val="24"/>
          <w:szCs w:val="24"/>
        </w:rPr>
      </w:pPr>
    </w:p>
    <w:p w14:paraId="3269F5F7" w14:textId="77777777" w:rsidR="00276559" w:rsidRPr="00322985" w:rsidRDefault="00F1752C">
      <w:pPr>
        <w:overflowPunct/>
        <w:spacing w:line="276" w:lineRule="auto"/>
        <w:jc w:val="center"/>
        <w:textAlignment w:val="auto"/>
        <w:rPr>
          <w:b/>
          <w:bCs/>
          <w:sz w:val="24"/>
          <w:szCs w:val="24"/>
          <w:lang w:eastAsia="en-GB"/>
        </w:rPr>
      </w:pPr>
      <w:r w:rsidRPr="00322985">
        <w:rPr>
          <w:b/>
          <w:bCs/>
          <w:sz w:val="24"/>
          <w:szCs w:val="24"/>
        </w:rPr>
        <w:t>Ref. No</w:t>
      </w:r>
      <w:r w:rsidR="008B22A2">
        <w:rPr>
          <w:b/>
          <w:bCs/>
          <w:sz w:val="24"/>
          <w:szCs w:val="24"/>
        </w:rPr>
        <w:t>.</w:t>
      </w:r>
      <w:r w:rsidRPr="00322985">
        <w:rPr>
          <w:b/>
          <w:bCs/>
          <w:sz w:val="24"/>
          <w:szCs w:val="24"/>
        </w:rPr>
        <w:t xml:space="preserve">: </w:t>
      </w:r>
      <w:r w:rsidR="008F0045">
        <w:rPr>
          <w:b/>
          <w:bCs/>
          <w:sz w:val="24"/>
          <w:szCs w:val="24"/>
        </w:rPr>
        <w:t>IAEA-</w:t>
      </w:r>
      <w:r w:rsidR="006D57B9" w:rsidRPr="00322985">
        <w:rPr>
          <w:b/>
          <w:bCs/>
          <w:sz w:val="24"/>
          <w:szCs w:val="24"/>
        </w:rPr>
        <w:t>CN-2</w:t>
      </w:r>
      <w:r w:rsidR="004620F4">
        <w:rPr>
          <w:b/>
          <w:bCs/>
          <w:sz w:val="24"/>
          <w:szCs w:val="24"/>
        </w:rPr>
        <w:t>38</w:t>
      </w:r>
    </w:p>
    <w:p w14:paraId="7C1DA459" w14:textId="77777777" w:rsidR="00276559" w:rsidRPr="00322985" w:rsidRDefault="00276559">
      <w:pPr>
        <w:overflowPunct/>
        <w:spacing w:line="276" w:lineRule="auto"/>
        <w:jc w:val="center"/>
        <w:textAlignment w:val="auto"/>
        <w:rPr>
          <w:b/>
          <w:bCs/>
          <w:color w:val="000000"/>
          <w:sz w:val="28"/>
          <w:szCs w:val="28"/>
          <w:lang w:eastAsia="en-GB"/>
        </w:rPr>
      </w:pPr>
    </w:p>
    <w:p w14:paraId="1836DD5A" w14:textId="77777777" w:rsidR="00276559" w:rsidRPr="00322985" w:rsidRDefault="00333966">
      <w:pPr>
        <w:overflowPunct/>
        <w:spacing w:line="276" w:lineRule="auto"/>
        <w:jc w:val="center"/>
        <w:textAlignment w:val="auto"/>
        <w:rPr>
          <w:b/>
          <w:bCs/>
          <w:sz w:val="36"/>
          <w:szCs w:val="36"/>
          <w:lang w:eastAsia="en-GB"/>
        </w:rPr>
      </w:pPr>
      <w:r w:rsidRPr="00322985">
        <w:rPr>
          <w:b/>
          <w:bCs/>
          <w:color w:val="000000"/>
          <w:sz w:val="36"/>
          <w:szCs w:val="36"/>
          <w:lang w:eastAsia="en-GB"/>
        </w:rPr>
        <w:t>Announcement</w:t>
      </w:r>
      <w:r w:rsidR="00B77990" w:rsidRPr="00322985">
        <w:rPr>
          <w:b/>
          <w:bCs/>
          <w:color w:val="000000"/>
          <w:sz w:val="36"/>
          <w:szCs w:val="36"/>
          <w:lang w:eastAsia="en-GB"/>
        </w:rPr>
        <w:t xml:space="preserve"> and Call for Papers</w:t>
      </w:r>
    </w:p>
    <w:p w14:paraId="0BD67248" w14:textId="77777777" w:rsidR="00750DF0" w:rsidRPr="00322985" w:rsidRDefault="006D57B9" w:rsidP="00CE6439">
      <w:pPr>
        <w:pStyle w:val="Heading1"/>
        <w:spacing w:line="276" w:lineRule="auto"/>
      </w:pPr>
      <w:r w:rsidRPr="008F0045">
        <w:t>Background</w:t>
      </w:r>
    </w:p>
    <w:p w14:paraId="3CEAEA8E" w14:textId="192D6B90" w:rsidR="00285CE5" w:rsidRDefault="00285CE5" w:rsidP="001B7884">
      <w:pPr>
        <w:spacing w:after="170" w:line="280" w:lineRule="atLeast"/>
        <w:jc w:val="both"/>
      </w:pPr>
      <w:r w:rsidRPr="00285CE5">
        <w:t xml:space="preserve">Much remains to be done in terms of addressing the legacies from the early development of nuclear energy, including the dismantling of redundant research and fuel cycle facilities, research reactors and </w:t>
      </w:r>
      <w:r w:rsidR="008064AB">
        <w:t xml:space="preserve">nuclear </w:t>
      </w:r>
      <w:r w:rsidRPr="00285CE5">
        <w:t xml:space="preserve">power plants, and the remediation of </w:t>
      </w:r>
      <w:r w:rsidR="00765D30">
        <w:t xml:space="preserve">former nuclear </w:t>
      </w:r>
      <w:r w:rsidRPr="00285CE5">
        <w:t xml:space="preserve">sites </w:t>
      </w:r>
      <w:r w:rsidR="00765D30">
        <w:t xml:space="preserve">and those </w:t>
      </w:r>
      <w:r w:rsidRPr="00285CE5">
        <w:t>affected by past uranium mining and processing operations</w:t>
      </w:r>
      <w:r w:rsidR="00A028C6">
        <w:t xml:space="preserve">, </w:t>
      </w:r>
      <w:r w:rsidR="009771ED">
        <w:t xml:space="preserve">by </w:t>
      </w:r>
      <w:r w:rsidR="00A028C6">
        <w:t>other activities involving the use of naturally</w:t>
      </w:r>
      <w:r w:rsidR="008064AB">
        <w:t xml:space="preserve"> </w:t>
      </w:r>
      <w:r w:rsidR="00A028C6">
        <w:t>occurring rad</w:t>
      </w:r>
      <w:r w:rsidR="009771ED">
        <w:t>ioactive material (NORM) or by major nuclear or radiological accidents</w:t>
      </w:r>
      <w:r w:rsidRPr="00285CE5">
        <w:t xml:space="preserve">. Long term solutions </w:t>
      </w:r>
      <w:r w:rsidR="00765D30">
        <w:t xml:space="preserve">often </w:t>
      </w:r>
      <w:r w:rsidRPr="00285CE5">
        <w:t xml:space="preserve">still need to be found for management of the resulting waste, including </w:t>
      </w:r>
      <w:r w:rsidR="009D4831">
        <w:t xml:space="preserve">the </w:t>
      </w:r>
      <w:r w:rsidRPr="00285CE5">
        <w:t>development of disposal facilities that meet public acceptance and safety requirements. Some countries are moving forward with dealing with these legacies, and accordingly have built up appropriate technical resources and expertise, but many national programmes still face very significant challenges.</w:t>
      </w:r>
    </w:p>
    <w:p w14:paraId="5FDF26CE" w14:textId="401DF1FB" w:rsidR="007D5D1E" w:rsidRDefault="007D5D1E" w:rsidP="001B7884">
      <w:pPr>
        <w:spacing w:after="170" w:line="280" w:lineRule="atLeast"/>
        <w:jc w:val="both"/>
      </w:pPr>
      <w:r w:rsidRPr="001B7617">
        <w:lastRenderedPageBreak/>
        <w:t xml:space="preserve">The last major </w:t>
      </w:r>
      <w:r w:rsidR="008064AB">
        <w:t>c</w:t>
      </w:r>
      <w:r w:rsidRPr="001B7617">
        <w:t xml:space="preserve">onferences organized by the </w:t>
      </w:r>
      <w:r w:rsidR="008064AB">
        <w:t>International Atomic Energy Agency (</w:t>
      </w:r>
      <w:r w:rsidR="00854F8F">
        <w:t>IAEA</w:t>
      </w:r>
      <w:r w:rsidR="008064AB">
        <w:t>)</w:t>
      </w:r>
      <w:r w:rsidRPr="001B7617">
        <w:t xml:space="preserve"> </w:t>
      </w:r>
      <w:r w:rsidR="005A6C65">
        <w:t>relevant to</w:t>
      </w:r>
      <w:r w:rsidR="005A6C65" w:rsidRPr="001B7617">
        <w:t xml:space="preserve"> </w:t>
      </w:r>
      <w:r w:rsidR="00765D30" w:rsidRPr="001B7617">
        <w:t>the</w:t>
      </w:r>
      <w:r w:rsidR="00765D30">
        <w:t xml:space="preserve"> above</w:t>
      </w:r>
      <w:r w:rsidR="00765D30" w:rsidRPr="001B7617">
        <w:t xml:space="preserve"> </w:t>
      </w:r>
      <w:r w:rsidRPr="001B7617">
        <w:t>topics took place in Athens</w:t>
      </w:r>
      <w:r w:rsidR="008064AB">
        <w:t>, Greece</w:t>
      </w:r>
      <w:r w:rsidRPr="001B7617">
        <w:t xml:space="preserve"> (</w:t>
      </w:r>
      <w:r w:rsidR="008064AB" w:rsidRPr="001B7617">
        <w:t>2006</w:t>
      </w:r>
      <w:r w:rsidR="008064AB">
        <w:t>: d</w:t>
      </w:r>
      <w:r w:rsidRPr="001B7617">
        <w:t>ecommissioning) and in Astana</w:t>
      </w:r>
      <w:r w:rsidR="008064AB">
        <w:t>, Kazakhstan</w:t>
      </w:r>
      <w:r w:rsidRPr="001B7617">
        <w:t xml:space="preserve"> (</w:t>
      </w:r>
      <w:r w:rsidR="008064AB" w:rsidRPr="001B7617">
        <w:t>2009</w:t>
      </w:r>
      <w:r w:rsidR="008064AB">
        <w:t>: e</w:t>
      </w:r>
      <w:r w:rsidRPr="001B7617">
        <w:t xml:space="preserve">nvironmental </w:t>
      </w:r>
      <w:r w:rsidR="008064AB">
        <w:t>r</w:t>
      </w:r>
      <w:r w:rsidRPr="001B7617">
        <w:t>emediation). In the meantime</w:t>
      </w:r>
      <w:r w:rsidR="008064AB">
        <w:t>,</w:t>
      </w:r>
      <w:r w:rsidRPr="001B7617">
        <w:t xml:space="preserve"> </w:t>
      </w:r>
      <w:r w:rsidRPr="00456E71">
        <w:t>significant developments</w:t>
      </w:r>
      <w:r w:rsidRPr="001B7617">
        <w:t xml:space="preserve"> in these areas </w:t>
      </w:r>
      <w:r>
        <w:t xml:space="preserve">have taken place </w:t>
      </w:r>
      <w:r w:rsidR="00765D30">
        <w:t xml:space="preserve">in some countries </w:t>
      </w:r>
      <w:r>
        <w:t>and</w:t>
      </w:r>
      <w:r w:rsidRPr="001B7617">
        <w:t xml:space="preserve"> therefore </w:t>
      </w:r>
      <w:r>
        <w:t xml:space="preserve">it is timely to discuss the implications for </w:t>
      </w:r>
      <w:r w:rsidR="008064AB">
        <w:t xml:space="preserve">relevant </w:t>
      </w:r>
      <w:r>
        <w:t xml:space="preserve">programmes and to exchange recent experiences </w:t>
      </w:r>
      <w:r w:rsidRPr="001B7617">
        <w:t>on these topics.</w:t>
      </w:r>
      <w:r>
        <w:t xml:space="preserve"> </w:t>
      </w:r>
      <w:r w:rsidRPr="001B7617">
        <w:t xml:space="preserve">The proposal to combine the two subjects in one </w:t>
      </w:r>
      <w:r w:rsidR="008064AB">
        <w:t>c</w:t>
      </w:r>
      <w:r w:rsidRPr="001B7617">
        <w:t xml:space="preserve">onference </w:t>
      </w:r>
      <w:r w:rsidR="00285CE5">
        <w:t xml:space="preserve">is a </w:t>
      </w:r>
      <w:r w:rsidR="002530B0">
        <w:t>recognition</w:t>
      </w:r>
      <w:r w:rsidRPr="001B7617">
        <w:t xml:space="preserve"> that significant synergies </w:t>
      </w:r>
      <w:r w:rsidR="00526958">
        <w:t xml:space="preserve">exist </w:t>
      </w:r>
      <w:r w:rsidRPr="001B7617">
        <w:t>between the two activities</w:t>
      </w:r>
      <w:r w:rsidR="00526958">
        <w:t xml:space="preserve">, which </w:t>
      </w:r>
      <w:r w:rsidRPr="001B7617">
        <w:t xml:space="preserve">should be explored to foster </w:t>
      </w:r>
      <w:r>
        <w:t xml:space="preserve">and optimize </w:t>
      </w:r>
      <w:r w:rsidRPr="001B7617">
        <w:t xml:space="preserve">the implementation of both </w:t>
      </w:r>
      <w:r w:rsidR="00285CE5">
        <w:t xml:space="preserve">decommissioning and environmental remediation </w:t>
      </w:r>
      <w:r>
        <w:t>worldwide.</w:t>
      </w:r>
    </w:p>
    <w:p w14:paraId="0EE089AD" w14:textId="77777777" w:rsidR="00362111" w:rsidRPr="00322985" w:rsidRDefault="00750DF0" w:rsidP="00CE6439">
      <w:pPr>
        <w:pStyle w:val="Heading1"/>
        <w:spacing w:line="276" w:lineRule="auto"/>
      </w:pPr>
      <w:r w:rsidRPr="00322985">
        <w:t>Objectives</w:t>
      </w:r>
    </w:p>
    <w:p w14:paraId="570E6758" w14:textId="5A3004D8" w:rsidR="00285CE5" w:rsidRPr="00FD5FD6" w:rsidRDefault="00285CE5" w:rsidP="001B7884">
      <w:pPr>
        <w:pStyle w:val="BodyText"/>
        <w:rPr>
          <w:szCs w:val="22"/>
        </w:rPr>
      </w:pPr>
      <w:r w:rsidRPr="00FD5FD6">
        <w:rPr>
          <w:szCs w:val="22"/>
        </w:rPr>
        <w:t xml:space="preserve">The </w:t>
      </w:r>
      <w:r w:rsidR="00D32A9E">
        <w:rPr>
          <w:szCs w:val="22"/>
        </w:rPr>
        <w:t>c</w:t>
      </w:r>
      <w:r w:rsidRPr="00FD5FD6">
        <w:rPr>
          <w:szCs w:val="22"/>
        </w:rPr>
        <w:t xml:space="preserve">onference will share and review challenges, achievements and lessons learned </w:t>
      </w:r>
      <w:r w:rsidR="00D32A9E">
        <w:rPr>
          <w:szCs w:val="22"/>
        </w:rPr>
        <w:t>related to</w:t>
      </w:r>
      <w:r w:rsidR="00D32A9E" w:rsidRPr="00FD5FD6">
        <w:rPr>
          <w:szCs w:val="22"/>
        </w:rPr>
        <w:t xml:space="preserve"> </w:t>
      </w:r>
      <w:r w:rsidR="006910D1">
        <w:rPr>
          <w:szCs w:val="22"/>
        </w:rPr>
        <w:t xml:space="preserve">the </w:t>
      </w:r>
      <w:r w:rsidRPr="00FD5FD6">
        <w:rPr>
          <w:szCs w:val="22"/>
        </w:rPr>
        <w:t xml:space="preserve">decommissioning and environmental remediation programmes </w:t>
      </w:r>
      <w:r w:rsidR="00D32A9E">
        <w:rPr>
          <w:szCs w:val="22"/>
        </w:rPr>
        <w:t xml:space="preserve">that have been </w:t>
      </w:r>
      <w:r w:rsidR="00CF136E" w:rsidRPr="00FD5FD6">
        <w:rPr>
          <w:szCs w:val="22"/>
        </w:rPr>
        <w:t xml:space="preserve">implemented </w:t>
      </w:r>
      <w:r w:rsidRPr="00FD5FD6">
        <w:rPr>
          <w:szCs w:val="22"/>
        </w:rPr>
        <w:t xml:space="preserve">during the past decade. </w:t>
      </w:r>
      <w:r w:rsidR="005A6C65">
        <w:rPr>
          <w:szCs w:val="22"/>
        </w:rPr>
        <w:t>Key goals</w:t>
      </w:r>
      <w:r w:rsidR="005A6C65" w:rsidRPr="00FD5FD6">
        <w:rPr>
          <w:szCs w:val="22"/>
        </w:rPr>
        <w:t xml:space="preserve"> </w:t>
      </w:r>
      <w:r w:rsidR="005A6C65">
        <w:rPr>
          <w:szCs w:val="22"/>
        </w:rPr>
        <w:t xml:space="preserve">will include </w:t>
      </w:r>
      <w:r w:rsidR="00834F95">
        <w:rPr>
          <w:szCs w:val="22"/>
        </w:rPr>
        <w:t xml:space="preserve">raising awareness of the importance of </w:t>
      </w:r>
      <w:r w:rsidR="00743E8B">
        <w:rPr>
          <w:szCs w:val="22"/>
        </w:rPr>
        <w:t xml:space="preserve">addressing </w:t>
      </w:r>
      <w:r w:rsidR="00112E5A">
        <w:rPr>
          <w:szCs w:val="22"/>
        </w:rPr>
        <w:t>the legacies from past activities</w:t>
      </w:r>
      <w:r w:rsidR="00834F95">
        <w:rPr>
          <w:szCs w:val="22"/>
        </w:rPr>
        <w:t xml:space="preserve">, identifying current priority needs and </w:t>
      </w:r>
      <w:r w:rsidR="005A6C65">
        <w:rPr>
          <w:szCs w:val="22"/>
        </w:rPr>
        <w:t>providing</w:t>
      </w:r>
      <w:r w:rsidRPr="00FD5FD6">
        <w:rPr>
          <w:szCs w:val="22"/>
        </w:rPr>
        <w:t xml:space="preserve"> recommendations on the strategies and approaches that can enable and enhance safe, secure and cost</w:t>
      </w:r>
      <w:r w:rsidR="00D32A9E">
        <w:rPr>
          <w:szCs w:val="22"/>
        </w:rPr>
        <w:t>-</w:t>
      </w:r>
      <w:r w:rsidRPr="00FD5FD6">
        <w:rPr>
          <w:szCs w:val="22"/>
        </w:rPr>
        <w:t>effective implementation of national and international program</w:t>
      </w:r>
      <w:r w:rsidR="00CF136E" w:rsidRPr="00FD5FD6">
        <w:rPr>
          <w:szCs w:val="22"/>
        </w:rPr>
        <w:t>me</w:t>
      </w:r>
      <w:r w:rsidRPr="00FD5FD6">
        <w:rPr>
          <w:szCs w:val="22"/>
        </w:rPr>
        <w:t xml:space="preserve">s </w:t>
      </w:r>
      <w:r w:rsidR="00C927C9" w:rsidRPr="00FD5FD6">
        <w:rPr>
          <w:szCs w:val="22"/>
        </w:rPr>
        <w:t xml:space="preserve">during </w:t>
      </w:r>
      <w:r w:rsidRPr="00FD5FD6">
        <w:rPr>
          <w:szCs w:val="22"/>
        </w:rPr>
        <w:t xml:space="preserve">the next </w:t>
      </w:r>
      <w:r w:rsidR="00D32A9E">
        <w:rPr>
          <w:szCs w:val="22"/>
        </w:rPr>
        <w:t>one to two</w:t>
      </w:r>
      <w:r w:rsidRPr="00FD5FD6">
        <w:rPr>
          <w:szCs w:val="22"/>
        </w:rPr>
        <w:t xml:space="preserve"> decades.</w:t>
      </w:r>
    </w:p>
    <w:p w14:paraId="5E9F8F55" w14:textId="77777777" w:rsidR="002F3670" w:rsidRDefault="00612E13" w:rsidP="00CE6439">
      <w:pPr>
        <w:pStyle w:val="Heading1"/>
        <w:spacing w:line="276" w:lineRule="auto"/>
      </w:pPr>
      <w:bookmarkStart w:id="0" w:name="_Ref395692106"/>
      <w:r>
        <w:t>List of</w:t>
      </w:r>
      <w:r w:rsidR="005C376C" w:rsidRPr="00BD4A64">
        <w:t xml:space="preserve"> Topics</w:t>
      </w:r>
      <w:bookmarkEnd w:id="0"/>
    </w:p>
    <w:p w14:paraId="2A4A8D17" w14:textId="7F36BA04" w:rsidR="007D5D1E" w:rsidRPr="00C601A3" w:rsidRDefault="007D5D1E" w:rsidP="001B7884">
      <w:pPr>
        <w:pStyle w:val="BodyTextMultiline"/>
        <w:numPr>
          <w:ilvl w:val="0"/>
          <w:numId w:val="0"/>
        </w:numPr>
      </w:pPr>
      <w:r w:rsidRPr="00C601A3">
        <w:t xml:space="preserve">Technical, institutional, regulatory and financial aspects of decommissioning and environmental remediation </w:t>
      </w:r>
      <w:r w:rsidR="003B451B">
        <w:t>will</w:t>
      </w:r>
      <w:r w:rsidR="003A5F7F">
        <w:t xml:space="preserve"> be </w:t>
      </w:r>
      <w:r w:rsidR="003A5F7F" w:rsidRPr="00456E71">
        <w:t>addressed</w:t>
      </w:r>
      <w:r w:rsidR="003A5F7F">
        <w:t xml:space="preserve"> during the </w:t>
      </w:r>
      <w:r w:rsidR="00D32A9E">
        <w:t>c</w:t>
      </w:r>
      <w:r w:rsidR="003A5F7F">
        <w:t>onference sessions</w:t>
      </w:r>
      <w:r w:rsidRPr="00C601A3">
        <w:t xml:space="preserve">. </w:t>
      </w:r>
      <w:r w:rsidR="00C601A3">
        <w:t>The</w:t>
      </w:r>
      <w:r w:rsidR="003560E8">
        <w:t xml:space="preserve">se sessions will be organized according to the following major themes, </w:t>
      </w:r>
      <w:r w:rsidR="00C601A3">
        <w:t xml:space="preserve">each of which </w:t>
      </w:r>
      <w:r w:rsidR="003A5F7F">
        <w:t xml:space="preserve">will be </w:t>
      </w:r>
      <w:r w:rsidR="003A5F7F" w:rsidRPr="00456E71">
        <w:t>addressed</w:t>
      </w:r>
      <w:r w:rsidR="003A5F7F">
        <w:t xml:space="preserve"> in a dedicated session or sessions</w:t>
      </w:r>
      <w:r w:rsidRPr="00C601A3">
        <w:t>:</w:t>
      </w:r>
    </w:p>
    <w:p w14:paraId="091383B3" w14:textId="009F3A0D" w:rsidR="00C601A3" w:rsidRPr="00C601A3" w:rsidRDefault="00FD5FD6" w:rsidP="001B7884">
      <w:pPr>
        <w:pStyle w:val="BodyTextMultiline"/>
        <w:numPr>
          <w:ilvl w:val="0"/>
          <w:numId w:val="21"/>
        </w:numPr>
      </w:pPr>
      <w:r>
        <w:t>N</w:t>
      </w:r>
      <w:r w:rsidR="00C601A3" w:rsidRPr="00C601A3">
        <w:t xml:space="preserve">ational </w:t>
      </w:r>
      <w:r w:rsidR="00C601A3">
        <w:t>p</w:t>
      </w:r>
      <w:r w:rsidR="00C601A3" w:rsidRPr="00C601A3">
        <w:t xml:space="preserve">olicies and </w:t>
      </w:r>
      <w:r w:rsidR="00C601A3">
        <w:t>s</w:t>
      </w:r>
      <w:r w:rsidR="00C601A3" w:rsidRPr="00C601A3">
        <w:t xml:space="preserve">trategies to </w:t>
      </w:r>
      <w:r w:rsidR="00C601A3">
        <w:t>e</w:t>
      </w:r>
      <w:r w:rsidR="00C601A3" w:rsidRPr="00C601A3">
        <w:t xml:space="preserve">nable and </w:t>
      </w:r>
      <w:r w:rsidR="00C601A3">
        <w:t>e</w:t>
      </w:r>
      <w:r w:rsidR="00C601A3" w:rsidRPr="00C601A3">
        <w:t xml:space="preserve">nhance </w:t>
      </w:r>
      <w:r w:rsidR="00C601A3">
        <w:t>d</w:t>
      </w:r>
      <w:r w:rsidR="00C601A3" w:rsidRPr="00C601A3">
        <w:t xml:space="preserve">ecommissioning and </w:t>
      </w:r>
      <w:r w:rsidR="00C601A3">
        <w:t>e</w:t>
      </w:r>
      <w:r w:rsidR="00C601A3" w:rsidRPr="00C601A3">
        <w:t xml:space="preserve">nvironmental </w:t>
      </w:r>
      <w:r w:rsidR="00C601A3">
        <w:t>r</w:t>
      </w:r>
      <w:r w:rsidR="00C601A3" w:rsidRPr="00C601A3">
        <w:t>emediation</w:t>
      </w:r>
    </w:p>
    <w:p w14:paraId="4CB0236C" w14:textId="66EFA5D5" w:rsidR="00C601A3" w:rsidRPr="00C601A3" w:rsidRDefault="00C601A3" w:rsidP="001B7884">
      <w:pPr>
        <w:pStyle w:val="BodyTextMultiline"/>
        <w:numPr>
          <w:ilvl w:val="0"/>
          <w:numId w:val="21"/>
        </w:numPr>
      </w:pPr>
      <w:r w:rsidRPr="00C601A3">
        <w:t xml:space="preserve">Regulatory </w:t>
      </w:r>
      <w:r w:rsidR="003A5F7F">
        <w:t xml:space="preserve">framework </w:t>
      </w:r>
      <w:r w:rsidR="00FD5FD6">
        <w:t xml:space="preserve">and standards </w:t>
      </w:r>
      <w:r w:rsidR="003A5F7F">
        <w:t>for</w:t>
      </w:r>
      <w:r w:rsidRPr="00C601A3">
        <w:t xml:space="preserve"> </w:t>
      </w:r>
      <w:r w:rsidR="003A5F7F">
        <w:t>d</w:t>
      </w:r>
      <w:r w:rsidRPr="00C601A3">
        <w:t xml:space="preserve">ecommissioning and </w:t>
      </w:r>
      <w:r w:rsidR="003A5F7F">
        <w:t>e</w:t>
      </w:r>
      <w:r w:rsidRPr="00C601A3">
        <w:t xml:space="preserve">nvironmental </w:t>
      </w:r>
      <w:r w:rsidR="003A5F7F">
        <w:t>r</w:t>
      </w:r>
      <w:r w:rsidRPr="00C601A3">
        <w:t>emediation</w:t>
      </w:r>
    </w:p>
    <w:p w14:paraId="1C4BC552" w14:textId="7E77C0B8" w:rsidR="00C601A3" w:rsidRPr="00C601A3" w:rsidRDefault="00C601A3" w:rsidP="001B7884">
      <w:pPr>
        <w:pStyle w:val="BodyTextMultiline"/>
        <w:numPr>
          <w:ilvl w:val="0"/>
          <w:numId w:val="21"/>
        </w:numPr>
      </w:pPr>
      <w:r w:rsidRPr="00C601A3">
        <w:t>Decision-</w:t>
      </w:r>
      <w:r w:rsidR="003A5F7F">
        <w:t>m</w:t>
      </w:r>
      <w:r w:rsidRPr="00C601A3">
        <w:t xml:space="preserve">aking </w:t>
      </w:r>
      <w:r w:rsidR="003A5F7F">
        <w:t>p</w:t>
      </w:r>
      <w:r w:rsidRPr="00C601A3">
        <w:t xml:space="preserve">rocess: </w:t>
      </w:r>
      <w:r w:rsidR="003A5F7F">
        <w:t>s</w:t>
      </w:r>
      <w:r w:rsidRPr="00C601A3">
        <w:t>oc</w:t>
      </w:r>
      <w:r w:rsidR="00D31DFE">
        <w:t>ietal</w:t>
      </w:r>
      <w:r w:rsidRPr="00C601A3">
        <w:t xml:space="preserve"> and </w:t>
      </w:r>
      <w:r w:rsidR="003A5F7F">
        <w:t>s</w:t>
      </w:r>
      <w:r w:rsidRPr="00C601A3">
        <w:t xml:space="preserve">takeholder </w:t>
      </w:r>
      <w:r w:rsidR="003A5F7F">
        <w:t>i</w:t>
      </w:r>
      <w:r w:rsidRPr="00C601A3">
        <w:t xml:space="preserve">nvolvement during </w:t>
      </w:r>
      <w:r w:rsidR="003A5F7F">
        <w:t>the life</w:t>
      </w:r>
      <w:r w:rsidR="00D32A9E">
        <w:t xml:space="preserve"> </w:t>
      </w:r>
      <w:r w:rsidR="003A5F7F">
        <w:t>cycle of d</w:t>
      </w:r>
      <w:r w:rsidRPr="00C601A3">
        <w:t xml:space="preserve">ecommissioning and </w:t>
      </w:r>
      <w:r w:rsidR="003A5F7F">
        <w:t>e</w:t>
      </w:r>
      <w:r w:rsidRPr="00C601A3">
        <w:t xml:space="preserve">nvironmental </w:t>
      </w:r>
      <w:r w:rsidR="003A5F7F">
        <w:t>r</w:t>
      </w:r>
      <w:r w:rsidRPr="00C601A3">
        <w:t xml:space="preserve">emediation </w:t>
      </w:r>
      <w:r w:rsidR="003A5F7F">
        <w:t>projects</w:t>
      </w:r>
    </w:p>
    <w:p w14:paraId="21DDA186" w14:textId="77777777" w:rsidR="00C601A3" w:rsidRPr="00C601A3" w:rsidRDefault="00C601A3" w:rsidP="001B7884">
      <w:pPr>
        <w:pStyle w:val="BodyTextMultiline"/>
        <w:numPr>
          <w:ilvl w:val="0"/>
          <w:numId w:val="21"/>
        </w:numPr>
      </w:pPr>
      <w:r w:rsidRPr="00C601A3">
        <w:t xml:space="preserve">Technical and </w:t>
      </w:r>
      <w:r w:rsidR="003A5F7F">
        <w:t>t</w:t>
      </w:r>
      <w:r w:rsidRPr="00C601A3">
        <w:t xml:space="preserve">echnological </w:t>
      </w:r>
      <w:r w:rsidR="003A5F7F">
        <w:t>a</w:t>
      </w:r>
      <w:r w:rsidRPr="00C601A3">
        <w:t xml:space="preserve">spects of </w:t>
      </w:r>
      <w:r w:rsidR="003A5F7F">
        <w:t>d</w:t>
      </w:r>
      <w:r w:rsidRPr="00C601A3">
        <w:t xml:space="preserve">ecommissioning and </w:t>
      </w:r>
      <w:r w:rsidR="003A5F7F">
        <w:t>e</w:t>
      </w:r>
      <w:r w:rsidRPr="00C601A3">
        <w:t xml:space="preserve">nvironmental </w:t>
      </w:r>
      <w:r w:rsidR="003A5F7F">
        <w:t>r</w:t>
      </w:r>
      <w:r w:rsidRPr="00C601A3">
        <w:t>emediation</w:t>
      </w:r>
      <w:r w:rsidR="003A5F7F">
        <w:t xml:space="preserve"> (in</w:t>
      </w:r>
      <w:r w:rsidR="003560E8">
        <w:t>volving</w:t>
      </w:r>
      <w:r w:rsidR="003A5F7F">
        <w:t xml:space="preserve"> parallel sessions</w:t>
      </w:r>
      <w:r w:rsidR="003560E8">
        <w:t xml:space="preserve"> for decommissioning and environmental remediation</w:t>
      </w:r>
      <w:r w:rsidR="003A5F7F">
        <w:t>)</w:t>
      </w:r>
    </w:p>
    <w:p w14:paraId="4E8A5723" w14:textId="77777777" w:rsidR="00C601A3" w:rsidRPr="00C601A3" w:rsidRDefault="00C601A3" w:rsidP="001B7884">
      <w:pPr>
        <w:pStyle w:val="BodyTextMultiline"/>
        <w:numPr>
          <w:ilvl w:val="0"/>
          <w:numId w:val="21"/>
        </w:numPr>
      </w:pPr>
      <w:r w:rsidRPr="00C601A3">
        <w:t xml:space="preserve">Project </w:t>
      </w:r>
      <w:r w:rsidR="003A5F7F">
        <w:t>m</w:t>
      </w:r>
      <w:r w:rsidRPr="00C601A3">
        <w:t xml:space="preserve">anagement and </w:t>
      </w:r>
      <w:r w:rsidR="003A5F7F">
        <w:t>s</w:t>
      </w:r>
      <w:r w:rsidRPr="00C601A3">
        <w:t xml:space="preserve">upply </w:t>
      </w:r>
      <w:r w:rsidR="003A5F7F">
        <w:t>c</w:t>
      </w:r>
      <w:r w:rsidRPr="00C601A3">
        <w:t xml:space="preserve">hain </w:t>
      </w:r>
      <w:r w:rsidR="003A5F7F">
        <w:t>c</w:t>
      </w:r>
      <w:r w:rsidRPr="00C601A3">
        <w:t>onsiderations</w:t>
      </w:r>
    </w:p>
    <w:p w14:paraId="2C3DC22B" w14:textId="77F928F2" w:rsidR="00C601A3" w:rsidRPr="00C601A3" w:rsidRDefault="00C601A3" w:rsidP="001B7884">
      <w:pPr>
        <w:pStyle w:val="BodyTextMultiline"/>
        <w:numPr>
          <w:ilvl w:val="0"/>
          <w:numId w:val="21"/>
        </w:numPr>
      </w:pPr>
      <w:r w:rsidRPr="00C601A3">
        <w:t xml:space="preserve">Optimizing </w:t>
      </w:r>
      <w:r w:rsidR="003A5F7F">
        <w:t>w</w:t>
      </w:r>
      <w:r w:rsidRPr="00C601A3">
        <w:t xml:space="preserve">aste and </w:t>
      </w:r>
      <w:r w:rsidR="003A5F7F">
        <w:t>m</w:t>
      </w:r>
      <w:r w:rsidRPr="00C601A3">
        <w:t xml:space="preserve">aterials </w:t>
      </w:r>
      <w:r w:rsidR="003A5F7F">
        <w:t>m</w:t>
      </w:r>
      <w:r w:rsidRPr="00C601A3">
        <w:t xml:space="preserve">anagement </w:t>
      </w:r>
      <w:r w:rsidR="003A5F7F">
        <w:t>in</w:t>
      </w:r>
      <w:r w:rsidRPr="00C601A3">
        <w:t xml:space="preserve"> </w:t>
      </w:r>
      <w:r w:rsidR="003A5F7F">
        <w:t>d</w:t>
      </w:r>
      <w:r w:rsidRPr="00C601A3">
        <w:t xml:space="preserve">ecommissioning and </w:t>
      </w:r>
      <w:r w:rsidR="003A5F7F">
        <w:t>e</w:t>
      </w:r>
      <w:r w:rsidRPr="00C601A3">
        <w:t xml:space="preserve">nvironmental </w:t>
      </w:r>
      <w:r w:rsidR="003A5F7F">
        <w:t>r</w:t>
      </w:r>
      <w:r w:rsidRPr="00C601A3">
        <w:t>emediation</w:t>
      </w:r>
    </w:p>
    <w:p w14:paraId="584EA70A" w14:textId="718B2CB4" w:rsidR="007D5D1E" w:rsidRDefault="00C601A3" w:rsidP="001B7884">
      <w:pPr>
        <w:pStyle w:val="BodyTextMultiline"/>
        <w:numPr>
          <w:ilvl w:val="0"/>
          <w:numId w:val="21"/>
        </w:numPr>
      </w:pPr>
      <w:r w:rsidRPr="00C601A3">
        <w:t xml:space="preserve">International </w:t>
      </w:r>
      <w:r w:rsidR="00526EDB">
        <w:t>c</w:t>
      </w:r>
      <w:r w:rsidR="00526EDB" w:rsidRPr="00C601A3">
        <w:t>ooperation</w:t>
      </w:r>
    </w:p>
    <w:p w14:paraId="5C6B060B" w14:textId="28E2231E" w:rsidR="00C601A3" w:rsidRDefault="00C601A3" w:rsidP="001B7884">
      <w:pPr>
        <w:pStyle w:val="BodyTextMultiline"/>
        <w:numPr>
          <w:ilvl w:val="0"/>
          <w:numId w:val="0"/>
        </w:numPr>
      </w:pPr>
      <w:r>
        <w:t xml:space="preserve">In addition to the main </w:t>
      </w:r>
      <w:r w:rsidR="003A5F7F">
        <w:t xml:space="preserve">sessions, </w:t>
      </w:r>
      <w:r w:rsidR="003560E8">
        <w:t xml:space="preserve">parallel side events </w:t>
      </w:r>
      <w:r w:rsidR="00FD5FD6">
        <w:t xml:space="preserve">will </w:t>
      </w:r>
      <w:r w:rsidR="003560E8">
        <w:t xml:space="preserve">be organized on issues of special interest to one of more of the audience groups expected to attend the </w:t>
      </w:r>
      <w:r w:rsidR="00D32A9E">
        <w:t>c</w:t>
      </w:r>
      <w:r w:rsidR="003560E8">
        <w:t xml:space="preserve">onference (see Section </w:t>
      </w:r>
      <w:r w:rsidR="00D32A9E">
        <w:fldChar w:fldCharType="begin"/>
      </w:r>
      <w:r w:rsidR="00D32A9E">
        <w:instrText xml:space="preserve"> REF _Ref417287586 \r \h </w:instrText>
      </w:r>
      <w:r w:rsidR="00D32A9E">
        <w:fldChar w:fldCharType="separate"/>
      </w:r>
      <w:r w:rsidR="0065368F">
        <w:t>E</w:t>
      </w:r>
      <w:r w:rsidR="00D32A9E">
        <w:fldChar w:fldCharType="end"/>
      </w:r>
      <w:r w:rsidR="003560E8">
        <w:t xml:space="preserve">), e.g. </w:t>
      </w:r>
      <w:r w:rsidR="003560E8" w:rsidRPr="00456E71">
        <w:t xml:space="preserve">those concerned </w:t>
      </w:r>
      <w:r w:rsidR="003560E8" w:rsidRPr="00456E71">
        <w:lastRenderedPageBreak/>
        <w:t xml:space="preserve">specifically with the remediation of uranium legacy sites, other NORM sites </w:t>
      </w:r>
      <w:r w:rsidR="009771ED" w:rsidRPr="00456E71">
        <w:t>and areas affected by major nuclear or radiological accidents</w:t>
      </w:r>
      <w:r w:rsidR="003560E8" w:rsidRPr="00456E71">
        <w:t>.</w:t>
      </w:r>
    </w:p>
    <w:p w14:paraId="10D3C4EB" w14:textId="77777777" w:rsidR="00CD44A9" w:rsidRDefault="00CD44A9" w:rsidP="00CE6439">
      <w:pPr>
        <w:pStyle w:val="Heading1"/>
        <w:spacing w:line="276" w:lineRule="auto"/>
      </w:pPr>
      <w:r>
        <w:t>Programme Structure</w:t>
      </w:r>
    </w:p>
    <w:p w14:paraId="656B3F1D" w14:textId="066A0819" w:rsidR="006068B7" w:rsidRPr="00C74250" w:rsidRDefault="006068B7" w:rsidP="001B7884">
      <w:pPr>
        <w:pStyle w:val="BodyText"/>
        <w:rPr>
          <w:szCs w:val="22"/>
        </w:rPr>
      </w:pPr>
      <w:r w:rsidRPr="00E64345">
        <w:rPr>
          <w:szCs w:val="22"/>
        </w:rPr>
        <w:t xml:space="preserve">The </w:t>
      </w:r>
      <w:r w:rsidR="00D32A9E" w:rsidRPr="00C74250">
        <w:rPr>
          <w:szCs w:val="22"/>
        </w:rPr>
        <w:t>c</w:t>
      </w:r>
      <w:r w:rsidRPr="00C74250">
        <w:rPr>
          <w:szCs w:val="22"/>
        </w:rPr>
        <w:t xml:space="preserve">onference will be organized by the IAEA. It is anticipated that the conference will be </w:t>
      </w:r>
      <w:r w:rsidRPr="00437517">
        <w:rPr>
          <w:szCs w:val="22"/>
        </w:rPr>
        <w:t>co-sponsored by the European Commission and held in cooperation with the Nuclear Energy Agency of the Organisation for Economic Co</w:t>
      </w:r>
      <w:r w:rsidR="00D32A9E" w:rsidRPr="00437517">
        <w:rPr>
          <w:szCs w:val="22"/>
        </w:rPr>
        <w:t>-</w:t>
      </w:r>
      <w:r w:rsidRPr="00E64345">
        <w:rPr>
          <w:szCs w:val="22"/>
        </w:rPr>
        <w:t xml:space="preserve">operation and Development, </w:t>
      </w:r>
      <w:r w:rsidRPr="004A6B2D">
        <w:rPr>
          <w:szCs w:val="22"/>
        </w:rPr>
        <w:t>and the European Bank for Reconstruction and Development.</w:t>
      </w:r>
    </w:p>
    <w:p w14:paraId="27361495" w14:textId="2BAE406C" w:rsidR="00344471" w:rsidRPr="00760069" w:rsidRDefault="006068B7" w:rsidP="001B7884">
      <w:pPr>
        <w:pStyle w:val="BodyText"/>
        <w:rPr>
          <w:szCs w:val="22"/>
        </w:rPr>
      </w:pPr>
      <w:r w:rsidRPr="00C74250">
        <w:rPr>
          <w:szCs w:val="22"/>
        </w:rPr>
        <w:t xml:space="preserve">The </w:t>
      </w:r>
      <w:r w:rsidR="000D4CAF" w:rsidRPr="00437517">
        <w:rPr>
          <w:szCs w:val="22"/>
        </w:rPr>
        <w:t>c</w:t>
      </w:r>
      <w:r w:rsidRPr="00437517">
        <w:rPr>
          <w:szCs w:val="22"/>
        </w:rPr>
        <w:t xml:space="preserve">onference </w:t>
      </w:r>
      <w:r w:rsidR="00344471" w:rsidRPr="00437517">
        <w:rPr>
          <w:szCs w:val="22"/>
        </w:rPr>
        <w:t xml:space="preserve">will consist of an opening plenary session, topic-specific technical sessions, some of which are to be run in parallel, and a closing plenary session. Summaries of all the presentations and discussions, including lessons learned and recommendations for future activities, will be presented </w:t>
      </w:r>
      <w:r w:rsidR="005A6C65" w:rsidRPr="00437517">
        <w:rPr>
          <w:szCs w:val="22"/>
        </w:rPr>
        <w:t>by the Conference Chairperson, supported by the Session Chairs</w:t>
      </w:r>
      <w:r w:rsidR="003B451B" w:rsidRPr="00437517">
        <w:rPr>
          <w:szCs w:val="22"/>
        </w:rPr>
        <w:t xml:space="preserve">, </w:t>
      </w:r>
      <w:r w:rsidR="00344471" w:rsidRPr="00760069">
        <w:rPr>
          <w:szCs w:val="22"/>
        </w:rPr>
        <w:t>at the closing plenary session.</w:t>
      </w:r>
    </w:p>
    <w:p w14:paraId="60C06E38" w14:textId="1AB792E9" w:rsidR="007D5D1E" w:rsidRPr="00760069" w:rsidRDefault="00344471" w:rsidP="00760069">
      <w:pPr>
        <w:pStyle w:val="BodyText"/>
        <w:rPr>
          <w:szCs w:val="22"/>
        </w:rPr>
      </w:pPr>
      <w:r w:rsidRPr="00760069">
        <w:rPr>
          <w:szCs w:val="22"/>
        </w:rPr>
        <w:t xml:space="preserve">The </w:t>
      </w:r>
      <w:r w:rsidR="000D4CAF" w:rsidRPr="00760069">
        <w:rPr>
          <w:szCs w:val="22"/>
        </w:rPr>
        <w:t xml:space="preserve">conference </w:t>
      </w:r>
      <w:r w:rsidRPr="00760069">
        <w:rPr>
          <w:szCs w:val="22"/>
        </w:rPr>
        <w:t xml:space="preserve">will include keynote presentations by invited international experts, selected oral presentations, panel discussions and poster presentations dealing with the topics identified in Section </w:t>
      </w:r>
      <w:r w:rsidR="000D4CAF" w:rsidRPr="00760069">
        <w:rPr>
          <w:szCs w:val="22"/>
        </w:rPr>
        <w:fldChar w:fldCharType="begin"/>
      </w:r>
      <w:r w:rsidR="000D4CAF" w:rsidRPr="001B7884">
        <w:rPr>
          <w:szCs w:val="22"/>
        </w:rPr>
        <w:instrText xml:space="preserve"> REF _Ref395692106 \r \h </w:instrText>
      </w:r>
      <w:r w:rsidR="000D4CAF">
        <w:rPr>
          <w:szCs w:val="22"/>
        </w:rPr>
        <w:instrText xml:space="preserve"> \* MERGEFORMAT </w:instrText>
      </w:r>
      <w:r w:rsidR="000D4CAF" w:rsidRPr="00760069">
        <w:rPr>
          <w:szCs w:val="22"/>
        </w:rPr>
      </w:r>
      <w:r w:rsidR="000D4CAF" w:rsidRPr="00760069">
        <w:rPr>
          <w:szCs w:val="22"/>
        </w:rPr>
        <w:fldChar w:fldCharType="separate"/>
      </w:r>
      <w:r w:rsidR="0065368F">
        <w:rPr>
          <w:szCs w:val="22"/>
        </w:rPr>
        <w:t>C</w:t>
      </w:r>
      <w:r w:rsidR="000D4CAF" w:rsidRPr="00760069">
        <w:rPr>
          <w:szCs w:val="22"/>
        </w:rPr>
        <w:fldChar w:fldCharType="end"/>
      </w:r>
      <w:r w:rsidRPr="00E64345">
        <w:rPr>
          <w:szCs w:val="22"/>
        </w:rPr>
        <w:t xml:space="preserve"> above. The detailed programme will be made available on the </w:t>
      </w:r>
      <w:r w:rsidR="000D4CAF" w:rsidRPr="00C74250">
        <w:rPr>
          <w:szCs w:val="22"/>
        </w:rPr>
        <w:t>c</w:t>
      </w:r>
      <w:r w:rsidR="00B212A1" w:rsidRPr="00437517">
        <w:rPr>
          <w:szCs w:val="22"/>
        </w:rPr>
        <w:t>onference</w:t>
      </w:r>
      <w:r w:rsidR="006068B7" w:rsidRPr="00437517">
        <w:rPr>
          <w:szCs w:val="22"/>
        </w:rPr>
        <w:t xml:space="preserve"> web page (</w:t>
      </w:r>
      <w:r w:rsidR="000D4CAF" w:rsidRPr="00437517">
        <w:rPr>
          <w:szCs w:val="22"/>
        </w:rPr>
        <w:t xml:space="preserve">see </w:t>
      </w:r>
      <w:r w:rsidR="006068B7" w:rsidRPr="00437517">
        <w:rPr>
          <w:szCs w:val="22"/>
        </w:rPr>
        <w:t xml:space="preserve">Section </w:t>
      </w:r>
      <w:r w:rsidR="000D4CAF" w:rsidRPr="00437517">
        <w:rPr>
          <w:szCs w:val="22"/>
        </w:rPr>
        <w:fldChar w:fldCharType="begin"/>
      </w:r>
      <w:r w:rsidR="000D4CAF" w:rsidRPr="00760069">
        <w:rPr>
          <w:szCs w:val="22"/>
        </w:rPr>
        <w:instrText xml:space="preserve"> REF _Ref389037002 \r \h </w:instrText>
      </w:r>
      <w:r w:rsidR="000D4CAF">
        <w:rPr>
          <w:szCs w:val="22"/>
        </w:rPr>
        <w:instrText xml:space="preserve"> \* MERGEFORMAT </w:instrText>
      </w:r>
      <w:r w:rsidR="000D4CAF" w:rsidRPr="00437517">
        <w:rPr>
          <w:szCs w:val="22"/>
        </w:rPr>
      </w:r>
      <w:r w:rsidR="000D4CAF" w:rsidRPr="00437517">
        <w:rPr>
          <w:szCs w:val="22"/>
        </w:rPr>
        <w:fldChar w:fldCharType="separate"/>
      </w:r>
      <w:r w:rsidR="0065368F">
        <w:rPr>
          <w:szCs w:val="22"/>
        </w:rPr>
        <w:t>P</w:t>
      </w:r>
      <w:r w:rsidR="000D4CAF" w:rsidRPr="00437517">
        <w:rPr>
          <w:szCs w:val="22"/>
        </w:rPr>
        <w:fldChar w:fldCharType="end"/>
      </w:r>
      <w:r w:rsidRPr="00760069">
        <w:rPr>
          <w:szCs w:val="22"/>
        </w:rPr>
        <w:t xml:space="preserve">) in advance of the </w:t>
      </w:r>
      <w:r w:rsidR="000D4CAF" w:rsidRPr="00760069">
        <w:rPr>
          <w:szCs w:val="22"/>
        </w:rPr>
        <w:t>conference</w:t>
      </w:r>
      <w:r w:rsidRPr="00760069">
        <w:rPr>
          <w:szCs w:val="22"/>
        </w:rPr>
        <w:t>.</w:t>
      </w:r>
    </w:p>
    <w:p w14:paraId="51514F3B" w14:textId="77777777" w:rsidR="005560D6" w:rsidRPr="00322985" w:rsidRDefault="005560D6" w:rsidP="00CE6439">
      <w:pPr>
        <w:pStyle w:val="Heading1"/>
        <w:spacing w:line="276" w:lineRule="auto"/>
      </w:pPr>
      <w:bookmarkStart w:id="1" w:name="_Ref417287586"/>
      <w:r>
        <w:t>Target Audience</w:t>
      </w:r>
      <w:bookmarkEnd w:id="1"/>
    </w:p>
    <w:p w14:paraId="3759720F" w14:textId="7FD6AFBA" w:rsidR="00344471" w:rsidRPr="00760069" w:rsidRDefault="00344471" w:rsidP="001B7884">
      <w:pPr>
        <w:pStyle w:val="BodyText"/>
        <w:rPr>
          <w:szCs w:val="22"/>
        </w:rPr>
      </w:pPr>
      <w:r w:rsidRPr="00E64345">
        <w:rPr>
          <w:szCs w:val="22"/>
        </w:rPr>
        <w:t xml:space="preserve">The </w:t>
      </w:r>
      <w:r w:rsidR="00417044">
        <w:rPr>
          <w:szCs w:val="22"/>
        </w:rPr>
        <w:t>c</w:t>
      </w:r>
      <w:r w:rsidR="00B212A1" w:rsidRPr="00E64345">
        <w:rPr>
          <w:szCs w:val="22"/>
        </w:rPr>
        <w:t>onference</w:t>
      </w:r>
      <w:r w:rsidRPr="004A6B2D">
        <w:rPr>
          <w:szCs w:val="22"/>
        </w:rPr>
        <w:t xml:space="preserve"> is targeted at </w:t>
      </w:r>
      <w:r w:rsidR="00022806" w:rsidRPr="00C74250">
        <w:rPr>
          <w:szCs w:val="22"/>
        </w:rPr>
        <w:t xml:space="preserve">policy and </w:t>
      </w:r>
      <w:r w:rsidR="00F24260" w:rsidRPr="00437517">
        <w:rPr>
          <w:szCs w:val="22"/>
        </w:rPr>
        <w:t xml:space="preserve">decision makers and technical </w:t>
      </w:r>
      <w:r w:rsidRPr="00437517">
        <w:rPr>
          <w:szCs w:val="22"/>
        </w:rPr>
        <w:t xml:space="preserve">experts — in particular from </w:t>
      </w:r>
      <w:r w:rsidR="00F24260" w:rsidRPr="00437517">
        <w:rPr>
          <w:szCs w:val="22"/>
        </w:rPr>
        <w:t xml:space="preserve">national and local governments, </w:t>
      </w:r>
      <w:r w:rsidR="00834F95" w:rsidRPr="00437517">
        <w:rPr>
          <w:szCs w:val="22"/>
        </w:rPr>
        <w:t xml:space="preserve">funding organizations, </w:t>
      </w:r>
      <w:r w:rsidRPr="00437517">
        <w:rPr>
          <w:szCs w:val="22"/>
        </w:rPr>
        <w:t>regulatory authorities, public health authorities, facility operators</w:t>
      </w:r>
      <w:r w:rsidR="00F24260" w:rsidRPr="00437517">
        <w:rPr>
          <w:szCs w:val="22"/>
        </w:rPr>
        <w:t>, waste management bodies</w:t>
      </w:r>
      <w:r w:rsidRPr="00760069">
        <w:rPr>
          <w:szCs w:val="22"/>
        </w:rPr>
        <w:t xml:space="preserve"> and international organizations — concerned with planning and implementing decommissioning and remediation </w:t>
      </w:r>
      <w:r w:rsidR="003560E8" w:rsidRPr="00760069">
        <w:rPr>
          <w:szCs w:val="22"/>
        </w:rPr>
        <w:t>programmes and projects</w:t>
      </w:r>
      <w:r w:rsidRPr="00760069">
        <w:rPr>
          <w:szCs w:val="22"/>
        </w:rPr>
        <w:t>.</w:t>
      </w:r>
    </w:p>
    <w:p w14:paraId="7D798B4D" w14:textId="0C65AD8B" w:rsidR="00344471" w:rsidRPr="00C74250" w:rsidRDefault="00344471" w:rsidP="001B7884">
      <w:pPr>
        <w:pStyle w:val="BodyText"/>
        <w:rPr>
          <w:szCs w:val="22"/>
        </w:rPr>
      </w:pPr>
      <w:r w:rsidRPr="00760069">
        <w:rPr>
          <w:szCs w:val="22"/>
        </w:rPr>
        <w:t xml:space="preserve">All experts to be designated by Member States to participate in the </w:t>
      </w:r>
      <w:r w:rsidR="00417044">
        <w:rPr>
          <w:szCs w:val="22"/>
        </w:rPr>
        <w:t>conference</w:t>
      </w:r>
      <w:r w:rsidR="00417044" w:rsidRPr="00E64345">
        <w:rPr>
          <w:szCs w:val="22"/>
        </w:rPr>
        <w:t xml:space="preserve"> </w:t>
      </w:r>
      <w:r w:rsidRPr="004A6B2D">
        <w:rPr>
          <w:szCs w:val="22"/>
        </w:rPr>
        <w:t xml:space="preserve">are requested to register online in advance through the </w:t>
      </w:r>
      <w:r w:rsidR="00417044">
        <w:rPr>
          <w:szCs w:val="22"/>
        </w:rPr>
        <w:t>c</w:t>
      </w:r>
      <w:r w:rsidR="003C33B5" w:rsidRPr="00E64345">
        <w:rPr>
          <w:szCs w:val="22"/>
        </w:rPr>
        <w:t>onference</w:t>
      </w:r>
      <w:r w:rsidRPr="004A6B2D">
        <w:rPr>
          <w:szCs w:val="22"/>
        </w:rPr>
        <w:t xml:space="preserve"> web page</w:t>
      </w:r>
      <w:r w:rsidR="00417044">
        <w:rPr>
          <w:szCs w:val="22"/>
        </w:rPr>
        <w:t xml:space="preserve"> (see Section </w:t>
      </w:r>
      <w:r w:rsidR="00417044">
        <w:rPr>
          <w:szCs w:val="22"/>
        </w:rPr>
        <w:fldChar w:fldCharType="begin"/>
      </w:r>
      <w:r w:rsidR="00417044">
        <w:rPr>
          <w:szCs w:val="22"/>
        </w:rPr>
        <w:instrText xml:space="preserve"> REF _Ref389037002 \r \h </w:instrText>
      </w:r>
      <w:r w:rsidR="00417044">
        <w:rPr>
          <w:szCs w:val="22"/>
        </w:rPr>
      </w:r>
      <w:r w:rsidR="00417044">
        <w:rPr>
          <w:szCs w:val="22"/>
        </w:rPr>
        <w:fldChar w:fldCharType="separate"/>
      </w:r>
      <w:r w:rsidR="0065368F">
        <w:rPr>
          <w:szCs w:val="22"/>
        </w:rPr>
        <w:t>P</w:t>
      </w:r>
      <w:r w:rsidR="00417044">
        <w:rPr>
          <w:szCs w:val="22"/>
        </w:rPr>
        <w:fldChar w:fldCharType="end"/>
      </w:r>
      <w:r w:rsidR="00417044">
        <w:rPr>
          <w:szCs w:val="22"/>
        </w:rPr>
        <w:t>)</w:t>
      </w:r>
      <w:r w:rsidRPr="00E64345">
        <w:rPr>
          <w:szCs w:val="22"/>
        </w:rPr>
        <w:t>. In addition</w:t>
      </w:r>
      <w:r w:rsidR="00417044">
        <w:rPr>
          <w:szCs w:val="22"/>
        </w:rPr>
        <w:t>,</w:t>
      </w:r>
      <w:r w:rsidRPr="00E64345">
        <w:rPr>
          <w:szCs w:val="22"/>
        </w:rPr>
        <w:t xml:space="preserve"> they are required to send a completed Participation Form (Form A) and, if applicable, the Form for Submission of a Paper (</w:t>
      </w:r>
      <w:r w:rsidR="00417044" w:rsidRPr="00C74250">
        <w:rPr>
          <w:szCs w:val="22"/>
        </w:rPr>
        <w:t>Form</w:t>
      </w:r>
      <w:r w:rsidR="00417044">
        <w:rPr>
          <w:szCs w:val="22"/>
        </w:rPr>
        <w:t> </w:t>
      </w:r>
      <w:r w:rsidRPr="00E64345">
        <w:rPr>
          <w:szCs w:val="22"/>
        </w:rPr>
        <w:t>B) and the Grant Application Form (Form C) t</w:t>
      </w:r>
      <w:r w:rsidRPr="004A6B2D">
        <w:rPr>
          <w:szCs w:val="22"/>
        </w:rPr>
        <w:t xml:space="preserve">o the competent national authority (e.g. the Ministry of Foreign Affairs or National Atomic Energy Authority) or to one of the organizations invited to participate, for subsequent transmission to the IAEA (email: </w:t>
      </w:r>
      <w:hyperlink r:id="rId10" w:history="1">
        <w:r w:rsidR="00417044" w:rsidRPr="006A7615">
          <w:rPr>
            <w:rStyle w:val="Hyperlink"/>
            <w:szCs w:val="22"/>
          </w:rPr>
          <w:t>O</w:t>
        </w:r>
        <w:r w:rsidR="00417044" w:rsidRPr="001B7884">
          <w:rPr>
            <w:rStyle w:val="Hyperlink"/>
            <w:szCs w:val="22"/>
          </w:rPr>
          <w:t>fficial.</w:t>
        </w:r>
        <w:r w:rsidR="00417044" w:rsidRPr="006A7615">
          <w:rPr>
            <w:rStyle w:val="Hyperlink"/>
            <w:szCs w:val="22"/>
          </w:rPr>
          <w:t>M</w:t>
        </w:r>
        <w:r w:rsidR="00417044" w:rsidRPr="001B7884">
          <w:rPr>
            <w:rStyle w:val="Hyperlink"/>
            <w:szCs w:val="22"/>
          </w:rPr>
          <w:t>ail@iaea.org</w:t>
        </w:r>
      </w:hyperlink>
      <w:r w:rsidRPr="00E64345">
        <w:rPr>
          <w:szCs w:val="22"/>
        </w:rPr>
        <w:t>).</w:t>
      </w:r>
    </w:p>
    <w:p w14:paraId="3AE211B8" w14:textId="33BF6B2A" w:rsidR="00344471" w:rsidRPr="00437517" w:rsidRDefault="00344471" w:rsidP="001B7884">
      <w:pPr>
        <w:pStyle w:val="BodyText"/>
        <w:rPr>
          <w:szCs w:val="22"/>
        </w:rPr>
      </w:pPr>
      <w:r w:rsidRPr="00437517">
        <w:rPr>
          <w:szCs w:val="22"/>
        </w:rPr>
        <w:t>A participant will be accepted only if the Participation Form is transmitted through the competent national authority of a Member State of the IAEA or by an organization invited to participate.</w:t>
      </w:r>
    </w:p>
    <w:p w14:paraId="0DCE865B" w14:textId="77777777" w:rsidR="00CA5882" w:rsidRPr="00322985" w:rsidRDefault="00CD44A9" w:rsidP="00CE6439">
      <w:pPr>
        <w:pStyle w:val="Heading1"/>
        <w:spacing w:line="276" w:lineRule="auto"/>
      </w:pPr>
      <w:r>
        <w:t>Synopses</w:t>
      </w:r>
      <w:r w:rsidR="006D6DBC">
        <w:t>,</w:t>
      </w:r>
      <w:r w:rsidR="006D57B9" w:rsidRPr="00322985">
        <w:t xml:space="preserve"> </w:t>
      </w:r>
      <w:r>
        <w:t xml:space="preserve">Papers </w:t>
      </w:r>
      <w:r w:rsidR="006D6DBC">
        <w:t>and Proceedings</w:t>
      </w:r>
    </w:p>
    <w:p w14:paraId="4705019D" w14:textId="68B0E591" w:rsidR="00FC40C2" w:rsidRPr="00FC40C2" w:rsidRDefault="00FC40C2" w:rsidP="001B7884">
      <w:pPr>
        <w:overflowPunct/>
        <w:spacing w:after="170" w:line="280" w:lineRule="atLeast"/>
        <w:jc w:val="both"/>
        <w:textAlignment w:val="auto"/>
        <w:rPr>
          <w:color w:val="000000"/>
          <w:szCs w:val="22"/>
          <w:lang w:eastAsia="en-GB"/>
        </w:rPr>
      </w:pPr>
      <w:r w:rsidRPr="00FC40C2">
        <w:rPr>
          <w:color w:val="000000"/>
          <w:szCs w:val="22"/>
          <w:lang w:eastAsia="en-GB"/>
        </w:rPr>
        <w:t xml:space="preserve">Concise papers on issues falling within the topics outlined in Section </w:t>
      </w:r>
      <w:r w:rsidR="00417044">
        <w:rPr>
          <w:color w:val="000000"/>
          <w:szCs w:val="22"/>
          <w:lang w:eastAsia="en-GB"/>
        </w:rPr>
        <w:fldChar w:fldCharType="begin"/>
      </w:r>
      <w:r w:rsidR="00417044">
        <w:rPr>
          <w:color w:val="000000"/>
          <w:szCs w:val="22"/>
          <w:lang w:eastAsia="en-GB"/>
        </w:rPr>
        <w:instrText xml:space="preserve"> REF _Ref395692106 \r \h </w:instrText>
      </w:r>
      <w:r w:rsidR="00417044">
        <w:rPr>
          <w:color w:val="000000"/>
          <w:szCs w:val="22"/>
          <w:lang w:eastAsia="en-GB"/>
        </w:rPr>
      </w:r>
      <w:r w:rsidR="00417044">
        <w:rPr>
          <w:color w:val="000000"/>
          <w:szCs w:val="22"/>
          <w:lang w:eastAsia="en-GB"/>
        </w:rPr>
        <w:fldChar w:fldCharType="separate"/>
      </w:r>
      <w:r w:rsidR="0065368F">
        <w:rPr>
          <w:color w:val="000000"/>
          <w:szCs w:val="22"/>
          <w:lang w:eastAsia="en-GB"/>
        </w:rPr>
        <w:t>C</w:t>
      </w:r>
      <w:r w:rsidR="00417044">
        <w:rPr>
          <w:color w:val="000000"/>
          <w:szCs w:val="22"/>
          <w:lang w:eastAsia="en-GB"/>
        </w:rPr>
        <w:fldChar w:fldCharType="end"/>
      </w:r>
      <w:r w:rsidRPr="00FC40C2">
        <w:rPr>
          <w:color w:val="000000"/>
          <w:szCs w:val="22"/>
          <w:lang w:eastAsia="en-GB"/>
        </w:rPr>
        <w:t xml:space="preserve"> may be submitted as contributions to the </w:t>
      </w:r>
      <w:r w:rsidR="00417044">
        <w:rPr>
          <w:color w:val="000000"/>
          <w:szCs w:val="22"/>
          <w:lang w:eastAsia="en-GB"/>
        </w:rPr>
        <w:t>c</w:t>
      </w:r>
      <w:r w:rsidR="002530B0">
        <w:rPr>
          <w:color w:val="000000"/>
          <w:szCs w:val="22"/>
          <w:lang w:eastAsia="en-GB"/>
        </w:rPr>
        <w:t>onference</w:t>
      </w:r>
      <w:r w:rsidRPr="00FC40C2">
        <w:rPr>
          <w:color w:val="000000"/>
          <w:szCs w:val="22"/>
          <w:lang w:eastAsia="en-GB"/>
        </w:rPr>
        <w:t xml:space="preserve">. </w:t>
      </w:r>
      <w:r w:rsidRPr="00456E71">
        <w:rPr>
          <w:color w:val="000000"/>
          <w:szCs w:val="22"/>
          <w:lang w:eastAsia="en-GB"/>
        </w:rPr>
        <w:t xml:space="preserve">All contributed papers must present work </w:t>
      </w:r>
      <w:r w:rsidR="00C90B72">
        <w:rPr>
          <w:color w:val="000000"/>
          <w:szCs w:val="22"/>
          <w:lang w:eastAsia="en-GB"/>
        </w:rPr>
        <w:t>which has not</w:t>
      </w:r>
      <w:r w:rsidRPr="00456E71">
        <w:rPr>
          <w:color w:val="000000"/>
          <w:szCs w:val="22"/>
          <w:lang w:eastAsia="en-GB"/>
        </w:rPr>
        <w:t xml:space="preserve"> been published elsewhere</w:t>
      </w:r>
      <w:r w:rsidRPr="00FC40C2">
        <w:rPr>
          <w:color w:val="000000"/>
          <w:szCs w:val="22"/>
          <w:lang w:eastAsia="en-GB"/>
        </w:rPr>
        <w:t xml:space="preserve">. There will be sessions at the </w:t>
      </w:r>
      <w:r w:rsidR="00417044">
        <w:rPr>
          <w:color w:val="000000"/>
          <w:szCs w:val="22"/>
          <w:lang w:eastAsia="en-GB"/>
        </w:rPr>
        <w:t>c</w:t>
      </w:r>
      <w:r w:rsidR="003C33B5" w:rsidRPr="003C33B5">
        <w:rPr>
          <w:color w:val="000000"/>
          <w:szCs w:val="22"/>
          <w:lang w:eastAsia="en-GB"/>
        </w:rPr>
        <w:t>onference</w:t>
      </w:r>
      <w:r w:rsidRPr="00FC40C2">
        <w:rPr>
          <w:color w:val="000000"/>
          <w:szCs w:val="22"/>
          <w:lang w:eastAsia="en-GB"/>
        </w:rPr>
        <w:t xml:space="preserve"> for those who have contributed a paper to give an oral presentation of their work.</w:t>
      </w:r>
    </w:p>
    <w:p w14:paraId="0F9B1FB5" w14:textId="34305E3F" w:rsidR="00FC40C2" w:rsidRPr="001B7884" w:rsidRDefault="00F24260" w:rsidP="001B7884">
      <w:pPr>
        <w:pStyle w:val="Heading2"/>
      </w:pPr>
      <w:r w:rsidRPr="001B7884">
        <w:t>F.1</w:t>
      </w:r>
      <w:r w:rsidRPr="001B7884">
        <w:tab/>
      </w:r>
      <w:r w:rsidR="00FC40C2" w:rsidRPr="001B7884">
        <w:t>Submission of Extended Synopsis</w:t>
      </w:r>
    </w:p>
    <w:p w14:paraId="70A664A9" w14:textId="24FD29F5" w:rsidR="00D31DFE" w:rsidRDefault="00FC40C2" w:rsidP="001B7884">
      <w:pPr>
        <w:overflowPunct/>
        <w:spacing w:after="170" w:line="280" w:lineRule="atLeast"/>
        <w:jc w:val="both"/>
        <w:textAlignment w:val="auto"/>
        <w:rPr>
          <w:color w:val="000000"/>
          <w:szCs w:val="22"/>
          <w:lang w:eastAsia="en-GB"/>
        </w:rPr>
      </w:pPr>
      <w:r w:rsidRPr="00FC40C2">
        <w:rPr>
          <w:color w:val="000000"/>
          <w:szCs w:val="22"/>
          <w:lang w:eastAsia="en-GB"/>
        </w:rPr>
        <w:t xml:space="preserve">Experts from Member States who wish to present a paper at the </w:t>
      </w:r>
      <w:r w:rsidR="00417044">
        <w:rPr>
          <w:color w:val="000000"/>
          <w:szCs w:val="22"/>
          <w:lang w:eastAsia="en-GB"/>
        </w:rPr>
        <w:t>c</w:t>
      </w:r>
      <w:r w:rsidR="003C33B5" w:rsidRPr="003C33B5">
        <w:rPr>
          <w:color w:val="000000"/>
          <w:szCs w:val="22"/>
          <w:lang w:eastAsia="en-GB"/>
        </w:rPr>
        <w:t>onference</w:t>
      </w:r>
      <w:r w:rsidRPr="00FC40C2">
        <w:rPr>
          <w:color w:val="000000"/>
          <w:szCs w:val="22"/>
          <w:lang w:eastAsia="en-GB"/>
        </w:rPr>
        <w:t xml:space="preserve"> must submit an extended synopsis (in English) of maximum 800 words (i.e. two A4 format pages of single spaced typing, or the equivalent, including any tables or diagrams and a few pertinent references) to be </w:t>
      </w:r>
      <w:r w:rsidR="001C029D" w:rsidRPr="001C029D">
        <w:rPr>
          <w:color w:val="000000"/>
          <w:szCs w:val="22"/>
          <w:lang w:eastAsia="en-GB"/>
        </w:rPr>
        <w:t>upload</w:t>
      </w:r>
      <w:r w:rsidR="001C029D">
        <w:rPr>
          <w:color w:val="000000"/>
          <w:szCs w:val="22"/>
          <w:lang w:eastAsia="en-GB"/>
        </w:rPr>
        <w:t>ed</w:t>
      </w:r>
      <w:r w:rsidR="001C029D" w:rsidRPr="001C029D">
        <w:rPr>
          <w:color w:val="000000"/>
          <w:szCs w:val="22"/>
          <w:lang w:eastAsia="en-GB"/>
        </w:rPr>
        <w:t xml:space="preserve"> to the </w:t>
      </w:r>
      <w:r w:rsidR="00417044">
        <w:rPr>
          <w:color w:val="000000"/>
          <w:szCs w:val="22"/>
          <w:lang w:eastAsia="en-GB"/>
        </w:rPr>
        <w:t>c</w:t>
      </w:r>
      <w:r w:rsidR="001C029D" w:rsidRPr="001C029D">
        <w:rPr>
          <w:color w:val="000000"/>
          <w:szCs w:val="22"/>
          <w:lang w:eastAsia="en-GB"/>
        </w:rPr>
        <w:t>onference’s web browser-based file submission system</w:t>
      </w:r>
      <w:r w:rsidR="001C029D">
        <w:rPr>
          <w:color w:val="000000"/>
          <w:szCs w:val="22"/>
          <w:lang w:eastAsia="en-GB"/>
        </w:rPr>
        <w:t xml:space="preserve"> </w:t>
      </w:r>
      <w:r w:rsidR="009150DA">
        <w:rPr>
          <w:color w:val="000000"/>
          <w:szCs w:val="22"/>
          <w:lang w:eastAsia="en-GB"/>
        </w:rPr>
        <w:t xml:space="preserve">(IAEA-INDICO) </w:t>
      </w:r>
      <w:r w:rsidRPr="00FC40C2">
        <w:rPr>
          <w:color w:val="000000"/>
          <w:szCs w:val="22"/>
          <w:lang w:eastAsia="en-GB"/>
        </w:rPr>
        <w:t xml:space="preserve">by </w:t>
      </w:r>
      <w:r w:rsidR="001C029D">
        <w:rPr>
          <w:b/>
          <w:bCs/>
          <w:color w:val="000000"/>
          <w:szCs w:val="22"/>
          <w:lang w:eastAsia="en-GB"/>
        </w:rPr>
        <w:t>16 November 2015</w:t>
      </w:r>
      <w:r w:rsidRPr="00FC40C2">
        <w:rPr>
          <w:color w:val="000000"/>
          <w:szCs w:val="22"/>
          <w:lang w:eastAsia="en-GB"/>
        </w:rPr>
        <w:t xml:space="preserve">. </w:t>
      </w:r>
      <w:r w:rsidR="00D31DFE">
        <w:rPr>
          <w:color w:val="000000"/>
          <w:szCs w:val="22"/>
          <w:lang w:eastAsia="en-GB"/>
        </w:rPr>
        <w:t xml:space="preserve">No other submission route will be accepted. </w:t>
      </w:r>
    </w:p>
    <w:p w14:paraId="4B5F5227" w14:textId="3666C19B" w:rsidR="00FC40C2" w:rsidRPr="00FC40C2" w:rsidRDefault="00FC40C2" w:rsidP="001B7884">
      <w:pPr>
        <w:overflowPunct/>
        <w:spacing w:after="170" w:line="280" w:lineRule="atLeast"/>
        <w:jc w:val="both"/>
        <w:textAlignment w:val="auto"/>
        <w:rPr>
          <w:color w:val="000000"/>
          <w:szCs w:val="22"/>
          <w:lang w:eastAsia="en-GB"/>
        </w:rPr>
      </w:pPr>
      <w:r w:rsidRPr="00FC40C2">
        <w:rPr>
          <w:color w:val="000000"/>
          <w:szCs w:val="22"/>
          <w:lang w:eastAsia="en-GB"/>
        </w:rPr>
        <w:t>The synopsis should give enough information on the contents of the proposed paper to enable the Selection Committee to evaluate it. Introductory and general matters shou</w:t>
      </w:r>
      <w:bookmarkStart w:id="2" w:name="_GoBack"/>
      <w:bookmarkEnd w:id="2"/>
      <w:r w:rsidRPr="00FC40C2">
        <w:rPr>
          <w:color w:val="000000"/>
          <w:szCs w:val="22"/>
          <w:lang w:eastAsia="en-GB"/>
        </w:rPr>
        <w:t xml:space="preserve">ld not be included. The synopsis — if accepted — will be reproduced in the </w:t>
      </w:r>
      <w:r w:rsidR="00760069">
        <w:rPr>
          <w:i/>
          <w:iCs/>
          <w:color w:val="000000"/>
          <w:szCs w:val="22"/>
          <w:lang w:eastAsia="en-GB"/>
        </w:rPr>
        <w:t>Compilation</w:t>
      </w:r>
      <w:r w:rsidR="00760069" w:rsidRPr="001B7884">
        <w:rPr>
          <w:i/>
          <w:iCs/>
          <w:color w:val="000000"/>
          <w:szCs w:val="22"/>
          <w:lang w:eastAsia="en-GB"/>
        </w:rPr>
        <w:t xml:space="preserve"> </w:t>
      </w:r>
      <w:r w:rsidRPr="001B7884">
        <w:rPr>
          <w:i/>
          <w:iCs/>
          <w:color w:val="000000"/>
          <w:szCs w:val="22"/>
          <w:lang w:eastAsia="en-GB"/>
        </w:rPr>
        <w:t>of Extended Synopses</w:t>
      </w:r>
      <w:r w:rsidRPr="00FC40C2">
        <w:rPr>
          <w:color w:val="000000"/>
          <w:szCs w:val="22"/>
          <w:lang w:eastAsia="en-GB"/>
        </w:rPr>
        <w:t xml:space="preserve">; </w:t>
      </w:r>
      <w:r w:rsidR="005B33B6">
        <w:rPr>
          <w:color w:val="000000"/>
          <w:szCs w:val="22"/>
          <w:lang w:eastAsia="en-GB"/>
        </w:rPr>
        <w:t>specifications for the layout will be available at the conference web page.</w:t>
      </w:r>
    </w:p>
    <w:p w14:paraId="76038399" w14:textId="1650D74B" w:rsidR="00FC40C2" w:rsidRPr="00FC40C2" w:rsidRDefault="001C029D" w:rsidP="001B7884">
      <w:pPr>
        <w:overflowPunct/>
        <w:spacing w:after="170" w:line="280" w:lineRule="atLeast"/>
        <w:jc w:val="both"/>
        <w:textAlignment w:val="auto"/>
        <w:rPr>
          <w:color w:val="000000"/>
          <w:sz w:val="18"/>
          <w:szCs w:val="18"/>
          <w:lang w:eastAsia="en-GB"/>
        </w:rPr>
      </w:pPr>
      <w:r>
        <w:rPr>
          <w:color w:val="000000"/>
          <w:szCs w:val="22"/>
          <w:lang w:eastAsia="en-GB"/>
        </w:rPr>
        <w:t xml:space="preserve">Instructions on how to upload the synopsis to the </w:t>
      </w:r>
      <w:r w:rsidR="00417044">
        <w:rPr>
          <w:color w:val="000000"/>
          <w:szCs w:val="22"/>
          <w:lang w:eastAsia="en-GB"/>
        </w:rPr>
        <w:t>c</w:t>
      </w:r>
      <w:r>
        <w:rPr>
          <w:color w:val="000000"/>
          <w:szCs w:val="22"/>
          <w:lang w:eastAsia="en-GB"/>
        </w:rPr>
        <w:t xml:space="preserve">onference’s web browser-based file submission system will be available on </w:t>
      </w:r>
      <w:r w:rsidR="00FC40C2" w:rsidRPr="00FC40C2">
        <w:rPr>
          <w:color w:val="000000"/>
          <w:szCs w:val="22"/>
          <w:lang w:eastAsia="en-GB"/>
        </w:rPr>
        <w:t xml:space="preserve">the </w:t>
      </w:r>
      <w:r w:rsidR="00417044">
        <w:rPr>
          <w:color w:val="000000"/>
          <w:szCs w:val="22"/>
          <w:lang w:eastAsia="en-GB"/>
        </w:rPr>
        <w:t>c</w:t>
      </w:r>
      <w:r w:rsidR="003C33B5" w:rsidRPr="003C33B5">
        <w:rPr>
          <w:color w:val="000000"/>
          <w:szCs w:val="22"/>
          <w:lang w:eastAsia="en-GB"/>
        </w:rPr>
        <w:t xml:space="preserve">onference </w:t>
      </w:r>
      <w:r w:rsidR="00FC40C2" w:rsidRPr="00FC40C2">
        <w:rPr>
          <w:color w:val="000000"/>
          <w:szCs w:val="22"/>
          <w:lang w:eastAsia="en-GB"/>
        </w:rPr>
        <w:t>web page</w:t>
      </w:r>
      <w:r>
        <w:rPr>
          <w:color w:val="000000"/>
          <w:szCs w:val="22"/>
          <w:lang w:eastAsia="en-GB"/>
        </w:rPr>
        <w:t xml:space="preserve"> (see Section </w:t>
      </w:r>
      <w:r w:rsidR="00417044">
        <w:rPr>
          <w:color w:val="000000"/>
          <w:szCs w:val="22"/>
          <w:lang w:eastAsia="en-GB"/>
        </w:rPr>
        <w:fldChar w:fldCharType="begin"/>
      </w:r>
      <w:r w:rsidR="00417044">
        <w:rPr>
          <w:color w:val="000000"/>
          <w:szCs w:val="22"/>
          <w:lang w:eastAsia="en-GB"/>
        </w:rPr>
        <w:instrText xml:space="preserve"> REF _Ref389037002 \r \h </w:instrText>
      </w:r>
      <w:r w:rsidR="00417044">
        <w:rPr>
          <w:color w:val="000000"/>
          <w:szCs w:val="22"/>
          <w:lang w:eastAsia="en-GB"/>
        </w:rPr>
      </w:r>
      <w:r w:rsidR="00417044">
        <w:rPr>
          <w:color w:val="000000"/>
          <w:szCs w:val="22"/>
          <w:lang w:eastAsia="en-GB"/>
        </w:rPr>
        <w:fldChar w:fldCharType="separate"/>
      </w:r>
      <w:r w:rsidR="0065368F">
        <w:rPr>
          <w:color w:val="000000"/>
          <w:szCs w:val="22"/>
          <w:lang w:eastAsia="en-GB"/>
        </w:rPr>
        <w:t>P</w:t>
      </w:r>
      <w:r w:rsidR="00417044">
        <w:rPr>
          <w:color w:val="000000"/>
          <w:szCs w:val="22"/>
          <w:lang w:eastAsia="en-GB"/>
        </w:rPr>
        <w:fldChar w:fldCharType="end"/>
      </w:r>
      <w:r>
        <w:rPr>
          <w:color w:val="000000"/>
          <w:szCs w:val="22"/>
          <w:lang w:eastAsia="en-GB"/>
        </w:rPr>
        <w:t xml:space="preserve">) </w:t>
      </w:r>
      <w:r w:rsidR="00D31DFE">
        <w:rPr>
          <w:color w:val="000000"/>
          <w:szCs w:val="22"/>
          <w:lang w:eastAsia="en-GB"/>
        </w:rPr>
        <w:t xml:space="preserve">in </w:t>
      </w:r>
      <w:r w:rsidR="00D31DFE" w:rsidRPr="00D31DFE">
        <w:rPr>
          <w:b/>
          <w:color w:val="000000"/>
          <w:szCs w:val="22"/>
          <w:lang w:eastAsia="en-GB"/>
        </w:rPr>
        <w:t>July</w:t>
      </w:r>
      <w:r w:rsidRPr="001C029D">
        <w:rPr>
          <w:b/>
          <w:color w:val="000000"/>
          <w:szCs w:val="22"/>
          <w:lang w:eastAsia="en-GB"/>
        </w:rPr>
        <w:t xml:space="preserve"> 2015</w:t>
      </w:r>
      <w:r w:rsidR="00FC40C2" w:rsidRPr="00FC40C2">
        <w:rPr>
          <w:color w:val="000000"/>
          <w:szCs w:val="22"/>
          <w:lang w:eastAsia="en-GB"/>
        </w:rPr>
        <w:t>.</w:t>
      </w:r>
    </w:p>
    <w:p w14:paraId="4880348B" w14:textId="38A19484" w:rsidR="00FC40C2" w:rsidRPr="001B7884" w:rsidRDefault="001C029D" w:rsidP="001B7884">
      <w:pPr>
        <w:pStyle w:val="Heading2"/>
      </w:pPr>
      <w:r w:rsidRPr="001B7884">
        <w:t>F.2</w:t>
      </w:r>
      <w:r w:rsidRPr="001B7884">
        <w:tab/>
      </w:r>
      <w:r w:rsidR="00FC40C2" w:rsidRPr="001B7884">
        <w:t>Acceptance of Papers</w:t>
      </w:r>
    </w:p>
    <w:p w14:paraId="56CEEC8C" w14:textId="29CB50BD" w:rsidR="00FC40C2" w:rsidRPr="00FC40C2" w:rsidRDefault="00FC40C2" w:rsidP="001B7884">
      <w:pPr>
        <w:overflowPunct/>
        <w:spacing w:after="170" w:line="280" w:lineRule="atLeast"/>
        <w:jc w:val="both"/>
        <w:textAlignment w:val="auto"/>
        <w:rPr>
          <w:szCs w:val="22"/>
          <w:lang w:eastAsia="en-GB"/>
        </w:rPr>
      </w:pPr>
      <w:r w:rsidRPr="00FC40C2">
        <w:rPr>
          <w:szCs w:val="22"/>
          <w:lang w:eastAsia="en-GB"/>
        </w:rPr>
        <w:t>An extended synopsis will be considered only if the Participation Form (Form A) and Form for Submission of a Paper (Form B) have been received by the deadline and through the appropriate official channels.</w:t>
      </w:r>
    </w:p>
    <w:p w14:paraId="00D5C414" w14:textId="77E532C1" w:rsidR="00FC40C2" w:rsidRPr="00FC40C2" w:rsidRDefault="00FC40C2" w:rsidP="001B7884">
      <w:pPr>
        <w:overflowPunct/>
        <w:spacing w:after="170" w:line="280" w:lineRule="atLeast"/>
        <w:jc w:val="both"/>
        <w:textAlignment w:val="auto"/>
        <w:rPr>
          <w:szCs w:val="22"/>
          <w:lang w:eastAsia="en-GB"/>
        </w:rPr>
      </w:pPr>
      <w:r w:rsidRPr="00FC40C2">
        <w:rPr>
          <w:szCs w:val="22"/>
          <w:lang w:eastAsia="en-GB"/>
        </w:rPr>
        <w:t xml:space="preserve">Authors will be informed by </w:t>
      </w:r>
      <w:r w:rsidR="001762D5">
        <w:rPr>
          <w:b/>
          <w:bCs/>
          <w:szCs w:val="22"/>
          <w:lang w:eastAsia="en-GB"/>
        </w:rPr>
        <w:t>31</w:t>
      </w:r>
      <w:r w:rsidR="00834F95">
        <w:rPr>
          <w:b/>
          <w:bCs/>
          <w:szCs w:val="22"/>
          <w:lang w:eastAsia="en-GB"/>
        </w:rPr>
        <w:t xml:space="preserve"> </w:t>
      </w:r>
      <w:r w:rsidR="001C029D">
        <w:rPr>
          <w:b/>
          <w:bCs/>
          <w:szCs w:val="22"/>
          <w:lang w:eastAsia="en-GB"/>
        </w:rPr>
        <w:t>December 2015</w:t>
      </w:r>
      <w:r w:rsidRPr="001B7884">
        <w:rPr>
          <w:szCs w:val="22"/>
          <w:lang w:eastAsia="en-GB"/>
        </w:rPr>
        <w:t xml:space="preserve"> </w:t>
      </w:r>
      <w:r w:rsidR="00417044" w:rsidRPr="001B7884">
        <w:rPr>
          <w:szCs w:val="22"/>
          <w:lang w:eastAsia="en-GB"/>
        </w:rPr>
        <w:t xml:space="preserve">as to </w:t>
      </w:r>
      <w:r w:rsidRPr="00FC40C2">
        <w:rPr>
          <w:szCs w:val="22"/>
          <w:lang w:eastAsia="en-GB"/>
        </w:rPr>
        <w:t xml:space="preserve">whether their papers have been accepted by the Selection Committee </w:t>
      </w:r>
      <w:r w:rsidR="001C029D">
        <w:rPr>
          <w:szCs w:val="22"/>
          <w:lang w:eastAsia="en-GB"/>
        </w:rPr>
        <w:t>for oral or poster presentation</w:t>
      </w:r>
      <w:r w:rsidRPr="00FC40C2">
        <w:rPr>
          <w:szCs w:val="22"/>
          <w:lang w:eastAsia="en-GB"/>
        </w:rPr>
        <w:t>. Guidelines for the preparation of contributed papers will be provided at that time.</w:t>
      </w:r>
    </w:p>
    <w:p w14:paraId="7783B356" w14:textId="3024D53B" w:rsidR="00FC40C2" w:rsidRPr="00FC40C2" w:rsidRDefault="00FC40C2" w:rsidP="001B7884">
      <w:pPr>
        <w:overflowPunct/>
        <w:spacing w:after="170" w:line="280" w:lineRule="atLeast"/>
        <w:jc w:val="both"/>
        <w:textAlignment w:val="auto"/>
        <w:rPr>
          <w:szCs w:val="22"/>
          <w:lang w:eastAsia="en-GB"/>
        </w:rPr>
      </w:pPr>
      <w:r w:rsidRPr="00FC40C2">
        <w:rPr>
          <w:szCs w:val="22"/>
          <w:lang w:eastAsia="en-GB"/>
        </w:rPr>
        <w:t xml:space="preserve">Given the need to provide ample time for discussion, the number of contributed papers that can be accepted is limited. If the number of relevant and high quality papers submitted for selection exceeds the acceptable number, some of them may be selected for poster presentation. The </w:t>
      </w:r>
      <w:r w:rsidR="003C33B5">
        <w:rPr>
          <w:szCs w:val="22"/>
          <w:lang w:eastAsia="en-GB"/>
        </w:rPr>
        <w:t>Conference</w:t>
      </w:r>
      <w:r w:rsidRPr="00FC40C2">
        <w:rPr>
          <w:szCs w:val="22"/>
          <w:lang w:eastAsia="en-GB"/>
        </w:rPr>
        <w:t xml:space="preserve"> Secretariat reserves the right to exclude papers that do not comply with the IAEA’s quality standards and/or do not apply to one of the topics listed in Section </w:t>
      </w:r>
      <w:r w:rsidR="00417044">
        <w:rPr>
          <w:szCs w:val="22"/>
          <w:lang w:eastAsia="en-GB"/>
        </w:rPr>
        <w:fldChar w:fldCharType="begin"/>
      </w:r>
      <w:r w:rsidR="00417044">
        <w:rPr>
          <w:szCs w:val="22"/>
          <w:lang w:eastAsia="en-GB"/>
        </w:rPr>
        <w:instrText xml:space="preserve"> REF _Ref395692106 \r \h </w:instrText>
      </w:r>
      <w:r w:rsidR="00417044">
        <w:rPr>
          <w:szCs w:val="22"/>
          <w:lang w:eastAsia="en-GB"/>
        </w:rPr>
      </w:r>
      <w:r w:rsidR="00417044">
        <w:rPr>
          <w:szCs w:val="22"/>
          <w:lang w:eastAsia="en-GB"/>
        </w:rPr>
        <w:fldChar w:fldCharType="separate"/>
      </w:r>
      <w:r w:rsidR="0065368F">
        <w:rPr>
          <w:szCs w:val="22"/>
          <w:lang w:eastAsia="en-GB"/>
        </w:rPr>
        <w:t>C</w:t>
      </w:r>
      <w:r w:rsidR="00417044">
        <w:rPr>
          <w:szCs w:val="22"/>
          <w:lang w:eastAsia="en-GB"/>
        </w:rPr>
        <w:fldChar w:fldCharType="end"/>
      </w:r>
      <w:r w:rsidRPr="00FC40C2">
        <w:rPr>
          <w:szCs w:val="22"/>
          <w:lang w:eastAsia="en-GB"/>
        </w:rPr>
        <w:t>.</w:t>
      </w:r>
    </w:p>
    <w:p w14:paraId="1283D415" w14:textId="77777777" w:rsidR="00CD44A9" w:rsidRPr="001C029D" w:rsidRDefault="001C029D" w:rsidP="001B7884">
      <w:pPr>
        <w:pStyle w:val="Heading2"/>
      </w:pPr>
      <w:r w:rsidRPr="001C029D">
        <w:t>F.3</w:t>
      </w:r>
      <w:r w:rsidR="00CD44A9" w:rsidRPr="001C029D">
        <w:tab/>
      </w:r>
      <w:r w:rsidR="003C33B5" w:rsidRPr="001C029D">
        <w:t>Conference</w:t>
      </w:r>
      <w:r w:rsidR="00CD44A9" w:rsidRPr="001C029D">
        <w:t xml:space="preserve"> Proceedings</w:t>
      </w:r>
    </w:p>
    <w:p w14:paraId="291E560B" w14:textId="7DBA3DCA" w:rsidR="00C90B72" w:rsidRDefault="00CD44A9" w:rsidP="001B7884">
      <w:pPr>
        <w:pStyle w:val="BodyText"/>
      </w:pPr>
      <w:r w:rsidRPr="00CB7952">
        <w:t xml:space="preserve">The proceedings of the </w:t>
      </w:r>
      <w:r w:rsidR="00417044">
        <w:t>c</w:t>
      </w:r>
      <w:r w:rsidR="003C33B5">
        <w:t>onference</w:t>
      </w:r>
      <w:r w:rsidRPr="00CB7952">
        <w:t xml:space="preserve"> will be published by the IAEA and made available on its website as soon as possible after the </w:t>
      </w:r>
      <w:r w:rsidR="00417044">
        <w:t>c</w:t>
      </w:r>
      <w:r w:rsidR="003C33B5">
        <w:t>onference</w:t>
      </w:r>
      <w:r w:rsidRPr="00CB7952">
        <w:t>.</w:t>
      </w:r>
    </w:p>
    <w:p w14:paraId="666BDFA6" w14:textId="6CE16F68" w:rsidR="00CD44A9" w:rsidRPr="00CB7952" w:rsidRDefault="00C90B72" w:rsidP="001B7884">
      <w:pPr>
        <w:pStyle w:val="BodyText"/>
      </w:pPr>
      <w:r>
        <w:t xml:space="preserve">It is anticipated in addition that a special issue of the </w:t>
      </w:r>
      <w:r w:rsidRPr="001B7884">
        <w:rPr>
          <w:i/>
          <w:iCs/>
        </w:rPr>
        <w:t>Journal of Environmental Radioactivity</w:t>
      </w:r>
      <w:r>
        <w:t xml:space="preserve"> will be published </w:t>
      </w:r>
      <w:r w:rsidR="005A6C65">
        <w:t xml:space="preserve">based on important contributions </w:t>
      </w:r>
      <w:r>
        <w:t xml:space="preserve">at the </w:t>
      </w:r>
      <w:r w:rsidR="00417044">
        <w:t>c</w:t>
      </w:r>
      <w:r>
        <w:t>onference sessions.</w:t>
      </w:r>
    </w:p>
    <w:p w14:paraId="536FE215" w14:textId="77777777" w:rsidR="00750DF0" w:rsidRPr="00A22550" w:rsidRDefault="006D57B9" w:rsidP="00CE6439">
      <w:pPr>
        <w:pStyle w:val="Heading1"/>
        <w:spacing w:line="276" w:lineRule="auto"/>
      </w:pPr>
      <w:bookmarkStart w:id="3" w:name="_Ref395692364"/>
      <w:r w:rsidRPr="00A22550">
        <w:t>Participation</w:t>
      </w:r>
      <w:r w:rsidR="00A22550" w:rsidRPr="00A22550">
        <w:t xml:space="preserve"> and Registration</w:t>
      </w:r>
      <w:bookmarkEnd w:id="3"/>
    </w:p>
    <w:p w14:paraId="0641265C" w14:textId="16EAAE0C" w:rsidR="006D57B9" w:rsidRDefault="006D57B9" w:rsidP="001B7884">
      <w:pPr>
        <w:pStyle w:val="BodyText"/>
      </w:pPr>
      <w:r w:rsidRPr="00A22550">
        <w:t xml:space="preserve">All persons wishing to participate in the </w:t>
      </w:r>
      <w:r w:rsidR="00FC2FB2">
        <w:t>c</w:t>
      </w:r>
      <w:r w:rsidR="003C33B5">
        <w:t>onference</w:t>
      </w:r>
      <w:r w:rsidRPr="00A22550">
        <w:t xml:space="preserve"> are requested to </w:t>
      </w:r>
      <w:r w:rsidRPr="00A22550">
        <w:rPr>
          <w:b/>
          <w:bCs/>
        </w:rPr>
        <w:t xml:space="preserve">register online in advance </w:t>
      </w:r>
      <w:r w:rsidRPr="00A22550">
        <w:rPr>
          <w:bCs/>
        </w:rPr>
        <w:t xml:space="preserve">through the </w:t>
      </w:r>
      <w:r w:rsidR="00FC2FB2">
        <w:rPr>
          <w:bCs/>
        </w:rPr>
        <w:t>c</w:t>
      </w:r>
      <w:r w:rsidR="003C33B5">
        <w:rPr>
          <w:bCs/>
        </w:rPr>
        <w:t>onference</w:t>
      </w:r>
      <w:r w:rsidRPr="00A22550">
        <w:rPr>
          <w:bCs/>
        </w:rPr>
        <w:t xml:space="preserve"> web page</w:t>
      </w:r>
      <w:r w:rsidR="001B708A">
        <w:rPr>
          <w:bCs/>
        </w:rPr>
        <w:t xml:space="preserve"> (see Section </w:t>
      </w:r>
      <w:r w:rsidR="00FC2FB2">
        <w:rPr>
          <w:bCs/>
        </w:rPr>
        <w:fldChar w:fldCharType="begin"/>
      </w:r>
      <w:r w:rsidR="00FC2FB2">
        <w:rPr>
          <w:bCs/>
        </w:rPr>
        <w:instrText xml:space="preserve"> REF _Ref389037002 \r \h </w:instrText>
      </w:r>
      <w:r w:rsidR="00FC2FB2">
        <w:rPr>
          <w:bCs/>
        </w:rPr>
      </w:r>
      <w:r w:rsidR="00FC2FB2">
        <w:rPr>
          <w:bCs/>
        </w:rPr>
        <w:fldChar w:fldCharType="separate"/>
      </w:r>
      <w:r w:rsidR="0065368F">
        <w:rPr>
          <w:bCs/>
        </w:rPr>
        <w:t>P</w:t>
      </w:r>
      <w:r w:rsidR="00FC2FB2">
        <w:rPr>
          <w:bCs/>
        </w:rPr>
        <w:fldChar w:fldCharType="end"/>
      </w:r>
      <w:r w:rsidR="001B708A">
        <w:rPr>
          <w:bCs/>
        </w:rPr>
        <w:t xml:space="preserve"> below)</w:t>
      </w:r>
      <w:r w:rsidRPr="00A22550">
        <w:t xml:space="preserve">. In addition, they </w:t>
      </w:r>
      <w:r w:rsidR="00A22550" w:rsidRPr="00A22550">
        <w:t>are required to</w:t>
      </w:r>
      <w:r w:rsidRPr="00A22550">
        <w:t xml:space="preserve"> send a completed Participation Form (Form A) and, if applicable, the Form for Submission of a Paper (Form B) and the Grant Application Form (Form C) to their competent national authority (e.g. Ministry of Foreign Affairs or National Atomic Energy Authority), or to one of the organizations invited to participate, for subsequent electronic transmission to the IAEA (</w:t>
      </w:r>
      <w:hyperlink r:id="rId11" w:history="1">
        <w:r w:rsidR="001B708A">
          <w:rPr>
            <w:rStyle w:val="Hyperlink"/>
          </w:rPr>
          <w:t>Official.Mail@iaea.org</w:t>
        </w:r>
      </w:hyperlink>
      <w:r w:rsidRPr="00A22550">
        <w:t>).</w:t>
      </w:r>
    </w:p>
    <w:p w14:paraId="0C694C06" w14:textId="77777777" w:rsidR="006D57B9" w:rsidRPr="00A22550" w:rsidRDefault="006D57B9" w:rsidP="001B7884">
      <w:pPr>
        <w:pStyle w:val="BodyText"/>
      </w:pPr>
      <w:r w:rsidRPr="00A22550">
        <w:t>A participant will be accepted only if the Participation Form is transmitted through the competent national authority of a Member State of the IAEA or by an organization invited to participate.</w:t>
      </w:r>
    </w:p>
    <w:p w14:paraId="3E964949" w14:textId="2CA13AC6" w:rsidR="005B6E72" w:rsidRPr="00A22550" w:rsidRDefault="006D57B9" w:rsidP="001B7884">
      <w:pPr>
        <w:pStyle w:val="BodyText"/>
        <w:widowControl w:val="0"/>
        <w:overflowPunct w:val="0"/>
        <w:autoSpaceDE w:val="0"/>
        <w:autoSpaceDN w:val="0"/>
        <w:adjustRightInd w:val="0"/>
        <w:textAlignment w:val="baseline"/>
      </w:pPr>
      <w:r w:rsidRPr="00A22550">
        <w:t xml:space="preserve">Participants whose official designations have been received by the IAEA will receive from the IAEA further information approximately three months before the opening of the </w:t>
      </w:r>
      <w:r w:rsidR="00FC2FB2">
        <w:t>c</w:t>
      </w:r>
      <w:r w:rsidR="002530B0">
        <w:t>onference</w:t>
      </w:r>
      <w:r w:rsidRPr="00A22550">
        <w:t xml:space="preserve">. This information will also be posted on the </w:t>
      </w:r>
      <w:r w:rsidR="00FC2FB2">
        <w:t>c</w:t>
      </w:r>
      <w:r w:rsidR="002530B0">
        <w:t>onference</w:t>
      </w:r>
      <w:r w:rsidRPr="00A22550">
        <w:t xml:space="preserve"> web page.</w:t>
      </w:r>
    </w:p>
    <w:p w14:paraId="26865DD2" w14:textId="77777777" w:rsidR="00750DF0" w:rsidRPr="00893D40" w:rsidRDefault="006D57B9" w:rsidP="00CE6439">
      <w:pPr>
        <w:pStyle w:val="Heading1"/>
        <w:spacing w:line="276" w:lineRule="auto"/>
      </w:pPr>
      <w:r w:rsidRPr="00893D40">
        <w:t>Expenditures</w:t>
      </w:r>
      <w:r w:rsidR="00A22550" w:rsidRPr="00893D40">
        <w:t xml:space="preserve"> and Grants</w:t>
      </w:r>
    </w:p>
    <w:p w14:paraId="0BCA1523" w14:textId="77777777" w:rsidR="006D57B9" w:rsidRPr="00893D40" w:rsidRDefault="006D57B9" w:rsidP="001B7884">
      <w:pPr>
        <w:pStyle w:val="BodyText"/>
      </w:pPr>
      <w:r w:rsidRPr="00893D40">
        <w:t>No registration fee is charged to participants.</w:t>
      </w:r>
    </w:p>
    <w:p w14:paraId="62999D01" w14:textId="1E4DDA13" w:rsidR="006D57B9" w:rsidRPr="00893D40" w:rsidRDefault="006D57B9" w:rsidP="001B7884">
      <w:pPr>
        <w:pStyle w:val="BodyText"/>
        <w:rPr>
          <w:szCs w:val="22"/>
        </w:rPr>
      </w:pPr>
      <w:r w:rsidRPr="00893D40">
        <w:rPr>
          <w:szCs w:val="22"/>
        </w:rPr>
        <w:t xml:space="preserve">The IAEA is generally not in a position to bear the travel and other costs of participants in the </w:t>
      </w:r>
      <w:r w:rsidR="00FC2FB2">
        <w:rPr>
          <w:szCs w:val="22"/>
        </w:rPr>
        <w:t>c</w:t>
      </w:r>
      <w:r w:rsidR="002530B0">
        <w:rPr>
          <w:szCs w:val="22"/>
        </w:rPr>
        <w:t>onference</w:t>
      </w:r>
      <w:r w:rsidRPr="00893D40">
        <w:rPr>
          <w:szCs w:val="22"/>
        </w:rPr>
        <w:t xml:space="preserve">. The IAEA has, however, limited funds at its disposal to help </w:t>
      </w:r>
      <w:r w:rsidR="006B34CB" w:rsidRPr="00893D40">
        <w:rPr>
          <w:szCs w:val="22"/>
        </w:rPr>
        <w:t xml:space="preserve">meet </w:t>
      </w:r>
      <w:r w:rsidRPr="00893D40">
        <w:rPr>
          <w:szCs w:val="22"/>
        </w:rPr>
        <w:t xml:space="preserve">the cost of attendance of </w:t>
      </w:r>
      <w:r w:rsidR="006B34CB" w:rsidRPr="00893D40">
        <w:rPr>
          <w:szCs w:val="22"/>
        </w:rPr>
        <w:t xml:space="preserve">certain </w:t>
      </w:r>
      <w:r w:rsidRPr="00893D40">
        <w:rPr>
          <w:szCs w:val="22"/>
        </w:rPr>
        <w:t>participants</w:t>
      </w:r>
      <w:r w:rsidR="001911BE">
        <w:rPr>
          <w:szCs w:val="22"/>
        </w:rPr>
        <w:t>, usually from Member States with low economic resources</w:t>
      </w:r>
      <w:r w:rsidRPr="00893D40">
        <w:rPr>
          <w:szCs w:val="22"/>
        </w:rPr>
        <w:t xml:space="preserve">. Such assistance may be offered upon specific request to normally one participant per country provided that, in the IAEA’s view, the participant on whose behalf assistance is requested will make an important contribution to the </w:t>
      </w:r>
      <w:r w:rsidR="00FC2FB2">
        <w:rPr>
          <w:szCs w:val="22"/>
        </w:rPr>
        <w:t>c</w:t>
      </w:r>
      <w:r w:rsidR="003C33B5">
        <w:rPr>
          <w:szCs w:val="22"/>
        </w:rPr>
        <w:t>onference</w:t>
      </w:r>
      <w:r w:rsidRPr="00893D40">
        <w:rPr>
          <w:szCs w:val="22"/>
        </w:rPr>
        <w:t>.</w:t>
      </w:r>
    </w:p>
    <w:p w14:paraId="3A291F88" w14:textId="77777777" w:rsidR="006D57B9" w:rsidRPr="00893D40" w:rsidRDefault="006D57B9" w:rsidP="001B7884">
      <w:pPr>
        <w:pStyle w:val="BodyText"/>
        <w:rPr>
          <w:szCs w:val="22"/>
        </w:rPr>
      </w:pPr>
      <w:r w:rsidRPr="00893D40">
        <w:rPr>
          <w:szCs w:val="22"/>
        </w:rPr>
        <w:t xml:space="preserve">If </w:t>
      </w:r>
      <w:r w:rsidR="006B34CB" w:rsidRPr="00893D40">
        <w:rPr>
          <w:szCs w:val="22"/>
        </w:rPr>
        <w:t>G</w:t>
      </w:r>
      <w:r w:rsidRPr="00893D40">
        <w:rPr>
          <w:szCs w:val="22"/>
        </w:rPr>
        <w:t>overnments wish to apply for a grant on behalf of one of their specialists, they should address specific requests to the IAEA to this effect. Governments should ensure that applications for grants are:</w:t>
      </w:r>
    </w:p>
    <w:p w14:paraId="56AB7B06" w14:textId="77777777" w:rsidR="006D57B9" w:rsidRPr="00EF178E" w:rsidRDefault="006D57B9" w:rsidP="001B7884">
      <w:pPr>
        <w:pStyle w:val="BodyText"/>
        <w:ind w:left="567"/>
        <w:rPr>
          <w:szCs w:val="22"/>
        </w:rPr>
      </w:pPr>
      <w:r w:rsidRPr="00EF178E">
        <w:rPr>
          <w:szCs w:val="22"/>
        </w:rPr>
        <w:t>1.</w:t>
      </w:r>
      <w:r w:rsidRPr="00EF178E">
        <w:rPr>
          <w:szCs w:val="22"/>
        </w:rPr>
        <w:tab/>
        <w:t>Submitted by</w:t>
      </w:r>
      <w:r w:rsidRPr="00EF178E">
        <w:rPr>
          <w:b/>
          <w:szCs w:val="22"/>
        </w:rPr>
        <w:t xml:space="preserve"> </w:t>
      </w:r>
      <w:r w:rsidR="00063CA6">
        <w:rPr>
          <w:b/>
          <w:szCs w:val="22"/>
        </w:rPr>
        <w:t>16 November 2015</w:t>
      </w:r>
      <w:r w:rsidRPr="00EF178E">
        <w:rPr>
          <w:szCs w:val="22"/>
        </w:rPr>
        <w:t>;</w:t>
      </w:r>
    </w:p>
    <w:p w14:paraId="0B9B6E20" w14:textId="77777777" w:rsidR="006D57B9" w:rsidRPr="00893D40" w:rsidRDefault="006D57B9" w:rsidP="001B7884">
      <w:pPr>
        <w:pStyle w:val="BodyText"/>
        <w:ind w:left="567"/>
        <w:rPr>
          <w:szCs w:val="22"/>
        </w:rPr>
      </w:pPr>
      <w:r w:rsidRPr="00893D40">
        <w:rPr>
          <w:szCs w:val="22"/>
        </w:rPr>
        <w:t>2.</w:t>
      </w:r>
      <w:r w:rsidRPr="00893D40">
        <w:rPr>
          <w:szCs w:val="22"/>
        </w:rPr>
        <w:tab/>
        <w:t>Accompanied by a completed and signed Grant Application Form (Form C); and</w:t>
      </w:r>
    </w:p>
    <w:p w14:paraId="64DC660A" w14:textId="77777777" w:rsidR="006D57B9" w:rsidRPr="00893D40" w:rsidRDefault="006D57B9" w:rsidP="001B7884">
      <w:pPr>
        <w:pStyle w:val="BodyText"/>
        <w:ind w:left="567"/>
        <w:rPr>
          <w:szCs w:val="22"/>
        </w:rPr>
      </w:pPr>
      <w:r w:rsidRPr="00893D40">
        <w:rPr>
          <w:szCs w:val="22"/>
        </w:rPr>
        <w:t>3.</w:t>
      </w:r>
      <w:r w:rsidRPr="00893D40">
        <w:rPr>
          <w:szCs w:val="22"/>
        </w:rPr>
        <w:tab/>
        <w:t>Accompanied by a completed Participation Form (Form A).</w:t>
      </w:r>
    </w:p>
    <w:p w14:paraId="7643721C" w14:textId="77777777" w:rsidR="006D57B9" w:rsidRPr="00893D40" w:rsidRDefault="006D57B9" w:rsidP="001B7884">
      <w:pPr>
        <w:pStyle w:val="BodyText"/>
      </w:pPr>
      <w:r w:rsidRPr="00893D40">
        <w:t>Applications that do not comply with the above conditions cannot be considered.</w:t>
      </w:r>
    </w:p>
    <w:p w14:paraId="147D8C45" w14:textId="77777777" w:rsidR="00BF68CA" w:rsidRPr="00893D40" w:rsidRDefault="006D57B9" w:rsidP="001B7884">
      <w:pPr>
        <w:pStyle w:val="BodyText"/>
      </w:pPr>
      <w:r w:rsidRPr="00893D40">
        <w:t xml:space="preserve">Approved grants will be issued in the form of a lump sum payment that usually </w:t>
      </w:r>
      <w:r w:rsidRPr="00893D40">
        <w:rPr>
          <w:b/>
        </w:rPr>
        <w:t>covers only part of the cost of attendance</w:t>
      </w:r>
      <w:r w:rsidRPr="00893D40">
        <w:t>.</w:t>
      </w:r>
    </w:p>
    <w:p w14:paraId="2F7ADC5A" w14:textId="77777777" w:rsidR="00750DF0" w:rsidRPr="00893D40" w:rsidRDefault="006D57B9" w:rsidP="00CE6439">
      <w:pPr>
        <w:pStyle w:val="Heading1"/>
        <w:spacing w:line="276" w:lineRule="auto"/>
      </w:pPr>
      <w:r w:rsidRPr="00893D40">
        <w:t>Distribution of Documents</w:t>
      </w:r>
    </w:p>
    <w:p w14:paraId="176445C2" w14:textId="10B2A334" w:rsidR="003332DA" w:rsidRPr="00893D40" w:rsidRDefault="006D57B9" w:rsidP="001B7884">
      <w:pPr>
        <w:pStyle w:val="BodyText"/>
        <w:spacing w:after="240"/>
        <w:rPr>
          <w:szCs w:val="22"/>
        </w:rPr>
      </w:pPr>
      <w:r w:rsidRPr="00893D40">
        <w:t xml:space="preserve">A preliminary programme will be posted on the IAEA </w:t>
      </w:r>
      <w:r w:rsidR="00FC2FB2">
        <w:t>c</w:t>
      </w:r>
      <w:r w:rsidR="003C33B5">
        <w:t>onferenc</w:t>
      </w:r>
      <w:r w:rsidRPr="00893D40">
        <w:t xml:space="preserve">e web page as soon as possible. The final programme and the </w:t>
      </w:r>
      <w:r w:rsidRPr="00790B2D">
        <w:t>electronic</w:t>
      </w:r>
      <w:r w:rsidR="005B6836" w:rsidRPr="00790B2D">
        <w:t xml:space="preserve"> </w:t>
      </w:r>
      <w:r w:rsidR="005B6836" w:rsidRPr="001B7884">
        <w:rPr>
          <w:i/>
          <w:iCs/>
        </w:rPr>
        <w:t>Compilation</w:t>
      </w:r>
      <w:r w:rsidRPr="001B7884">
        <w:rPr>
          <w:i/>
          <w:iCs/>
        </w:rPr>
        <w:t xml:space="preserve"> of </w:t>
      </w:r>
      <w:r w:rsidR="00760069">
        <w:rPr>
          <w:i/>
          <w:iCs/>
        </w:rPr>
        <w:t>Extended Synopses</w:t>
      </w:r>
      <w:r w:rsidR="00760069" w:rsidRPr="00893D40">
        <w:t xml:space="preserve"> </w:t>
      </w:r>
      <w:r w:rsidRPr="00893D40">
        <w:t xml:space="preserve">will be available free of charge upon registration at the </w:t>
      </w:r>
      <w:r w:rsidR="00FC2FB2">
        <w:t>c</w:t>
      </w:r>
      <w:r w:rsidR="003C33B5">
        <w:t>onference</w:t>
      </w:r>
      <w:r w:rsidRPr="00893D40">
        <w:t>.</w:t>
      </w:r>
    </w:p>
    <w:p w14:paraId="7CD4EDE1" w14:textId="77777777" w:rsidR="00893D40" w:rsidRDefault="00893D40" w:rsidP="00CE6439">
      <w:pPr>
        <w:pStyle w:val="Heading1"/>
        <w:spacing w:line="276" w:lineRule="auto"/>
        <w:rPr>
          <w:lang w:eastAsia="en-GB"/>
        </w:rPr>
      </w:pPr>
      <w:r>
        <w:rPr>
          <w:lang w:eastAsia="en-GB"/>
        </w:rPr>
        <w:t>Exhibitions</w:t>
      </w:r>
    </w:p>
    <w:p w14:paraId="0FB6B8BE" w14:textId="7488F596" w:rsidR="004620F4" w:rsidRPr="00016815" w:rsidRDefault="004620F4" w:rsidP="001B7884">
      <w:pPr>
        <w:pStyle w:val="BodyText"/>
      </w:pPr>
      <w:r w:rsidRPr="007B5E53">
        <w:t xml:space="preserve">Space will be available for commercial vendors’ displays/exhibits during the </w:t>
      </w:r>
      <w:r w:rsidR="00FC2FB2">
        <w:t>c</w:t>
      </w:r>
      <w:r w:rsidR="001C029D">
        <w:t>onference</w:t>
      </w:r>
      <w:r>
        <w:t xml:space="preserve"> (</w:t>
      </w:r>
      <w:r w:rsidRPr="007B5E53">
        <w:t xml:space="preserve">further information will be </w:t>
      </w:r>
      <w:r>
        <w:t xml:space="preserve">made </w:t>
      </w:r>
      <w:r w:rsidRPr="007B5E53">
        <w:t xml:space="preserve">available in due course on the </w:t>
      </w:r>
      <w:r w:rsidR="00FC2FB2">
        <w:t>c</w:t>
      </w:r>
      <w:r w:rsidR="001C029D">
        <w:t>onference</w:t>
      </w:r>
      <w:r w:rsidRPr="007B5E53">
        <w:t xml:space="preserve"> web</w:t>
      </w:r>
      <w:r w:rsidR="00FC2FB2">
        <w:t xml:space="preserve"> page</w:t>
      </w:r>
      <w:r>
        <w:t>)</w:t>
      </w:r>
      <w:r w:rsidRPr="007B5E53">
        <w:t>.</w:t>
      </w:r>
    </w:p>
    <w:p w14:paraId="6FDA08FE" w14:textId="77777777" w:rsidR="00E77634" w:rsidRPr="00893D40" w:rsidRDefault="006D57B9" w:rsidP="00CE6439">
      <w:pPr>
        <w:pStyle w:val="Heading1"/>
        <w:spacing w:line="276" w:lineRule="auto"/>
        <w:rPr>
          <w:lang w:eastAsia="en-GB"/>
        </w:rPr>
      </w:pPr>
      <w:r w:rsidRPr="00893D40">
        <w:rPr>
          <w:lang w:eastAsia="en-GB"/>
        </w:rPr>
        <w:t>Working Language</w:t>
      </w:r>
    </w:p>
    <w:p w14:paraId="1A97EC6A" w14:textId="45426571" w:rsidR="006117D0" w:rsidRPr="00893D40" w:rsidRDefault="006D57B9" w:rsidP="001B7884">
      <w:pPr>
        <w:pStyle w:val="BodyText"/>
      </w:pPr>
      <w:r w:rsidRPr="00893D40">
        <w:t xml:space="preserve">The working language of the </w:t>
      </w:r>
      <w:r w:rsidR="00FC2FB2">
        <w:t>c</w:t>
      </w:r>
      <w:r w:rsidR="001C029D">
        <w:t>onference</w:t>
      </w:r>
      <w:r w:rsidRPr="00893D40">
        <w:t xml:space="preserve"> will be English. All communications and papers must be sent to the IAEA in English.</w:t>
      </w:r>
    </w:p>
    <w:p w14:paraId="515566D0" w14:textId="77777777" w:rsidR="00750DF0" w:rsidRPr="00893D40" w:rsidRDefault="001C029D" w:rsidP="00CE6439">
      <w:pPr>
        <w:pStyle w:val="Heading1"/>
        <w:spacing w:line="276" w:lineRule="auto"/>
      </w:pPr>
      <w:r>
        <w:t>Conference</w:t>
      </w:r>
      <w:r w:rsidR="006D57B9" w:rsidRPr="00893D40">
        <w:t xml:space="preserve"> Venue and Accommodation</w:t>
      </w:r>
    </w:p>
    <w:p w14:paraId="54561E44" w14:textId="1949A9DC" w:rsidR="004620F4" w:rsidRPr="00760069" w:rsidRDefault="000B4C79" w:rsidP="001B7884">
      <w:pPr>
        <w:pStyle w:val="BodyText"/>
      </w:pPr>
      <w:r w:rsidRPr="00E64345">
        <w:t xml:space="preserve">The </w:t>
      </w:r>
      <w:r w:rsidR="00FC2FB2" w:rsidRPr="00C74250">
        <w:t>c</w:t>
      </w:r>
      <w:r w:rsidR="001C029D" w:rsidRPr="00437517">
        <w:t>onference</w:t>
      </w:r>
      <w:r w:rsidRPr="00437517">
        <w:t xml:space="preserve"> will be held in </w:t>
      </w:r>
      <w:r w:rsidR="00872568" w:rsidRPr="00437517">
        <w:t>Madrid, Spain</w:t>
      </w:r>
      <w:r w:rsidR="00760069">
        <w:rPr>
          <w:rStyle w:val="FootnoteReference"/>
        </w:rPr>
        <w:footnoteReference w:id="3"/>
      </w:r>
      <w:r w:rsidR="00872568" w:rsidRPr="00437517">
        <w:t>.</w:t>
      </w:r>
      <w:r w:rsidRPr="00437517">
        <w:t xml:space="preserve"> Participants will be notified approximately six months before the </w:t>
      </w:r>
      <w:r w:rsidR="00FC2FB2" w:rsidRPr="00437517">
        <w:t>c</w:t>
      </w:r>
      <w:r w:rsidR="001C029D" w:rsidRPr="00437517">
        <w:t>onference</w:t>
      </w:r>
      <w:r w:rsidRPr="00760069">
        <w:t xml:space="preserve"> of the </w:t>
      </w:r>
      <w:r w:rsidR="00FC2FB2" w:rsidRPr="00760069">
        <w:t xml:space="preserve">exact venue </w:t>
      </w:r>
      <w:r w:rsidRPr="00760069">
        <w:t>and suitable hotels in the area.</w:t>
      </w:r>
    </w:p>
    <w:p w14:paraId="06D3F557" w14:textId="77777777" w:rsidR="00E379C7" w:rsidRPr="001B7884" w:rsidRDefault="006D57B9" w:rsidP="001B7884">
      <w:pPr>
        <w:pStyle w:val="BodyText"/>
      </w:pPr>
      <w:r w:rsidRPr="00760069">
        <w:t>Participants must make their own travel and accommodation arrangements. Please note that the IAEA is not in a position to assist participants with hotel bookings, nor can the IAEA assume responsibility for paying cancellation fees or for re-booking and no shows.</w:t>
      </w:r>
    </w:p>
    <w:p w14:paraId="0C77CDE5" w14:textId="77777777" w:rsidR="005E28D8" w:rsidRPr="00893D40" w:rsidRDefault="005E28D8" w:rsidP="00CE6439">
      <w:pPr>
        <w:pStyle w:val="Heading1"/>
        <w:spacing w:line="276" w:lineRule="auto"/>
      </w:pPr>
      <w:r w:rsidRPr="00893D40">
        <w:t>V</w:t>
      </w:r>
      <w:r w:rsidR="006D57B9" w:rsidRPr="00893D40">
        <w:t>isas</w:t>
      </w:r>
    </w:p>
    <w:p w14:paraId="6B228203" w14:textId="2B36F6C7" w:rsidR="008F3152" w:rsidRPr="001B7884" w:rsidRDefault="006D57B9" w:rsidP="001B7884">
      <w:pPr>
        <w:pStyle w:val="BodyText"/>
      </w:pPr>
      <w:r w:rsidRPr="00893D40">
        <w:t xml:space="preserve">Designated participants who require a visa to enter </w:t>
      </w:r>
      <w:r w:rsidR="004620F4" w:rsidRPr="00872A85">
        <w:t>Spain</w:t>
      </w:r>
      <w:r w:rsidR="007F4C05">
        <w:t xml:space="preserve"> </w:t>
      </w:r>
      <w:r w:rsidRPr="00893D40">
        <w:t xml:space="preserve">should submit the necessary application to the nearest diplomatic or consular representative of </w:t>
      </w:r>
      <w:r w:rsidR="004620F4">
        <w:t xml:space="preserve">Spain </w:t>
      </w:r>
      <w:r w:rsidRPr="00893D40">
        <w:t xml:space="preserve">at least four weeks before they travel to </w:t>
      </w:r>
      <w:r w:rsidR="004620F4">
        <w:t>Spain</w:t>
      </w:r>
      <w:r w:rsidRPr="00893D40">
        <w:t xml:space="preserve">. Since </w:t>
      </w:r>
      <w:r w:rsidR="004620F4">
        <w:t>Spain</w:t>
      </w:r>
      <w:r w:rsidRPr="00893D40">
        <w:t xml:space="preserve"> is a Schengen State, persons requiring a visa will have to apply for a Schengen visa. In States where </w:t>
      </w:r>
      <w:r w:rsidR="004620F4">
        <w:t>Spain</w:t>
      </w:r>
      <w:r w:rsidRPr="00893D40">
        <w:t xml:space="preserve"> has no diplomatic mission, visas can be obtained from the consular </w:t>
      </w:r>
      <w:r w:rsidRPr="001B7884">
        <w:t xml:space="preserve">authority of a Schengen Partner State representing </w:t>
      </w:r>
      <w:r w:rsidR="004620F4" w:rsidRPr="001B7884">
        <w:t>Spain</w:t>
      </w:r>
      <w:r w:rsidRPr="001B7884">
        <w:t xml:space="preserve"> in the country in question.</w:t>
      </w:r>
    </w:p>
    <w:p w14:paraId="25E2934B" w14:textId="77777777" w:rsidR="00750DF0" w:rsidRPr="00EF178E" w:rsidRDefault="006D57B9" w:rsidP="009E7870">
      <w:pPr>
        <w:pStyle w:val="Heading1"/>
        <w:spacing w:line="276" w:lineRule="auto"/>
      </w:pPr>
      <w:r w:rsidRPr="00EF178E">
        <w:t>Key Deadlines</w:t>
      </w:r>
    </w:p>
    <w:p w14:paraId="003974CC" w14:textId="77777777" w:rsidR="006D57B9" w:rsidRPr="00EF178E" w:rsidRDefault="006D57B9" w:rsidP="001B7884">
      <w:pPr>
        <w:pStyle w:val="BodyText"/>
        <w:keepNext/>
        <w:keepLines/>
      </w:pPr>
      <w:r w:rsidRPr="00EF178E">
        <w:t xml:space="preserve">Submission of </w:t>
      </w:r>
      <w:r w:rsidR="005716A9" w:rsidRPr="00EF178E">
        <w:t>Form B</w:t>
      </w:r>
      <w:r w:rsidRPr="00EF178E">
        <w:t xml:space="preserve"> and abstract:</w:t>
      </w:r>
      <w:r w:rsidRPr="00EF178E">
        <w:tab/>
      </w:r>
      <w:r w:rsidRPr="00EF178E">
        <w:tab/>
      </w:r>
      <w:r w:rsidR="005716A9" w:rsidRPr="00EF178E">
        <w:tab/>
      </w:r>
      <w:r w:rsidR="005716A9" w:rsidRPr="00EF178E">
        <w:tab/>
      </w:r>
      <w:r w:rsidR="005716A9" w:rsidRPr="00EF178E">
        <w:tab/>
      </w:r>
      <w:r w:rsidR="005716A9" w:rsidRPr="00EF178E">
        <w:tab/>
      </w:r>
      <w:r w:rsidR="005716A9" w:rsidRPr="00EF178E">
        <w:tab/>
      </w:r>
      <w:r w:rsidR="00063CA6">
        <w:rPr>
          <w:b/>
        </w:rPr>
        <w:t>16 November 2015</w:t>
      </w:r>
    </w:p>
    <w:p w14:paraId="374273B4" w14:textId="77777777" w:rsidR="006D57B9" w:rsidRPr="00EF178E" w:rsidRDefault="006D57B9" w:rsidP="001B7884">
      <w:pPr>
        <w:pStyle w:val="BodyText"/>
        <w:keepNext/>
        <w:keepLines/>
      </w:pPr>
      <w:r w:rsidRPr="00EF178E">
        <w:t xml:space="preserve">Submission of </w:t>
      </w:r>
      <w:r w:rsidR="005716A9" w:rsidRPr="00EF178E">
        <w:t>Form C</w:t>
      </w:r>
      <w:r w:rsidRPr="00EF178E">
        <w:t>:</w:t>
      </w:r>
      <w:r w:rsidR="005716A9" w:rsidRPr="00EF178E">
        <w:tab/>
      </w:r>
      <w:r w:rsidR="005716A9" w:rsidRPr="00EF178E">
        <w:tab/>
      </w:r>
      <w:r w:rsidR="005716A9" w:rsidRPr="00EF178E">
        <w:tab/>
      </w:r>
      <w:r w:rsidR="005716A9" w:rsidRPr="00EF178E">
        <w:tab/>
      </w:r>
      <w:r w:rsidRPr="00EF178E">
        <w:tab/>
      </w:r>
      <w:r w:rsidRPr="00EF178E">
        <w:tab/>
      </w:r>
      <w:r w:rsidRPr="00EF178E">
        <w:tab/>
      </w:r>
      <w:r w:rsidRPr="00EF178E">
        <w:tab/>
      </w:r>
      <w:r w:rsidRPr="00EF178E">
        <w:tab/>
      </w:r>
      <w:r w:rsidR="00707EC3">
        <w:rPr>
          <w:b/>
        </w:rPr>
        <w:t>16 November 2015</w:t>
      </w:r>
    </w:p>
    <w:p w14:paraId="0B5D7FB6" w14:textId="7B0A505C" w:rsidR="006D57B9" w:rsidRPr="00EF178E" w:rsidRDefault="006D57B9" w:rsidP="001B7884">
      <w:pPr>
        <w:pStyle w:val="BodyText"/>
        <w:keepNext/>
        <w:keepLines/>
        <w:rPr>
          <w:b/>
        </w:rPr>
      </w:pPr>
      <w:r w:rsidRPr="00EF178E">
        <w:t xml:space="preserve">Notification of acceptance of </w:t>
      </w:r>
      <w:r w:rsidR="001911BE">
        <w:t>synopsis</w:t>
      </w:r>
      <w:r w:rsidRPr="00EF178E">
        <w:t>:</w:t>
      </w:r>
      <w:r w:rsidRPr="00EF178E">
        <w:tab/>
      </w:r>
      <w:r w:rsidRPr="00EF178E">
        <w:tab/>
      </w:r>
      <w:r w:rsidRPr="00EF178E">
        <w:tab/>
      </w:r>
      <w:r w:rsidRPr="00EF178E">
        <w:tab/>
      </w:r>
      <w:r w:rsidRPr="00EF178E">
        <w:tab/>
      </w:r>
      <w:r w:rsidRPr="00EF178E">
        <w:tab/>
      </w:r>
      <w:r w:rsidR="001762D5">
        <w:rPr>
          <w:b/>
        </w:rPr>
        <w:t xml:space="preserve">31 </w:t>
      </w:r>
      <w:r w:rsidR="00063CA6">
        <w:rPr>
          <w:b/>
        </w:rPr>
        <w:t>December 2015</w:t>
      </w:r>
    </w:p>
    <w:p w14:paraId="1CF91747" w14:textId="77777777" w:rsidR="00657734" w:rsidRPr="002B3327" w:rsidRDefault="001C029D" w:rsidP="00CE6439">
      <w:pPr>
        <w:pStyle w:val="Heading1"/>
        <w:spacing w:line="276" w:lineRule="auto"/>
        <w:rPr>
          <w:lang w:eastAsia="en-GB"/>
        </w:rPr>
      </w:pPr>
      <w:r>
        <w:rPr>
          <w:lang w:eastAsia="en-GB"/>
        </w:rPr>
        <w:t>Conference</w:t>
      </w:r>
      <w:r w:rsidR="006D57B9" w:rsidRPr="002B3327">
        <w:rPr>
          <w:lang w:eastAsia="en-GB"/>
        </w:rPr>
        <w:t xml:space="preserve"> Secretariat</w:t>
      </w:r>
    </w:p>
    <w:p w14:paraId="1AFEAE13" w14:textId="77777777" w:rsidR="006D57B9" w:rsidRPr="002B3327" w:rsidRDefault="006D57B9" w:rsidP="00CE6439">
      <w:pPr>
        <w:pStyle w:val="BodyText"/>
        <w:keepNext/>
        <w:keepLines/>
        <w:spacing w:line="276" w:lineRule="auto"/>
        <w:rPr>
          <w:b/>
        </w:rPr>
      </w:pPr>
      <w:r w:rsidRPr="002B3327">
        <w:rPr>
          <w:b/>
        </w:rPr>
        <w:t xml:space="preserve">General contact details of the </w:t>
      </w:r>
      <w:r w:rsidR="001C029D">
        <w:rPr>
          <w:b/>
        </w:rPr>
        <w:t>Conference</w:t>
      </w:r>
      <w:r w:rsidRPr="002B3327">
        <w:rPr>
          <w:b/>
        </w:rPr>
        <w:t xml:space="preserve"> Secretariat:</w:t>
      </w:r>
    </w:p>
    <w:p w14:paraId="3768D9FB" w14:textId="77777777" w:rsidR="006D57B9" w:rsidRPr="002B3327" w:rsidRDefault="006D57B9" w:rsidP="00CE6439">
      <w:pPr>
        <w:pStyle w:val="BodyText"/>
        <w:keepNext/>
        <w:keepLines/>
        <w:spacing w:line="276" w:lineRule="auto"/>
      </w:pPr>
      <w:r w:rsidRPr="002B3327">
        <w:rPr>
          <w:rFonts w:eastAsia="MS Mincho"/>
          <w:szCs w:val="22"/>
        </w:rPr>
        <w:t>International Atomic Energy Agency</w:t>
      </w:r>
      <w:r w:rsidRPr="002B3327">
        <w:br/>
      </w:r>
      <w:r w:rsidRPr="002B3327">
        <w:rPr>
          <w:rFonts w:eastAsia="MS Mincho"/>
          <w:szCs w:val="22"/>
        </w:rPr>
        <w:t>Vienna International Centre</w:t>
      </w:r>
      <w:r w:rsidRPr="002B3327">
        <w:rPr>
          <w:rFonts w:eastAsia="MS Mincho"/>
          <w:szCs w:val="22"/>
        </w:rPr>
        <w:br/>
        <w:t>PO Box 100</w:t>
      </w:r>
      <w:r w:rsidRPr="002B3327">
        <w:br/>
      </w:r>
      <w:r w:rsidRPr="002B3327">
        <w:rPr>
          <w:rFonts w:eastAsia="MS Mincho"/>
          <w:szCs w:val="22"/>
        </w:rPr>
        <w:t>1400 VIENNA</w:t>
      </w:r>
      <w:r w:rsidRPr="002B3327">
        <w:rPr>
          <w:rFonts w:eastAsia="MS Mincho"/>
          <w:szCs w:val="22"/>
        </w:rPr>
        <w:br/>
        <w:t>AUSTRIA</w:t>
      </w:r>
      <w:r w:rsidRPr="002B3327">
        <w:br/>
      </w:r>
      <w:r w:rsidRPr="002B3327">
        <w:rPr>
          <w:rFonts w:eastAsia="MS Mincho"/>
          <w:szCs w:val="22"/>
          <w:lang w:eastAsia="ja-JP"/>
        </w:rPr>
        <w:t>Tel.: +43 1 2600</w:t>
      </w:r>
      <w:r w:rsidRPr="002B3327">
        <w:br/>
      </w:r>
      <w:r w:rsidRPr="002B3327">
        <w:rPr>
          <w:rFonts w:eastAsia="MS Mincho"/>
          <w:szCs w:val="22"/>
          <w:lang w:eastAsia="ja-JP"/>
        </w:rPr>
        <w:t>Fax: +43 1 2600</w:t>
      </w:r>
      <w:r w:rsidR="00291FB2">
        <w:rPr>
          <w:rFonts w:eastAsia="MS Mincho"/>
          <w:szCs w:val="22"/>
          <w:lang w:eastAsia="ja-JP"/>
        </w:rPr>
        <w:t>7</w:t>
      </w:r>
      <w:r w:rsidRPr="002B3327">
        <w:br/>
      </w:r>
      <w:r w:rsidRPr="002B3327">
        <w:rPr>
          <w:rFonts w:eastAsia="MS Mincho"/>
          <w:szCs w:val="22"/>
          <w:lang w:eastAsia="ja-JP"/>
        </w:rPr>
        <w:t xml:space="preserve">Email: </w:t>
      </w:r>
      <w:hyperlink r:id="rId12" w:history="1">
        <w:r w:rsidR="006B34CB" w:rsidRPr="002B3327">
          <w:rPr>
            <w:rStyle w:val="Hyperlink"/>
            <w:rFonts w:eastAsia="Batang"/>
            <w:szCs w:val="22"/>
            <w:lang w:eastAsia="ko-KR"/>
          </w:rPr>
          <w:t>Official.Mail@iaea.org</w:t>
        </w:r>
      </w:hyperlink>
    </w:p>
    <w:p w14:paraId="4C7F4C2C" w14:textId="77777777" w:rsidR="000B4C79" w:rsidRDefault="000B4C79" w:rsidP="00CE6439">
      <w:pPr>
        <w:overflowPunct/>
        <w:autoSpaceDE/>
        <w:autoSpaceDN/>
        <w:adjustRightInd/>
        <w:spacing w:line="276" w:lineRule="auto"/>
        <w:textAlignment w:val="auto"/>
        <w:rPr>
          <w:lang w:eastAsia="en-GB"/>
        </w:rPr>
      </w:pPr>
    </w:p>
    <w:p w14:paraId="13EE7F5E" w14:textId="77777777" w:rsidR="001B708A" w:rsidRDefault="00C7512B">
      <w:pPr>
        <w:keepNext/>
        <w:keepLines/>
        <w:overflowPunct/>
        <w:spacing w:after="120" w:line="276" w:lineRule="auto"/>
        <w:jc w:val="both"/>
        <w:textAlignment w:val="auto"/>
        <w:rPr>
          <w:b/>
          <w:bCs/>
          <w:color w:val="000000"/>
          <w:szCs w:val="22"/>
          <w:lang w:eastAsia="en-GB"/>
        </w:rPr>
      </w:pPr>
      <w:r w:rsidRPr="002B3327">
        <w:rPr>
          <w:b/>
          <w:bCs/>
          <w:color w:val="000000"/>
          <w:szCs w:val="22"/>
          <w:lang w:eastAsia="en-GB"/>
        </w:rPr>
        <w:t xml:space="preserve">Scientific </w:t>
      </w:r>
      <w:r w:rsidR="007C12D0" w:rsidRPr="002B3327">
        <w:rPr>
          <w:b/>
          <w:bCs/>
          <w:color w:val="000000"/>
          <w:szCs w:val="22"/>
          <w:lang w:eastAsia="en-GB"/>
        </w:rPr>
        <w:t>Secretar</w:t>
      </w:r>
      <w:r w:rsidR="00EF178E">
        <w:rPr>
          <w:b/>
          <w:bCs/>
          <w:color w:val="000000"/>
          <w:szCs w:val="22"/>
          <w:lang w:eastAsia="en-GB"/>
        </w:rPr>
        <w:t>ies</w:t>
      </w:r>
      <w:r w:rsidR="006D57B9" w:rsidRPr="002B3327">
        <w:rPr>
          <w:b/>
          <w:bCs/>
          <w:color w:val="000000"/>
          <w:szCs w:val="22"/>
          <w:lang w:eastAsia="en-GB"/>
        </w:rPr>
        <w:t>:</w:t>
      </w:r>
    </w:p>
    <w:p w14:paraId="3F990820" w14:textId="77777777" w:rsidR="00C33DD1" w:rsidRDefault="00C33DD1">
      <w:pPr>
        <w:keepNext/>
        <w:keepLines/>
        <w:overflowPunct/>
        <w:spacing w:after="120" w:line="276" w:lineRule="auto"/>
        <w:jc w:val="both"/>
        <w:textAlignment w:val="auto"/>
        <w:rPr>
          <w:b/>
          <w:bCs/>
          <w:color w:val="000000"/>
          <w:szCs w:val="22"/>
          <w:lang w:eastAsia="en-GB"/>
        </w:rPr>
      </w:pPr>
    </w:p>
    <w:p w14:paraId="6CD97855" w14:textId="77777777" w:rsidR="00E34CB6" w:rsidRDefault="00E34CB6">
      <w:pPr>
        <w:keepNext/>
        <w:keepLines/>
        <w:overflowPunct/>
        <w:spacing w:after="120" w:line="276" w:lineRule="auto"/>
        <w:jc w:val="both"/>
        <w:textAlignment w:val="auto"/>
        <w:rPr>
          <w:b/>
          <w:bCs/>
          <w:color w:val="000000"/>
          <w:szCs w:val="22"/>
          <w:lang w:eastAsia="en-GB"/>
        </w:rPr>
        <w:sectPr w:rsidR="00E34CB6" w:rsidSect="009E26FF">
          <w:headerReference w:type="even" r:id="rId13"/>
          <w:headerReference w:type="default" r:id="rId14"/>
          <w:headerReference w:type="first" r:id="rId15"/>
          <w:pgSz w:w="12240" w:h="15840"/>
          <w:pgMar w:top="1440" w:right="1440" w:bottom="1440" w:left="1440" w:header="720" w:footer="720" w:gutter="0"/>
          <w:cols w:space="720"/>
          <w:titlePg/>
          <w:docGrid w:linePitch="299"/>
        </w:sectPr>
      </w:pPr>
    </w:p>
    <w:p w14:paraId="6DEA445F" w14:textId="77777777" w:rsidR="00C7512B" w:rsidRPr="002B3327" w:rsidRDefault="004620F4">
      <w:pPr>
        <w:overflowPunct/>
        <w:spacing w:line="276" w:lineRule="auto"/>
        <w:jc w:val="both"/>
        <w:textAlignment w:val="auto"/>
        <w:rPr>
          <w:b/>
          <w:bCs/>
          <w:szCs w:val="22"/>
          <w:lang w:eastAsia="en-GB"/>
        </w:rPr>
      </w:pPr>
      <w:r>
        <w:rPr>
          <w:b/>
          <w:bCs/>
          <w:szCs w:val="22"/>
          <w:lang w:eastAsia="en-GB"/>
        </w:rPr>
        <w:t>Mr Patrick O’Sullivan</w:t>
      </w:r>
    </w:p>
    <w:p w14:paraId="4F4DD524" w14:textId="77777777" w:rsidR="000F3D68" w:rsidRDefault="000F3D68">
      <w:pPr>
        <w:overflowPunct/>
        <w:spacing w:line="276" w:lineRule="auto"/>
        <w:textAlignment w:val="auto"/>
      </w:pPr>
      <w:r>
        <w:t>Division of Nuclear Fuel Cycle and Waste Technology</w:t>
      </w:r>
    </w:p>
    <w:p w14:paraId="77F69DD1" w14:textId="45F52A16" w:rsidR="001B708A" w:rsidRPr="002B3327" w:rsidRDefault="006D57B9">
      <w:pPr>
        <w:overflowPunct/>
        <w:spacing w:line="276" w:lineRule="auto"/>
        <w:textAlignment w:val="auto"/>
        <w:rPr>
          <w:color w:val="000000"/>
          <w:szCs w:val="22"/>
          <w:lang w:eastAsia="en-GB"/>
        </w:rPr>
      </w:pPr>
      <w:r w:rsidRPr="002B3327">
        <w:t xml:space="preserve">Department </w:t>
      </w:r>
      <w:r w:rsidR="009E7870">
        <w:t xml:space="preserve">of </w:t>
      </w:r>
      <w:r w:rsidR="000F3D68">
        <w:t>Nuclear Energy</w:t>
      </w:r>
    </w:p>
    <w:p w14:paraId="4B114FAA" w14:textId="77777777" w:rsidR="001B708A" w:rsidRDefault="00750DF0">
      <w:pPr>
        <w:overflowPunct/>
        <w:spacing w:line="276" w:lineRule="auto"/>
        <w:jc w:val="both"/>
        <w:textAlignment w:val="auto"/>
        <w:rPr>
          <w:color w:val="000000"/>
          <w:szCs w:val="22"/>
          <w:lang w:eastAsia="en-GB"/>
        </w:rPr>
      </w:pPr>
      <w:r w:rsidRPr="00470373">
        <w:rPr>
          <w:color w:val="000000"/>
          <w:szCs w:val="22"/>
          <w:lang w:eastAsia="en-GB"/>
        </w:rPr>
        <w:t>Tel.: +43 1 2600</w:t>
      </w:r>
      <w:r w:rsidR="006D57B9" w:rsidRPr="00470373">
        <w:rPr>
          <w:color w:val="000000"/>
          <w:szCs w:val="22"/>
          <w:lang w:eastAsia="en-GB"/>
        </w:rPr>
        <w:t xml:space="preserve"> </w:t>
      </w:r>
      <w:r w:rsidR="002B3327" w:rsidRPr="00470373">
        <w:rPr>
          <w:color w:val="000000"/>
          <w:szCs w:val="22"/>
          <w:lang w:eastAsia="en-GB"/>
        </w:rPr>
        <w:t>2</w:t>
      </w:r>
      <w:r w:rsidR="000F3D68">
        <w:rPr>
          <w:color w:val="000000"/>
          <w:szCs w:val="22"/>
          <w:lang w:eastAsia="en-GB"/>
        </w:rPr>
        <w:t>2660</w:t>
      </w:r>
    </w:p>
    <w:p w14:paraId="722A0672" w14:textId="77777777" w:rsidR="000F3D68" w:rsidRDefault="000F3D68">
      <w:pPr>
        <w:overflowPunct/>
        <w:spacing w:line="276" w:lineRule="auto"/>
        <w:jc w:val="both"/>
        <w:textAlignment w:val="auto"/>
        <w:rPr>
          <w:rStyle w:val="Hyperlink"/>
          <w:color w:val="auto"/>
          <w:szCs w:val="22"/>
          <w:lang w:eastAsia="en-GB"/>
        </w:rPr>
      </w:pPr>
    </w:p>
    <w:p w14:paraId="51462D83" w14:textId="77777777" w:rsidR="001B708A" w:rsidRPr="002B3327" w:rsidRDefault="001B708A">
      <w:pPr>
        <w:overflowPunct/>
        <w:spacing w:line="276" w:lineRule="auto"/>
        <w:jc w:val="both"/>
        <w:textAlignment w:val="auto"/>
        <w:rPr>
          <w:b/>
          <w:bCs/>
          <w:szCs w:val="22"/>
          <w:lang w:eastAsia="en-GB"/>
        </w:rPr>
      </w:pPr>
      <w:r>
        <w:rPr>
          <w:rStyle w:val="Hyperlink"/>
          <w:color w:val="auto"/>
          <w:szCs w:val="22"/>
          <w:lang w:eastAsia="en-GB"/>
        </w:rPr>
        <w:br w:type="column"/>
      </w:r>
      <w:r w:rsidRPr="002B3327">
        <w:rPr>
          <w:b/>
          <w:bCs/>
          <w:szCs w:val="22"/>
          <w:lang w:eastAsia="en-GB"/>
        </w:rPr>
        <w:t>M</w:t>
      </w:r>
      <w:r>
        <w:rPr>
          <w:b/>
          <w:bCs/>
          <w:szCs w:val="22"/>
          <w:lang w:eastAsia="en-GB"/>
        </w:rPr>
        <w:t>r</w:t>
      </w:r>
      <w:r w:rsidRPr="002B3327">
        <w:rPr>
          <w:b/>
          <w:bCs/>
          <w:szCs w:val="22"/>
          <w:lang w:eastAsia="en-GB"/>
        </w:rPr>
        <w:t xml:space="preserve"> </w:t>
      </w:r>
      <w:r w:rsidR="000F3D68">
        <w:rPr>
          <w:b/>
          <w:bCs/>
          <w:szCs w:val="22"/>
          <w:lang w:eastAsia="en-GB"/>
        </w:rPr>
        <w:t xml:space="preserve">Horst </w:t>
      </w:r>
      <w:proofErr w:type="spellStart"/>
      <w:r w:rsidR="000F3D68">
        <w:rPr>
          <w:b/>
          <w:bCs/>
          <w:szCs w:val="22"/>
          <w:lang w:eastAsia="en-GB"/>
        </w:rPr>
        <w:t>Monken-Fernandes</w:t>
      </w:r>
      <w:proofErr w:type="spellEnd"/>
    </w:p>
    <w:p w14:paraId="0C4CDC3A" w14:textId="77777777" w:rsidR="000F3D68" w:rsidRDefault="000F3D68">
      <w:pPr>
        <w:overflowPunct/>
        <w:spacing w:line="276" w:lineRule="auto"/>
        <w:textAlignment w:val="auto"/>
      </w:pPr>
      <w:r>
        <w:t>Division of Nuclear Fuel Cycle and Waste Technology</w:t>
      </w:r>
    </w:p>
    <w:p w14:paraId="7BA9442E" w14:textId="77DD1B11" w:rsidR="000F3D68" w:rsidRPr="002B3327" w:rsidRDefault="000F3D68">
      <w:pPr>
        <w:overflowPunct/>
        <w:spacing w:line="276" w:lineRule="auto"/>
        <w:textAlignment w:val="auto"/>
        <w:rPr>
          <w:color w:val="000000"/>
          <w:szCs w:val="22"/>
          <w:lang w:eastAsia="en-GB"/>
        </w:rPr>
      </w:pPr>
      <w:r w:rsidRPr="002B3327">
        <w:t xml:space="preserve">Department </w:t>
      </w:r>
      <w:r w:rsidR="009E7870">
        <w:t xml:space="preserve">of </w:t>
      </w:r>
      <w:r>
        <w:t>Nuclear Energy</w:t>
      </w:r>
    </w:p>
    <w:p w14:paraId="27A991DF" w14:textId="77777777" w:rsidR="001B708A" w:rsidRDefault="001B708A">
      <w:pPr>
        <w:overflowPunct/>
        <w:spacing w:line="276" w:lineRule="auto"/>
        <w:jc w:val="both"/>
        <w:textAlignment w:val="auto"/>
        <w:rPr>
          <w:color w:val="000000"/>
          <w:szCs w:val="22"/>
          <w:lang w:eastAsia="en-GB"/>
        </w:rPr>
      </w:pPr>
      <w:r w:rsidRPr="00470373">
        <w:rPr>
          <w:color w:val="000000"/>
          <w:szCs w:val="22"/>
          <w:lang w:eastAsia="en-GB"/>
        </w:rPr>
        <w:t>Tel.: +43 1 2600 2</w:t>
      </w:r>
      <w:r w:rsidR="000F3D68">
        <w:rPr>
          <w:color w:val="000000"/>
          <w:szCs w:val="22"/>
          <w:lang w:eastAsia="en-GB"/>
        </w:rPr>
        <w:t>4673</w:t>
      </w:r>
    </w:p>
    <w:p w14:paraId="2F4DE6EA" w14:textId="77777777" w:rsidR="001B708A" w:rsidRDefault="001B708A">
      <w:pPr>
        <w:overflowPunct/>
        <w:spacing w:after="120" w:line="276" w:lineRule="auto"/>
        <w:jc w:val="both"/>
        <w:textAlignment w:val="auto"/>
        <w:rPr>
          <w:highlight w:val="yellow"/>
        </w:rPr>
      </w:pPr>
    </w:p>
    <w:p w14:paraId="5AA05CBF" w14:textId="77777777" w:rsidR="001B708A" w:rsidRDefault="001B708A">
      <w:pPr>
        <w:overflowPunct/>
        <w:spacing w:after="120" w:line="276" w:lineRule="auto"/>
        <w:jc w:val="both"/>
        <w:textAlignment w:val="auto"/>
        <w:rPr>
          <w:highlight w:val="yellow"/>
        </w:rPr>
        <w:sectPr w:rsidR="001B708A" w:rsidSect="00E34CB6">
          <w:type w:val="continuous"/>
          <w:pgSz w:w="12240" w:h="15840"/>
          <w:pgMar w:top="1440" w:right="616" w:bottom="1440" w:left="1440" w:header="720" w:footer="720" w:gutter="0"/>
          <w:cols w:num="2" w:space="48"/>
          <w:titlePg/>
          <w:docGrid w:linePitch="299"/>
        </w:sectPr>
      </w:pPr>
    </w:p>
    <w:p w14:paraId="54CD8741" w14:textId="77777777" w:rsidR="00C7512B" w:rsidRDefault="000F3D68">
      <w:pPr>
        <w:overflowPunct/>
        <w:spacing w:after="120" w:line="276" w:lineRule="auto"/>
        <w:jc w:val="both"/>
        <w:textAlignment w:val="auto"/>
        <w:rPr>
          <w:b/>
        </w:rPr>
      </w:pPr>
      <w:r w:rsidRPr="000F3D68">
        <w:rPr>
          <w:b/>
        </w:rPr>
        <w:t xml:space="preserve">Mr Vladan </w:t>
      </w:r>
      <w:proofErr w:type="spellStart"/>
      <w:r w:rsidRPr="000F3D68">
        <w:rPr>
          <w:b/>
        </w:rPr>
        <w:t>Ljubenov</w:t>
      </w:r>
      <w:proofErr w:type="spellEnd"/>
    </w:p>
    <w:p w14:paraId="6BCAA3CC" w14:textId="77777777" w:rsidR="000F3D68" w:rsidRDefault="000F3D68">
      <w:pPr>
        <w:overflowPunct/>
        <w:spacing w:line="276" w:lineRule="auto"/>
        <w:textAlignment w:val="auto"/>
      </w:pPr>
      <w:r w:rsidRPr="000F3D68">
        <w:t>Division of Radiation, Transport and Waste Safety</w:t>
      </w:r>
    </w:p>
    <w:p w14:paraId="57FACB7C" w14:textId="77777777" w:rsidR="000F3D68" w:rsidRDefault="000F3D68">
      <w:pPr>
        <w:overflowPunct/>
        <w:spacing w:line="276" w:lineRule="auto"/>
        <w:textAlignment w:val="auto"/>
      </w:pPr>
      <w:r>
        <w:t>Department of Nuclear Safety and Security</w:t>
      </w:r>
    </w:p>
    <w:p w14:paraId="4B5D2FFC" w14:textId="3A060C6D" w:rsidR="000F3D68" w:rsidRDefault="000F3D68" w:rsidP="009E7870">
      <w:pPr>
        <w:overflowPunct/>
        <w:spacing w:line="276" w:lineRule="auto"/>
        <w:jc w:val="both"/>
        <w:textAlignment w:val="auto"/>
        <w:rPr>
          <w:color w:val="000000"/>
          <w:szCs w:val="22"/>
          <w:lang w:eastAsia="en-GB"/>
        </w:rPr>
      </w:pPr>
      <w:r w:rsidRPr="00470373">
        <w:rPr>
          <w:color w:val="000000"/>
          <w:szCs w:val="22"/>
          <w:lang w:eastAsia="en-GB"/>
        </w:rPr>
        <w:t>Tel.: +43 1 2600 2</w:t>
      </w:r>
      <w:r>
        <w:rPr>
          <w:color w:val="000000"/>
          <w:szCs w:val="22"/>
          <w:lang w:eastAsia="en-GB"/>
        </w:rPr>
        <w:t>2553</w:t>
      </w:r>
    </w:p>
    <w:p w14:paraId="5106AB84" w14:textId="77777777" w:rsidR="000F3D68" w:rsidRDefault="000F3D68">
      <w:pPr>
        <w:overflowPunct/>
        <w:spacing w:after="120" w:line="276" w:lineRule="auto"/>
        <w:jc w:val="both"/>
        <w:textAlignment w:val="auto"/>
      </w:pPr>
    </w:p>
    <w:p w14:paraId="07EEC00C" w14:textId="1E37A034" w:rsidR="00C33DD1" w:rsidRPr="001B7884" w:rsidRDefault="00C33DD1">
      <w:pPr>
        <w:overflowPunct/>
        <w:spacing w:after="120" w:line="276" w:lineRule="auto"/>
        <w:jc w:val="both"/>
        <w:textAlignment w:val="auto"/>
      </w:pPr>
      <w:r w:rsidRPr="001B7884">
        <w:t>Joint email</w:t>
      </w:r>
      <w:r w:rsidR="009E7870" w:rsidRPr="001B7884">
        <w:t xml:space="preserve"> address</w:t>
      </w:r>
      <w:r w:rsidRPr="001B7884">
        <w:t xml:space="preserve">: </w:t>
      </w:r>
      <w:hyperlink r:id="rId16" w:history="1">
        <w:r w:rsidRPr="001B7884">
          <w:rPr>
            <w:rStyle w:val="Hyperlink"/>
          </w:rPr>
          <w:t>Decommissioning-and-Environmental-Remediation-2016@iaea.org</w:t>
        </w:r>
      </w:hyperlink>
    </w:p>
    <w:p w14:paraId="5454A85A" w14:textId="55FB5F94" w:rsidR="00C7512B" w:rsidRPr="00CE6439" w:rsidRDefault="00C7512B" w:rsidP="00CE6439">
      <w:pPr>
        <w:pStyle w:val="BodyTextMultiline"/>
        <w:numPr>
          <w:ilvl w:val="0"/>
          <w:numId w:val="0"/>
        </w:numPr>
        <w:rPr>
          <w:b/>
          <w:lang w:eastAsia="en-GB"/>
        </w:rPr>
      </w:pPr>
      <w:r w:rsidRPr="00CE6439">
        <w:rPr>
          <w:b/>
        </w:rPr>
        <w:t>Administrati</w:t>
      </w:r>
      <w:r w:rsidR="006D57B9" w:rsidRPr="00CE6439">
        <w:rPr>
          <w:b/>
        </w:rPr>
        <w:t xml:space="preserve">on and </w:t>
      </w:r>
      <w:r w:rsidR="002C3FD9">
        <w:rPr>
          <w:b/>
        </w:rPr>
        <w:t>O</w:t>
      </w:r>
      <w:r w:rsidR="002C3FD9" w:rsidRPr="00CE6439">
        <w:rPr>
          <w:b/>
        </w:rPr>
        <w:t>rganization</w:t>
      </w:r>
      <w:r w:rsidRPr="00CE6439">
        <w:rPr>
          <w:b/>
          <w:lang w:eastAsia="en-GB"/>
        </w:rPr>
        <w:t>:</w:t>
      </w:r>
    </w:p>
    <w:p w14:paraId="4ECB759D" w14:textId="77777777" w:rsidR="00C7512B" w:rsidRPr="00CE6439" w:rsidRDefault="00C7512B" w:rsidP="00CE6439">
      <w:pPr>
        <w:pStyle w:val="BodyTextMultiline"/>
        <w:numPr>
          <w:ilvl w:val="0"/>
          <w:numId w:val="0"/>
        </w:numPr>
        <w:rPr>
          <w:b/>
          <w:color w:val="000000"/>
          <w:lang w:eastAsia="en-GB"/>
        </w:rPr>
      </w:pPr>
      <w:r w:rsidRPr="00CE6439">
        <w:rPr>
          <w:b/>
          <w:color w:val="000000"/>
          <w:lang w:eastAsia="en-GB"/>
        </w:rPr>
        <w:t>Ms</w:t>
      </w:r>
      <w:r w:rsidR="006D57B9" w:rsidRPr="00CE6439">
        <w:rPr>
          <w:b/>
          <w:color w:val="000000"/>
          <w:lang w:eastAsia="en-GB"/>
        </w:rPr>
        <w:t xml:space="preserve"> </w:t>
      </w:r>
      <w:r w:rsidR="002B3327" w:rsidRPr="00CE6439">
        <w:rPr>
          <w:b/>
          <w:color w:val="000000"/>
          <w:lang w:eastAsia="en-GB"/>
        </w:rPr>
        <w:t>Karen Morrison</w:t>
      </w:r>
    </w:p>
    <w:p w14:paraId="6E6BD79B" w14:textId="278E8E47" w:rsidR="006D57B9" w:rsidRPr="002B3327" w:rsidRDefault="006D57B9" w:rsidP="00CE6439">
      <w:pPr>
        <w:pStyle w:val="BodyTextMultiline"/>
        <w:numPr>
          <w:ilvl w:val="0"/>
          <w:numId w:val="0"/>
        </w:numPr>
        <w:spacing w:after="0"/>
      </w:pPr>
      <w:r w:rsidRPr="002B3327">
        <w:t xml:space="preserve">Division of </w:t>
      </w:r>
      <w:r w:rsidR="003C33B5">
        <w:t>Conference</w:t>
      </w:r>
      <w:r w:rsidRPr="002B3327">
        <w:t xml:space="preserve"> and Document Services</w:t>
      </w:r>
    </w:p>
    <w:p w14:paraId="3A3B51C4" w14:textId="77777777" w:rsidR="00C7512B" w:rsidRPr="002B3327" w:rsidRDefault="006D57B9" w:rsidP="00CE6439">
      <w:pPr>
        <w:pStyle w:val="BodyTextMultiline"/>
        <w:numPr>
          <w:ilvl w:val="0"/>
          <w:numId w:val="0"/>
        </w:numPr>
        <w:spacing w:after="0"/>
        <w:rPr>
          <w:szCs w:val="22"/>
          <w:lang w:eastAsia="en-GB"/>
        </w:rPr>
      </w:pPr>
      <w:r w:rsidRPr="002B3327">
        <w:t>Department of Management</w:t>
      </w:r>
    </w:p>
    <w:p w14:paraId="10BC9ACE" w14:textId="15179195" w:rsidR="00C7512B" w:rsidRPr="002B3327" w:rsidRDefault="006D57B9" w:rsidP="009E7870">
      <w:pPr>
        <w:pStyle w:val="BodyTextMultiline"/>
        <w:numPr>
          <w:ilvl w:val="0"/>
          <w:numId w:val="0"/>
        </w:numPr>
        <w:spacing w:after="0"/>
        <w:rPr>
          <w:szCs w:val="22"/>
          <w:lang w:eastAsia="en-GB"/>
        </w:rPr>
      </w:pPr>
      <w:r w:rsidRPr="002B3327">
        <w:rPr>
          <w:szCs w:val="22"/>
          <w:lang w:eastAsia="en-GB"/>
        </w:rPr>
        <w:t>IAEA-CN-</w:t>
      </w:r>
      <w:r w:rsidR="006B34CB" w:rsidRPr="002B3327">
        <w:rPr>
          <w:szCs w:val="22"/>
          <w:lang w:eastAsia="en-GB"/>
        </w:rPr>
        <w:t>2</w:t>
      </w:r>
      <w:r w:rsidR="002B3327">
        <w:rPr>
          <w:szCs w:val="22"/>
          <w:lang w:eastAsia="en-GB"/>
        </w:rPr>
        <w:t>3</w:t>
      </w:r>
      <w:r w:rsidR="009E7870">
        <w:rPr>
          <w:szCs w:val="22"/>
          <w:lang w:eastAsia="en-GB"/>
        </w:rPr>
        <w:t>8</w:t>
      </w:r>
    </w:p>
    <w:p w14:paraId="2E8B9911" w14:textId="77777777" w:rsidR="00C7512B" w:rsidRPr="002B3327" w:rsidRDefault="00C7512B" w:rsidP="00CE6439">
      <w:pPr>
        <w:pStyle w:val="BodyTextMultiline"/>
        <w:numPr>
          <w:ilvl w:val="0"/>
          <w:numId w:val="0"/>
        </w:numPr>
        <w:spacing w:after="0"/>
        <w:rPr>
          <w:szCs w:val="22"/>
          <w:lang w:eastAsia="en-GB"/>
        </w:rPr>
      </w:pPr>
      <w:r w:rsidRPr="002B3327">
        <w:rPr>
          <w:color w:val="000000"/>
          <w:szCs w:val="22"/>
          <w:lang w:eastAsia="en-GB"/>
        </w:rPr>
        <w:t xml:space="preserve">Tel.: +43 1 </w:t>
      </w:r>
      <w:r w:rsidRPr="002B3327">
        <w:rPr>
          <w:szCs w:val="22"/>
          <w:lang w:eastAsia="en-GB"/>
        </w:rPr>
        <w:t xml:space="preserve">2600 </w:t>
      </w:r>
      <w:r w:rsidR="006D57B9" w:rsidRPr="002B3327">
        <w:t>2131</w:t>
      </w:r>
      <w:r w:rsidR="002B3327">
        <w:t>7</w:t>
      </w:r>
    </w:p>
    <w:p w14:paraId="3C7BFEE9" w14:textId="77777777" w:rsidR="00C7512B" w:rsidRPr="002B3327" w:rsidRDefault="006D57B9" w:rsidP="00CE6439">
      <w:pPr>
        <w:pStyle w:val="BodyTextMultiline"/>
        <w:numPr>
          <w:ilvl w:val="0"/>
          <w:numId w:val="0"/>
        </w:numPr>
        <w:spacing w:after="0"/>
        <w:rPr>
          <w:color w:val="0000FF"/>
        </w:rPr>
      </w:pPr>
      <w:r w:rsidRPr="002B3327">
        <w:rPr>
          <w:color w:val="000000"/>
          <w:szCs w:val="22"/>
          <w:lang w:eastAsia="en-GB"/>
        </w:rPr>
        <w:t xml:space="preserve">Email: </w:t>
      </w:r>
      <w:hyperlink r:id="rId17" w:history="1">
        <w:r w:rsidR="002B3327" w:rsidRPr="00514386">
          <w:rPr>
            <w:rStyle w:val="Hyperlink"/>
            <w:szCs w:val="22"/>
            <w:lang w:eastAsia="en-GB"/>
          </w:rPr>
          <w:t>K.Morrison@iaea.org</w:t>
        </w:r>
      </w:hyperlink>
    </w:p>
    <w:p w14:paraId="7BEF1366" w14:textId="77777777" w:rsidR="00CC6750" w:rsidRPr="006D6DBC" w:rsidRDefault="00CC6750">
      <w:pPr>
        <w:overflowPunct/>
        <w:spacing w:after="120" w:line="276" w:lineRule="auto"/>
        <w:jc w:val="both"/>
        <w:textAlignment w:val="auto"/>
        <w:rPr>
          <w:color w:val="000000"/>
          <w:szCs w:val="22"/>
          <w:highlight w:val="yellow"/>
          <w:lang w:eastAsia="en-GB"/>
        </w:rPr>
      </w:pPr>
    </w:p>
    <w:p w14:paraId="1DC81955" w14:textId="4438CEC1" w:rsidR="00750DF0" w:rsidRPr="002B3327" w:rsidRDefault="00750DF0" w:rsidP="00FC2FB2">
      <w:pPr>
        <w:overflowPunct/>
        <w:spacing w:after="120" w:line="276" w:lineRule="auto"/>
        <w:jc w:val="both"/>
        <w:textAlignment w:val="auto"/>
        <w:rPr>
          <w:color w:val="000000"/>
          <w:szCs w:val="22"/>
          <w:lang w:eastAsia="en-GB"/>
        </w:rPr>
      </w:pPr>
      <w:r w:rsidRPr="002B3327">
        <w:rPr>
          <w:color w:val="000000"/>
          <w:szCs w:val="22"/>
          <w:lang w:eastAsia="en-GB"/>
        </w:rPr>
        <w:t>Subsequent correspondence on scientific matters</w:t>
      </w:r>
      <w:r w:rsidR="00CC6750" w:rsidRPr="002B3327">
        <w:rPr>
          <w:color w:val="000000"/>
          <w:szCs w:val="22"/>
          <w:lang w:eastAsia="en-GB"/>
        </w:rPr>
        <w:t xml:space="preserve"> </w:t>
      </w:r>
      <w:r w:rsidRPr="002B3327">
        <w:rPr>
          <w:color w:val="000000"/>
          <w:szCs w:val="22"/>
          <w:lang w:eastAsia="en-GB"/>
        </w:rPr>
        <w:t xml:space="preserve">should be sent to </w:t>
      </w:r>
      <w:r w:rsidR="008C3B22">
        <w:rPr>
          <w:color w:val="000000"/>
          <w:szCs w:val="22"/>
          <w:lang w:eastAsia="en-GB"/>
        </w:rPr>
        <w:t xml:space="preserve">either of </w:t>
      </w:r>
      <w:r w:rsidRPr="002B3327">
        <w:rPr>
          <w:color w:val="000000"/>
          <w:szCs w:val="22"/>
          <w:lang w:eastAsia="en-GB"/>
        </w:rPr>
        <w:t xml:space="preserve">the </w:t>
      </w:r>
      <w:bookmarkStart w:id="5" w:name="_Ref372051245"/>
      <w:r w:rsidRPr="002B3327">
        <w:rPr>
          <w:color w:val="000000"/>
          <w:szCs w:val="22"/>
          <w:lang w:eastAsia="en-GB"/>
        </w:rPr>
        <w:t>Scientific Secretar</w:t>
      </w:r>
      <w:bookmarkEnd w:id="5"/>
      <w:r w:rsidR="008C3B22">
        <w:rPr>
          <w:color w:val="000000"/>
          <w:szCs w:val="22"/>
          <w:lang w:eastAsia="en-GB"/>
        </w:rPr>
        <w:t>ies</w:t>
      </w:r>
      <w:r w:rsidR="006D57B9" w:rsidRPr="002B3327">
        <w:rPr>
          <w:color w:val="000000"/>
          <w:szCs w:val="22"/>
          <w:lang w:eastAsia="en-GB"/>
        </w:rPr>
        <w:t xml:space="preserve"> of the</w:t>
      </w:r>
      <w:r w:rsidRPr="002B3327">
        <w:rPr>
          <w:color w:val="000000"/>
          <w:szCs w:val="22"/>
          <w:lang w:eastAsia="en-GB"/>
        </w:rPr>
        <w:t xml:space="preserve"> </w:t>
      </w:r>
      <w:r w:rsidR="00FC2FB2">
        <w:rPr>
          <w:color w:val="000000"/>
          <w:szCs w:val="22"/>
          <w:lang w:eastAsia="en-GB"/>
        </w:rPr>
        <w:t>c</w:t>
      </w:r>
      <w:r w:rsidR="003C33B5">
        <w:rPr>
          <w:color w:val="000000"/>
          <w:szCs w:val="22"/>
          <w:lang w:eastAsia="en-GB"/>
        </w:rPr>
        <w:t>onference</w:t>
      </w:r>
      <w:r w:rsidR="006D57B9" w:rsidRPr="002B3327">
        <w:rPr>
          <w:color w:val="000000"/>
          <w:szCs w:val="22"/>
          <w:lang w:eastAsia="en-GB"/>
        </w:rPr>
        <w:t xml:space="preserve"> </w:t>
      </w:r>
      <w:r w:rsidRPr="002B3327">
        <w:rPr>
          <w:color w:val="000000"/>
          <w:szCs w:val="22"/>
          <w:lang w:eastAsia="en-GB"/>
        </w:rPr>
        <w:t>and</w:t>
      </w:r>
      <w:r w:rsidR="00E379C7" w:rsidRPr="002B3327">
        <w:rPr>
          <w:color w:val="000000"/>
          <w:szCs w:val="22"/>
          <w:lang w:eastAsia="en-GB"/>
        </w:rPr>
        <w:t xml:space="preserve"> </w:t>
      </w:r>
      <w:r w:rsidR="00CC6750" w:rsidRPr="002B3327">
        <w:rPr>
          <w:color w:val="000000"/>
          <w:szCs w:val="22"/>
          <w:lang w:eastAsia="en-GB"/>
        </w:rPr>
        <w:t xml:space="preserve">correspondence on </w:t>
      </w:r>
      <w:r w:rsidR="00F87858" w:rsidRPr="002B3327">
        <w:rPr>
          <w:color w:val="000000"/>
          <w:szCs w:val="22"/>
          <w:lang w:eastAsia="en-GB"/>
        </w:rPr>
        <w:t>administrative</w:t>
      </w:r>
      <w:r w:rsidRPr="002B3327">
        <w:rPr>
          <w:color w:val="000000"/>
          <w:szCs w:val="22"/>
          <w:lang w:eastAsia="en-GB"/>
        </w:rPr>
        <w:t xml:space="preserve"> matters </w:t>
      </w:r>
      <w:r w:rsidR="00CC6750" w:rsidRPr="002B3327">
        <w:rPr>
          <w:color w:val="000000"/>
          <w:szCs w:val="22"/>
          <w:lang w:eastAsia="en-GB"/>
        </w:rPr>
        <w:t xml:space="preserve">to the </w:t>
      </w:r>
      <w:r w:rsidR="00F87858" w:rsidRPr="002B3327">
        <w:rPr>
          <w:color w:val="000000"/>
          <w:szCs w:val="22"/>
          <w:lang w:eastAsia="en-GB"/>
        </w:rPr>
        <w:t xml:space="preserve">IAEA </w:t>
      </w:r>
      <w:r w:rsidR="003C33B5">
        <w:rPr>
          <w:color w:val="000000"/>
          <w:szCs w:val="22"/>
          <w:lang w:eastAsia="en-GB"/>
        </w:rPr>
        <w:t>Conference</w:t>
      </w:r>
      <w:r w:rsidR="00F87858" w:rsidRPr="002B3327">
        <w:rPr>
          <w:color w:val="000000"/>
          <w:szCs w:val="22"/>
          <w:lang w:eastAsia="en-GB"/>
        </w:rPr>
        <w:t xml:space="preserve"> Services Section</w:t>
      </w:r>
      <w:r w:rsidR="00260293" w:rsidRPr="002B3327">
        <w:rPr>
          <w:color w:val="000000"/>
          <w:szCs w:val="22"/>
          <w:lang w:eastAsia="en-GB"/>
        </w:rPr>
        <w:t>.</w:t>
      </w:r>
    </w:p>
    <w:p w14:paraId="20808D4D" w14:textId="77777777" w:rsidR="00CC6750" w:rsidRPr="002B3327" w:rsidRDefault="001C029D" w:rsidP="00CE6439">
      <w:pPr>
        <w:pStyle w:val="Heading1"/>
        <w:spacing w:line="276" w:lineRule="auto"/>
        <w:rPr>
          <w:lang w:eastAsia="en-GB"/>
        </w:rPr>
      </w:pPr>
      <w:bookmarkStart w:id="6" w:name="_Ref389037002"/>
      <w:r>
        <w:rPr>
          <w:lang w:eastAsia="en-GB"/>
        </w:rPr>
        <w:t>Conference</w:t>
      </w:r>
      <w:r w:rsidR="00CC6750" w:rsidRPr="002B3327">
        <w:rPr>
          <w:lang w:eastAsia="en-GB"/>
        </w:rPr>
        <w:t xml:space="preserve"> Web Page</w:t>
      </w:r>
      <w:bookmarkEnd w:id="6"/>
    </w:p>
    <w:p w14:paraId="7EB97805" w14:textId="5260A2D8" w:rsidR="006D57B9" w:rsidRDefault="006D57B9" w:rsidP="00FC2FB2">
      <w:pPr>
        <w:pStyle w:val="BodyText"/>
        <w:spacing w:line="276" w:lineRule="auto"/>
      </w:pPr>
      <w:r w:rsidRPr="002D4185">
        <w:t xml:space="preserve">Please visit the </w:t>
      </w:r>
      <w:r w:rsidR="00291FB2">
        <w:t>following</w:t>
      </w:r>
      <w:r w:rsidRPr="002D4185">
        <w:t xml:space="preserve"> web page regularly for new information regarding this </w:t>
      </w:r>
      <w:r w:rsidR="00FC2FB2">
        <w:t>c</w:t>
      </w:r>
      <w:r w:rsidR="003261B5">
        <w:t>onference</w:t>
      </w:r>
      <w:r w:rsidRPr="002D4185">
        <w:t>:</w:t>
      </w:r>
    </w:p>
    <w:p w14:paraId="2C3E48BC" w14:textId="77777777" w:rsidR="000F3D68" w:rsidRDefault="009150DA" w:rsidP="00CE6439">
      <w:pPr>
        <w:pStyle w:val="BodyText"/>
        <w:spacing w:line="276" w:lineRule="auto"/>
      </w:pPr>
      <w:hyperlink r:id="rId18" w:history="1">
        <w:r w:rsidR="003261B5" w:rsidRPr="003D04B2">
          <w:rPr>
            <w:rStyle w:val="Hyperlink"/>
          </w:rPr>
          <w:t>http://www-pub.iaea.org/iaeameetings/50801/International-Conference-on-Decommissioning-and-Environmental-Remediation</w:t>
        </w:r>
      </w:hyperlink>
    </w:p>
    <w:sectPr w:rsidR="000F3D68" w:rsidSect="001B708A">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3B03B" w14:textId="77777777" w:rsidR="00542195" w:rsidRDefault="00542195">
      <w:r>
        <w:separator/>
      </w:r>
    </w:p>
  </w:endnote>
  <w:endnote w:type="continuationSeparator" w:id="0">
    <w:p w14:paraId="4D13666D" w14:textId="77777777" w:rsidR="00542195" w:rsidRDefault="005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1755" w14:textId="77777777" w:rsidR="00542195" w:rsidRDefault="00542195">
      <w:r>
        <w:t>___________________________________________________________________________</w:t>
      </w:r>
    </w:p>
  </w:footnote>
  <w:footnote w:type="continuationSeparator" w:id="0">
    <w:p w14:paraId="7C0EF9D8" w14:textId="77777777" w:rsidR="00542195" w:rsidRDefault="00542195">
      <w:r>
        <w:t>___________________________________________________________________________</w:t>
      </w:r>
    </w:p>
  </w:footnote>
  <w:footnote w:type="continuationNotice" w:id="1">
    <w:p w14:paraId="7512094C" w14:textId="77777777" w:rsidR="00542195" w:rsidRDefault="00542195"/>
  </w:footnote>
  <w:footnote w:id="2">
    <w:p w14:paraId="6A37D537" w14:textId="0D12708F" w:rsidR="004A6B2D" w:rsidRDefault="004A6B2D">
      <w:pPr>
        <w:pStyle w:val="FootnoteText"/>
      </w:pPr>
      <w:r>
        <w:rPr>
          <w:rStyle w:val="FootnoteReference"/>
        </w:rPr>
        <w:footnoteRef/>
      </w:r>
      <w:r>
        <w:t xml:space="preserve"> Subject to confirmation</w:t>
      </w:r>
    </w:p>
  </w:footnote>
  <w:footnote w:id="3">
    <w:p w14:paraId="12F2EB6A" w14:textId="1376B18D" w:rsidR="00760069" w:rsidRDefault="00760069">
      <w:pPr>
        <w:pStyle w:val="FootnoteText"/>
      </w:pPr>
      <w:r>
        <w:rPr>
          <w:rStyle w:val="FootnoteReference"/>
        </w:rPr>
        <w:footnoteRef/>
      </w:r>
      <w:r>
        <w:t xml:space="preserve"> Subject to confirmation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C685" w14:textId="50D138F6" w:rsidR="00054917" w:rsidRDefault="00054917">
    <w:pPr>
      <w:pStyle w:val="Header"/>
      <w:spacing w:after="0"/>
      <w:rPr>
        <w:sz w:val="8"/>
      </w:rPr>
    </w:pPr>
    <w:r>
      <w:br/>
      <w:t xml:space="preserve">Page </w:t>
    </w:r>
    <w:r>
      <w:fldChar w:fldCharType="begin"/>
    </w:r>
    <w:r>
      <w:instrText xml:space="preserve"> PAGE </w:instrText>
    </w:r>
    <w:r>
      <w:fldChar w:fldCharType="separate"/>
    </w:r>
    <w:r w:rsidR="009150DA">
      <w:rPr>
        <w:noProof/>
      </w:rPr>
      <w:t>4</w:t>
    </w:r>
    <w:r>
      <w:fldChar w:fldCharType="end"/>
    </w:r>
    <w:r>
      <w:br/>
    </w:r>
  </w:p>
  <w:p w14:paraId="5E7BABE0" w14:textId="172C3165" w:rsidR="00054917" w:rsidRDefault="00C7425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AE07" w14:textId="77777777" w:rsidR="00054917" w:rsidRPr="003332DA" w:rsidRDefault="00054917" w:rsidP="003332DA">
    <w:pPr>
      <w:pStyle w:val="Header"/>
      <w:spacing w:after="0"/>
      <w:jc w:val="right"/>
      <w:rPr>
        <w:sz w:val="8"/>
        <w:szCs w:val="8"/>
      </w:rPr>
    </w:pPr>
    <w:r>
      <w:br/>
      <w:t xml:space="preserve">Page </w:t>
    </w:r>
    <w:r>
      <w:fldChar w:fldCharType="begin"/>
    </w:r>
    <w:r>
      <w:instrText xml:space="preserve"> PAGE </w:instrText>
    </w:r>
    <w:r>
      <w:fldChar w:fldCharType="separate"/>
    </w:r>
    <w:r w:rsidR="009150DA">
      <w:rPr>
        <w:noProof/>
      </w:rPr>
      <w:t>3</w:t>
    </w:r>
    <w:r>
      <w:fldChar w:fldCharType="end"/>
    </w:r>
    <w:r>
      <w:br/>
    </w:r>
  </w:p>
  <w:p w14:paraId="7A2D41FE" w14:textId="77777777" w:rsidR="00054917" w:rsidRDefault="00054917">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54917" w14:paraId="4E2E3063" w14:textId="77777777">
      <w:trPr>
        <w:cantSplit/>
        <w:trHeight w:val="716"/>
      </w:trPr>
      <w:tc>
        <w:tcPr>
          <w:tcW w:w="979" w:type="dxa"/>
          <w:vMerge w:val="restart"/>
        </w:tcPr>
        <w:p w14:paraId="41EC55A1" w14:textId="77777777" w:rsidR="00054917" w:rsidRDefault="00054917">
          <w:pPr>
            <w:spacing w:before="180"/>
            <w:ind w:left="17"/>
          </w:pPr>
        </w:p>
      </w:tc>
      <w:tc>
        <w:tcPr>
          <w:tcW w:w="3638" w:type="dxa"/>
          <w:vAlign w:val="bottom"/>
        </w:tcPr>
        <w:p w14:paraId="229DD9E8" w14:textId="77777777" w:rsidR="00054917" w:rsidRDefault="00054917">
          <w:pPr>
            <w:spacing w:after="20"/>
          </w:pPr>
        </w:p>
      </w:tc>
      <w:tc>
        <w:tcPr>
          <w:tcW w:w="5702" w:type="dxa"/>
          <w:vMerge w:val="restart"/>
          <w:tcMar>
            <w:right w:w="193" w:type="dxa"/>
          </w:tcMar>
        </w:tcPr>
        <w:p w14:paraId="1CBD59A6" w14:textId="77777777" w:rsidR="00054917" w:rsidRDefault="00054917">
          <w:pPr>
            <w:pStyle w:val="zyxConfidBlack"/>
            <w:framePr w:wrap="auto" w:vAnchor="margin" w:hAnchor="text" w:xAlign="left" w:yAlign="inline"/>
            <w:suppressOverlap w:val="0"/>
          </w:pPr>
          <w:bookmarkStart w:id="4" w:name="DOC_bkmClassification1"/>
        </w:p>
        <w:bookmarkEnd w:id="4"/>
        <w:p w14:paraId="2724E9E8" w14:textId="77777777" w:rsidR="00054917" w:rsidRDefault="00054917">
          <w:pPr>
            <w:pStyle w:val="zyxConfid2Red"/>
          </w:pPr>
        </w:p>
      </w:tc>
    </w:tr>
    <w:tr w:rsidR="00054917" w14:paraId="736841C1" w14:textId="77777777">
      <w:trPr>
        <w:cantSplit/>
        <w:trHeight w:val="167"/>
      </w:trPr>
      <w:tc>
        <w:tcPr>
          <w:tcW w:w="979" w:type="dxa"/>
          <w:vMerge/>
        </w:tcPr>
        <w:p w14:paraId="5D032E43" w14:textId="77777777" w:rsidR="00054917" w:rsidRDefault="00054917">
          <w:pPr>
            <w:spacing w:before="57"/>
          </w:pPr>
        </w:p>
      </w:tc>
      <w:tc>
        <w:tcPr>
          <w:tcW w:w="3638" w:type="dxa"/>
          <w:vAlign w:val="bottom"/>
        </w:tcPr>
        <w:p w14:paraId="5E12BA8C" w14:textId="77777777" w:rsidR="00054917" w:rsidRDefault="00054917">
          <w:pPr>
            <w:pStyle w:val="Heading9"/>
            <w:spacing w:before="0" w:after="10"/>
          </w:pPr>
        </w:p>
      </w:tc>
      <w:tc>
        <w:tcPr>
          <w:tcW w:w="5702" w:type="dxa"/>
          <w:vMerge/>
          <w:vAlign w:val="bottom"/>
        </w:tcPr>
        <w:p w14:paraId="0F8B7084" w14:textId="77777777" w:rsidR="00054917" w:rsidRDefault="00054917">
          <w:pPr>
            <w:pStyle w:val="Heading9"/>
            <w:spacing w:before="0" w:after="10"/>
          </w:pPr>
        </w:p>
      </w:tc>
    </w:tr>
  </w:tbl>
  <w:p w14:paraId="01AF8619" w14:textId="77777777" w:rsidR="00054917" w:rsidRDefault="00054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9BC07A7"/>
    <w:multiLevelType w:val="hybridMultilevel"/>
    <w:tmpl w:val="9A9A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CD52F0"/>
    <w:multiLevelType w:val="hybridMultilevel"/>
    <w:tmpl w:val="F2D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424E7DF8"/>
    <w:multiLevelType w:val="hybridMultilevel"/>
    <w:tmpl w:val="7C507140"/>
    <w:lvl w:ilvl="0" w:tplc="08090001">
      <w:start w:val="1"/>
      <w:numFmt w:val="bullet"/>
      <w:lvlText w:val=""/>
      <w:lvlJc w:val="left"/>
      <w:pPr>
        <w:ind w:left="927" w:hanging="360"/>
      </w:pPr>
      <w:rPr>
        <w:rFonts w:ascii="Symbol" w:hAnsi="Symbol" w:hint="default"/>
      </w:rPr>
    </w:lvl>
    <w:lvl w:ilvl="1" w:tplc="1E9CC74A">
      <w:numFmt w:val="bullet"/>
      <w:lvlText w:val="·"/>
      <w:lvlJc w:val="left"/>
      <w:pPr>
        <w:ind w:left="1647" w:hanging="360"/>
      </w:pPr>
      <w:rPr>
        <w:rFonts w:ascii="Times New Roman" w:eastAsia="SimSun" w:hAnsi="Times New Roman" w:cs="Times New Roman"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45C132B9"/>
    <w:multiLevelType w:val="hybridMultilevel"/>
    <w:tmpl w:val="50F8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8551C"/>
    <w:multiLevelType w:val="hybridMultilevel"/>
    <w:tmpl w:val="A7804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1D65B9"/>
    <w:multiLevelType w:val="multilevel"/>
    <w:tmpl w:val="DAEAD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7CB5681"/>
    <w:multiLevelType w:val="hybridMultilevel"/>
    <w:tmpl w:val="6C3A4D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4">
    <w:nsid w:val="74094F59"/>
    <w:multiLevelType w:val="multilevel"/>
    <w:tmpl w:val="BEE4D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D14389E"/>
    <w:multiLevelType w:val="hybridMultilevel"/>
    <w:tmpl w:val="9844DAFC"/>
    <w:lvl w:ilvl="0" w:tplc="8762308E">
      <w:start w:val="1"/>
      <w:numFmt w:val="upperLetter"/>
      <w:pStyle w:val="Heading1"/>
      <w:lvlText w:val="%1."/>
      <w:lvlJc w:val="left"/>
      <w:pPr>
        <w:ind w:left="1778"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num w:numId="1">
    <w:abstractNumId w:val="10"/>
  </w:num>
  <w:num w:numId="2">
    <w:abstractNumId w:val="2"/>
  </w:num>
  <w:num w:numId="3">
    <w:abstractNumId w:val="5"/>
  </w:num>
  <w:num w:numId="4">
    <w:abstractNumId w:val="12"/>
  </w:num>
  <w:num w:numId="5">
    <w:abstractNumId w:val="15"/>
  </w:num>
  <w:num w:numId="6">
    <w:abstractNumId w:val="0"/>
  </w:num>
  <w:num w:numId="7">
    <w:abstractNumId w:val="16"/>
  </w:num>
  <w:num w:numId="8">
    <w:abstractNumId w:val="4"/>
  </w:num>
  <w:num w:numId="9">
    <w:abstractNumId w:val="6"/>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7"/>
  </w:num>
  <w:num w:numId="15">
    <w:abstractNumId w:val="16"/>
  </w:num>
  <w:num w:numId="16">
    <w:abstractNumId w:val="9"/>
  </w:num>
  <w:num w:numId="17">
    <w:abstractNumId w:val="8"/>
  </w:num>
  <w:num w:numId="18">
    <w:abstractNumId w:val="16"/>
  </w:num>
  <w:num w:numId="19">
    <w:abstractNumId w:val="10"/>
  </w:num>
  <w:num w:numId="20">
    <w:abstractNumId w:val="10"/>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07007"/>
    <w:rsid w:val="00022806"/>
    <w:rsid w:val="000229AB"/>
    <w:rsid w:val="000266DC"/>
    <w:rsid w:val="00051557"/>
    <w:rsid w:val="00054917"/>
    <w:rsid w:val="00063CA6"/>
    <w:rsid w:val="000B4C79"/>
    <w:rsid w:val="000B4E9B"/>
    <w:rsid w:val="000C1D7B"/>
    <w:rsid w:val="000C6AEA"/>
    <w:rsid w:val="000C7DAF"/>
    <w:rsid w:val="000D4073"/>
    <w:rsid w:val="000D4173"/>
    <w:rsid w:val="000D4CAF"/>
    <w:rsid w:val="000E1B4C"/>
    <w:rsid w:val="000E3246"/>
    <w:rsid w:val="000E4286"/>
    <w:rsid w:val="000E5536"/>
    <w:rsid w:val="000F033E"/>
    <w:rsid w:val="000F0519"/>
    <w:rsid w:val="000F1D8F"/>
    <w:rsid w:val="000F3B85"/>
    <w:rsid w:val="000F3D68"/>
    <w:rsid w:val="000F3EDC"/>
    <w:rsid w:val="000F7E94"/>
    <w:rsid w:val="00110DC6"/>
    <w:rsid w:val="001114C8"/>
    <w:rsid w:val="00112E5A"/>
    <w:rsid w:val="0011636E"/>
    <w:rsid w:val="00125555"/>
    <w:rsid w:val="0013076F"/>
    <w:rsid w:val="00133BE5"/>
    <w:rsid w:val="0015429A"/>
    <w:rsid w:val="001636A1"/>
    <w:rsid w:val="00165B45"/>
    <w:rsid w:val="0017488A"/>
    <w:rsid w:val="001762D5"/>
    <w:rsid w:val="00186752"/>
    <w:rsid w:val="001911BE"/>
    <w:rsid w:val="001A14C1"/>
    <w:rsid w:val="001B20E0"/>
    <w:rsid w:val="001B708A"/>
    <w:rsid w:val="001B7884"/>
    <w:rsid w:val="001B7C8A"/>
    <w:rsid w:val="001C029D"/>
    <w:rsid w:val="001C061C"/>
    <w:rsid w:val="001F3F28"/>
    <w:rsid w:val="00213E0D"/>
    <w:rsid w:val="00231DAC"/>
    <w:rsid w:val="00235580"/>
    <w:rsid w:val="00243701"/>
    <w:rsid w:val="00245F9F"/>
    <w:rsid w:val="002530B0"/>
    <w:rsid w:val="00260293"/>
    <w:rsid w:val="0026679E"/>
    <w:rsid w:val="00274284"/>
    <w:rsid w:val="00274790"/>
    <w:rsid w:val="00276559"/>
    <w:rsid w:val="00277D75"/>
    <w:rsid w:val="00280868"/>
    <w:rsid w:val="00285CE5"/>
    <w:rsid w:val="00291FB2"/>
    <w:rsid w:val="002944CA"/>
    <w:rsid w:val="0029627C"/>
    <w:rsid w:val="002A63B1"/>
    <w:rsid w:val="002B3327"/>
    <w:rsid w:val="002C3F6D"/>
    <w:rsid w:val="002C3FD9"/>
    <w:rsid w:val="002D4185"/>
    <w:rsid w:val="002E120D"/>
    <w:rsid w:val="002E2C83"/>
    <w:rsid w:val="002E5688"/>
    <w:rsid w:val="002F3670"/>
    <w:rsid w:val="003102B1"/>
    <w:rsid w:val="00313E28"/>
    <w:rsid w:val="0031580D"/>
    <w:rsid w:val="003208EF"/>
    <w:rsid w:val="00322985"/>
    <w:rsid w:val="00323050"/>
    <w:rsid w:val="00325D30"/>
    <w:rsid w:val="003261B5"/>
    <w:rsid w:val="003332DA"/>
    <w:rsid w:val="00333966"/>
    <w:rsid w:val="00337B52"/>
    <w:rsid w:val="0034360D"/>
    <w:rsid w:val="00344471"/>
    <w:rsid w:val="00353F73"/>
    <w:rsid w:val="003560E8"/>
    <w:rsid w:val="00362111"/>
    <w:rsid w:val="003727A1"/>
    <w:rsid w:val="00385244"/>
    <w:rsid w:val="00385647"/>
    <w:rsid w:val="003A4CFD"/>
    <w:rsid w:val="003A5F7F"/>
    <w:rsid w:val="003B0083"/>
    <w:rsid w:val="003B1634"/>
    <w:rsid w:val="003B1DED"/>
    <w:rsid w:val="003B451B"/>
    <w:rsid w:val="003C33B5"/>
    <w:rsid w:val="003C6C01"/>
    <w:rsid w:val="003D10EE"/>
    <w:rsid w:val="003D255A"/>
    <w:rsid w:val="003E50FD"/>
    <w:rsid w:val="003F29DB"/>
    <w:rsid w:val="003F51F4"/>
    <w:rsid w:val="0040319F"/>
    <w:rsid w:val="00404898"/>
    <w:rsid w:val="00417044"/>
    <w:rsid w:val="00432D88"/>
    <w:rsid w:val="00437517"/>
    <w:rsid w:val="004523B4"/>
    <w:rsid w:val="00456E71"/>
    <w:rsid w:val="004620F4"/>
    <w:rsid w:val="00470373"/>
    <w:rsid w:val="004A6B2D"/>
    <w:rsid w:val="004B7480"/>
    <w:rsid w:val="004D5422"/>
    <w:rsid w:val="004E3032"/>
    <w:rsid w:val="004E663A"/>
    <w:rsid w:val="004E6B98"/>
    <w:rsid w:val="004F1AA7"/>
    <w:rsid w:val="005002E1"/>
    <w:rsid w:val="00512003"/>
    <w:rsid w:val="005250F7"/>
    <w:rsid w:val="00526958"/>
    <w:rsid w:val="00526EDB"/>
    <w:rsid w:val="005416E5"/>
    <w:rsid w:val="00542195"/>
    <w:rsid w:val="00544156"/>
    <w:rsid w:val="00544CCB"/>
    <w:rsid w:val="005530B7"/>
    <w:rsid w:val="005560D6"/>
    <w:rsid w:val="005716A9"/>
    <w:rsid w:val="00573C87"/>
    <w:rsid w:val="00580C57"/>
    <w:rsid w:val="00595DCB"/>
    <w:rsid w:val="005A6C65"/>
    <w:rsid w:val="005B313D"/>
    <w:rsid w:val="005B33B6"/>
    <w:rsid w:val="005B6836"/>
    <w:rsid w:val="005B6E72"/>
    <w:rsid w:val="005C2869"/>
    <w:rsid w:val="005C376C"/>
    <w:rsid w:val="005D422E"/>
    <w:rsid w:val="005D6BF1"/>
    <w:rsid w:val="005D7DCD"/>
    <w:rsid w:val="005E28D8"/>
    <w:rsid w:val="005E29CC"/>
    <w:rsid w:val="005E4066"/>
    <w:rsid w:val="005E4431"/>
    <w:rsid w:val="0060008F"/>
    <w:rsid w:val="006068B7"/>
    <w:rsid w:val="006117D0"/>
    <w:rsid w:val="00612E13"/>
    <w:rsid w:val="00613C9F"/>
    <w:rsid w:val="0062541E"/>
    <w:rsid w:val="0063750C"/>
    <w:rsid w:val="00637D08"/>
    <w:rsid w:val="0065368F"/>
    <w:rsid w:val="00654B12"/>
    <w:rsid w:val="00657734"/>
    <w:rsid w:val="006617F7"/>
    <w:rsid w:val="006720EC"/>
    <w:rsid w:val="006727C1"/>
    <w:rsid w:val="006766B1"/>
    <w:rsid w:val="00677520"/>
    <w:rsid w:val="00690D79"/>
    <w:rsid w:val="006910D1"/>
    <w:rsid w:val="00691893"/>
    <w:rsid w:val="006B3216"/>
    <w:rsid w:val="006B34CB"/>
    <w:rsid w:val="006B59F8"/>
    <w:rsid w:val="006C46BA"/>
    <w:rsid w:val="006D16CA"/>
    <w:rsid w:val="006D57B9"/>
    <w:rsid w:val="006D6DBC"/>
    <w:rsid w:val="006F4FE7"/>
    <w:rsid w:val="007033B7"/>
    <w:rsid w:val="007057EE"/>
    <w:rsid w:val="00707EC3"/>
    <w:rsid w:val="0071697A"/>
    <w:rsid w:val="0072693A"/>
    <w:rsid w:val="00740220"/>
    <w:rsid w:val="00741925"/>
    <w:rsid w:val="00742F46"/>
    <w:rsid w:val="00743E8B"/>
    <w:rsid w:val="007445DA"/>
    <w:rsid w:val="00750DF0"/>
    <w:rsid w:val="00760069"/>
    <w:rsid w:val="00765D30"/>
    <w:rsid w:val="00770502"/>
    <w:rsid w:val="00790B2D"/>
    <w:rsid w:val="007A12C6"/>
    <w:rsid w:val="007C12D0"/>
    <w:rsid w:val="007D0EDC"/>
    <w:rsid w:val="007D5D1E"/>
    <w:rsid w:val="007E59E8"/>
    <w:rsid w:val="007F4C05"/>
    <w:rsid w:val="008021D2"/>
    <w:rsid w:val="00802EC4"/>
    <w:rsid w:val="00804062"/>
    <w:rsid w:val="008064AB"/>
    <w:rsid w:val="00827F15"/>
    <w:rsid w:val="00834F95"/>
    <w:rsid w:val="008374EE"/>
    <w:rsid w:val="008529C1"/>
    <w:rsid w:val="00854F8F"/>
    <w:rsid w:val="00872568"/>
    <w:rsid w:val="00872A85"/>
    <w:rsid w:val="00874979"/>
    <w:rsid w:val="00883189"/>
    <w:rsid w:val="0089241A"/>
    <w:rsid w:val="00892FA5"/>
    <w:rsid w:val="00893D40"/>
    <w:rsid w:val="00897F1A"/>
    <w:rsid w:val="008B22A2"/>
    <w:rsid w:val="008B2E42"/>
    <w:rsid w:val="008B7ECA"/>
    <w:rsid w:val="008C3B22"/>
    <w:rsid w:val="008C5800"/>
    <w:rsid w:val="008C6877"/>
    <w:rsid w:val="008D2752"/>
    <w:rsid w:val="008D3425"/>
    <w:rsid w:val="008F0045"/>
    <w:rsid w:val="008F3152"/>
    <w:rsid w:val="008F4504"/>
    <w:rsid w:val="00900848"/>
    <w:rsid w:val="00902627"/>
    <w:rsid w:val="00905746"/>
    <w:rsid w:val="009150DA"/>
    <w:rsid w:val="009166E5"/>
    <w:rsid w:val="0092644A"/>
    <w:rsid w:val="00926A50"/>
    <w:rsid w:val="00930658"/>
    <w:rsid w:val="009477A2"/>
    <w:rsid w:val="00966101"/>
    <w:rsid w:val="0097283E"/>
    <w:rsid w:val="009771ED"/>
    <w:rsid w:val="009832AF"/>
    <w:rsid w:val="009943FA"/>
    <w:rsid w:val="009C37B2"/>
    <w:rsid w:val="009C42C8"/>
    <w:rsid w:val="009D0295"/>
    <w:rsid w:val="009D0B86"/>
    <w:rsid w:val="009D4831"/>
    <w:rsid w:val="009E26FF"/>
    <w:rsid w:val="009E7870"/>
    <w:rsid w:val="00A028C6"/>
    <w:rsid w:val="00A0323B"/>
    <w:rsid w:val="00A044BB"/>
    <w:rsid w:val="00A04B62"/>
    <w:rsid w:val="00A06942"/>
    <w:rsid w:val="00A105DE"/>
    <w:rsid w:val="00A163F7"/>
    <w:rsid w:val="00A22550"/>
    <w:rsid w:val="00A31BBE"/>
    <w:rsid w:val="00A4103B"/>
    <w:rsid w:val="00A47645"/>
    <w:rsid w:val="00A52871"/>
    <w:rsid w:val="00A66547"/>
    <w:rsid w:val="00A71A4C"/>
    <w:rsid w:val="00A756D2"/>
    <w:rsid w:val="00A84DD1"/>
    <w:rsid w:val="00A8772A"/>
    <w:rsid w:val="00AC2346"/>
    <w:rsid w:val="00AD11FA"/>
    <w:rsid w:val="00AD1CB2"/>
    <w:rsid w:val="00AE262E"/>
    <w:rsid w:val="00AF76A8"/>
    <w:rsid w:val="00B05CCC"/>
    <w:rsid w:val="00B071AB"/>
    <w:rsid w:val="00B11CE6"/>
    <w:rsid w:val="00B212A1"/>
    <w:rsid w:val="00B22304"/>
    <w:rsid w:val="00B279DC"/>
    <w:rsid w:val="00B27A03"/>
    <w:rsid w:val="00B330C0"/>
    <w:rsid w:val="00B41854"/>
    <w:rsid w:val="00B521CB"/>
    <w:rsid w:val="00B633E5"/>
    <w:rsid w:val="00B64059"/>
    <w:rsid w:val="00B676C2"/>
    <w:rsid w:val="00B77990"/>
    <w:rsid w:val="00B81415"/>
    <w:rsid w:val="00B91702"/>
    <w:rsid w:val="00BA4EE9"/>
    <w:rsid w:val="00BA7389"/>
    <w:rsid w:val="00BC3718"/>
    <w:rsid w:val="00BD1400"/>
    <w:rsid w:val="00BD2C37"/>
    <w:rsid w:val="00BD4A64"/>
    <w:rsid w:val="00BE2A76"/>
    <w:rsid w:val="00BF037B"/>
    <w:rsid w:val="00BF1060"/>
    <w:rsid w:val="00BF68CA"/>
    <w:rsid w:val="00BF734D"/>
    <w:rsid w:val="00C21AC1"/>
    <w:rsid w:val="00C27CE9"/>
    <w:rsid w:val="00C33DD1"/>
    <w:rsid w:val="00C3590B"/>
    <w:rsid w:val="00C35EEE"/>
    <w:rsid w:val="00C5689F"/>
    <w:rsid w:val="00C601A3"/>
    <w:rsid w:val="00C6168A"/>
    <w:rsid w:val="00C623B3"/>
    <w:rsid w:val="00C74250"/>
    <w:rsid w:val="00C7512B"/>
    <w:rsid w:val="00C813E3"/>
    <w:rsid w:val="00C8741C"/>
    <w:rsid w:val="00C90B72"/>
    <w:rsid w:val="00C927C9"/>
    <w:rsid w:val="00C929D3"/>
    <w:rsid w:val="00C974B9"/>
    <w:rsid w:val="00CA05E6"/>
    <w:rsid w:val="00CA4203"/>
    <w:rsid w:val="00CA5882"/>
    <w:rsid w:val="00CB204C"/>
    <w:rsid w:val="00CC6750"/>
    <w:rsid w:val="00CD25AE"/>
    <w:rsid w:val="00CD44A9"/>
    <w:rsid w:val="00CE5A52"/>
    <w:rsid w:val="00CE6439"/>
    <w:rsid w:val="00CF136E"/>
    <w:rsid w:val="00CF5174"/>
    <w:rsid w:val="00D15603"/>
    <w:rsid w:val="00D31DFE"/>
    <w:rsid w:val="00D32A9E"/>
    <w:rsid w:val="00D46ABC"/>
    <w:rsid w:val="00D55312"/>
    <w:rsid w:val="00D6010B"/>
    <w:rsid w:val="00D626A1"/>
    <w:rsid w:val="00DA0E8D"/>
    <w:rsid w:val="00DA46CA"/>
    <w:rsid w:val="00DC4155"/>
    <w:rsid w:val="00DC48D0"/>
    <w:rsid w:val="00DD0331"/>
    <w:rsid w:val="00DD5F8C"/>
    <w:rsid w:val="00DE2924"/>
    <w:rsid w:val="00E02D3E"/>
    <w:rsid w:val="00E12FF2"/>
    <w:rsid w:val="00E20E70"/>
    <w:rsid w:val="00E23813"/>
    <w:rsid w:val="00E2468C"/>
    <w:rsid w:val="00E24E0A"/>
    <w:rsid w:val="00E34CB6"/>
    <w:rsid w:val="00E379C7"/>
    <w:rsid w:val="00E51C44"/>
    <w:rsid w:val="00E54B23"/>
    <w:rsid w:val="00E633E6"/>
    <w:rsid w:val="00E64345"/>
    <w:rsid w:val="00E65547"/>
    <w:rsid w:val="00E73E8A"/>
    <w:rsid w:val="00E7421C"/>
    <w:rsid w:val="00E75F70"/>
    <w:rsid w:val="00E77634"/>
    <w:rsid w:val="00E94F21"/>
    <w:rsid w:val="00E96676"/>
    <w:rsid w:val="00EA2ACF"/>
    <w:rsid w:val="00ED540D"/>
    <w:rsid w:val="00EE75B5"/>
    <w:rsid w:val="00EF178E"/>
    <w:rsid w:val="00EF2892"/>
    <w:rsid w:val="00F00E69"/>
    <w:rsid w:val="00F14850"/>
    <w:rsid w:val="00F1752C"/>
    <w:rsid w:val="00F1761D"/>
    <w:rsid w:val="00F24260"/>
    <w:rsid w:val="00F24E42"/>
    <w:rsid w:val="00F342E2"/>
    <w:rsid w:val="00F40AA6"/>
    <w:rsid w:val="00F4545E"/>
    <w:rsid w:val="00F8351A"/>
    <w:rsid w:val="00F87858"/>
    <w:rsid w:val="00F952CC"/>
    <w:rsid w:val="00FC2FB2"/>
    <w:rsid w:val="00FC40C2"/>
    <w:rsid w:val="00FC43E7"/>
    <w:rsid w:val="00FD5FD6"/>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FBF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0045"/>
    <w:pPr>
      <w:keepNext/>
      <w:keepLines/>
      <w:widowControl w:val="0"/>
      <w:numPr>
        <w:numId w:val="7"/>
      </w:numPr>
      <w:spacing w:before="851" w:after="390" w:line="360" w:lineRule="exact"/>
      <w:ind w:left="0" w:firstLine="0"/>
      <w:outlineLvl w:val="0"/>
    </w:pPr>
    <w:rPr>
      <w:b/>
      <w:sz w:val="32"/>
      <w:lang w:eastAsia="en-US"/>
    </w:rPr>
  </w:style>
  <w:style w:type="paragraph" w:styleId="Heading2">
    <w:name w:val="heading 2"/>
    <w:next w:val="BodyTextMultiline"/>
    <w:qFormat/>
    <w:rsid w:val="00417044"/>
    <w:pPr>
      <w:keepNext/>
      <w:keepLines/>
      <w:widowControl w:val="0"/>
      <w:spacing w:before="480" w:after="170" w:line="280" w:lineRule="atLeast"/>
      <w:jc w:val="both"/>
      <w:outlineLvl w:val="1"/>
    </w:pPr>
    <w:rPr>
      <w:b/>
      <w:sz w:val="22"/>
      <w:szCs w:val="22"/>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3"/>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4"/>
      </w:numPr>
      <w:ind w:right="1134"/>
      <w:jc w:val="both"/>
    </w:pPr>
    <w:rPr>
      <w:sz w:val="22"/>
      <w:lang w:eastAsia="en-US"/>
    </w:rPr>
  </w:style>
  <w:style w:type="paragraph" w:customStyle="1" w:styleId="ListNumbered">
    <w:name w:val="List Numbered"/>
    <w:qFormat/>
    <w:pPr>
      <w:numPr>
        <w:numId w:val="5"/>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6"/>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004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customStyle="1" w:styleId="Default">
    <w:name w:val="Default"/>
    <w:rsid w:val="00344471"/>
    <w:pPr>
      <w:autoSpaceDE w:val="0"/>
      <w:autoSpaceDN w:val="0"/>
      <w:adjustRightInd w:val="0"/>
    </w:pPr>
    <w:rPr>
      <w:color w:val="000000"/>
      <w:sz w:val="24"/>
      <w:szCs w:val="24"/>
    </w:rPr>
  </w:style>
  <w:style w:type="paragraph" w:styleId="EndnoteText">
    <w:name w:val="endnote text"/>
    <w:basedOn w:val="Normal"/>
    <w:link w:val="EndnoteTextChar"/>
    <w:uiPriority w:val="49"/>
    <w:rsid w:val="00760069"/>
    <w:rPr>
      <w:sz w:val="20"/>
    </w:rPr>
  </w:style>
  <w:style w:type="character" w:customStyle="1" w:styleId="EndnoteTextChar">
    <w:name w:val="Endnote Text Char"/>
    <w:basedOn w:val="DefaultParagraphFont"/>
    <w:link w:val="EndnoteText"/>
    <w:uiPriority w:val="49"/>
    <w:rsid w:val="00760069"/>
    <w:rPr>
      <w:lang w:eastAsia="en-US"/>
    </w:rPr>
  </w:style>
  <w:style w:type="character" w:styleId="EndnoteReference">
    <w:name w:val="endnote reference"/>
    <w:basedOn w:val="DefaultParagraphFont"/>
    <w:uiPriority w:val="49"/>
    <w:rsid w:val="007600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0045"/>
    <w:pPr>
      <w:keepNext/>
      <w:keepLines/>
      <w:widowControl w:val="0"/>
      <w:numPr>
        <w:numId w:val="7"/>
      </w:numPr>
      <w:spacing w:before="851" w:after="390" w:line="360" w:lineRule="exact"/>
      <w:ind w:left="0" w:firstLine="0"/>
      <w:outlineLvl w:val="0"/>
    </w:pPr>
    <w:rPr>
      <w:b/>
      <w:sz w:val="32"/>
      <w:lang w:eastAsia="en-US"/>
    </w:rPr>
  </w:style>
  <w:style w:type="paragraph" w:styleId="Heading2">
    <w:name w:val="heading 2"/>
    <w:next w:val="BodyTextMultiline"/>
    <w:qFormat/>
    <w:rsid w:val="00417044"/>
    <w:pPr>
      <w:keepNext/>
      <w:keepLines/>
      <w:widowControl w:val="0"/>
      <w:spacing w:before="480" w:after="170" w:line="280" w:lineRule="atLeast"/>
      <w:jc w:val="both"/>
      <w:outlineLvl w:val="1"/>
    </w:pPr>
    <w:rPr>
      <w:b/>
      <w:sz w:val="22"/>
      <w:szCs w:val="22"/>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3"/>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4"/>
      </w:numPr>
      <w:ind w:right="1134"/>
      <w:jc w:val="both"/>
    </w:pPr>
    <w:rPr>
      <w:sz w:val="22"/>
      <w:lang w:eastAsia="en-US"/>
    </w:rPr>
  </w:style>
  <w:style w:type="paragraph" w:customStyle="1" w:styleId="ListNumbered">
    <w:name w:val="List Numbered"/>
    <w:qFormat/>
    <w:pPr>
      <w:numPr>
        <w:numId w:val="5"/>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6"/>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004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customStyle="1" w:styleId="Default">
    <w:name w:val="Default"/>
    <w:rsid w:val="00344471"/>
    <w:pPr>
      <w:autoSpaceDE w:val="0"/>
      <w:autoSpaceDN w:val="0"/>
      <w:adjustRightInd w:val="0"/>
    </w:pPr>
    <w:rPr>
      <w:color w:val="000000"/>
      <w:sz w:val="24"/>
      <w:szCs w:val="24"/>
    </w:rPr>
  </w:style>
  <w:style w:type="paragraph" w:styleId="EndnoteText">
    <w:name w:val="endnote text"/>
    <w:basedOn w:val="Normal"/>
    <w:link w:val="EndnoteTextChar"/>
    <w:uiPriority w:val="49"/>
    <w:rsid w:val="00760069"/>
    <w:rPr>
      <w:sz w:val="20"/>
    </w:rPr>
  </w:style>
  <w:style w:type="character" w:customStyle="1" w:styleId="EndnoteTextChar">
    <w:name w:val="Endnote Text Char"/>
    <w:basedOn w:val="DefaultParagraphFont"/>
    <w:link w:val="EndnoteText"/>
    <w:uiPriority w:val="49"/>
    <w:rsid w:val="00760069"/>
    <w:rPr>
      <w:lang w:eastAsia="en-US"/>
    </w:rPr>
  </w:style>
  <w:style w:type="character" w:styleId="EndnoteReference">
    <w:name w:val="endnote reference"/>
    <w:basedOn w:val="DefaultParagraphFont"/>
    <w:uiPriority w:val="49"/>
    <w:rsid w:val="00760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1074282653">
      <w:bodyDiv w:val="1"/>
      <w:marLeft w:val="0"/>
      <w:marRight w:val="0"/>
      <w:marTop w:val="0"/>
      <w:marBottom w:val="0"/>
      <w:divBdr>
        <w:top w:val="none" w:sz="0" w:space="0" w:color="auto"/>
        <w:left w:val="none" w:sz="0" w:space="0" w:color="auto"/>
        <w:bottom w:val="none" w:sz="0" w:space="0" w:color="auto"/>
        <w:right w:val="none" w:sz="0" w:space="0" w:color="auto"/>
      </w:divBdr>
    </w:div>
    <w:div w:id="1151873714">
      <w:bodyDiv w:val="1"/>
      <w:marLeft w:val="0"/>
      <w:marRight w:val="0"/>
      <w:marTop w:val="0"/>
      <w:marBottom w:val="0"/>
      <w:divBdr>
        <w:top w:val="none" w:sz="0" w:space="0" w:color="auto"/>
        <w:left w:val="none" w:sz="0" w:space="0" w:color="auto"/>
        <w:bottom w:val="none" w:sz="0" w:space="0" w:color="auto"/>
        <w:right w:val="none" w:sz="0" w:space="0" w:color="auto"/>
      </w:divBdr>
      <w:divsChild>
        <w:div w:id="284697949">
          <w:marLeft w:val="547"/>
          <w:marRight w:val="0"/>
          <w:marTop w:val="154"/>
          <w:marBottom w:val="0"/>
          <w:divBdr>
            <w:top w:val="none" w:sz="0" w:space="0" w:color="auto"/>
            <w:left w:val="none" w:sz="0" w:space="0" w:color="auto"/>
            <w:bottom w:val="none" w:sz="0" w:space="0" w:color="auto"/>
            <w:right w:val="none" w:sz="0" w:space="0" w:color="auto"/>
          </w:divBdr>
        </w:div>
        <w:div w:id="13924909">
          <w:marLeft w:val="547"/>
          <w:marRight w:val="0"/>
          <w:marTop w:val="154"/>
          <w:marBottom w:val="0"/>
          <w:divBdr>
            <w:top w:val="none" w:sz="0" w:space="0" w:color="auto"/>
            <w:left w:val="none" w:sz="0" w:space="0" w:color="auto"/>
            <w:bottom w:val="none" w:sz="0" w:space="0" w:color="auto"/>
            <w:right w:val="none" w:sz="0" w:space="0" w:color="auto"/>
          </w:divBdr>
        </w:div>
      </w:divsChild>
    </w:div>
    <w:div w:id="1287926583">
      <w:bodyDiv w:val="1"/>
      <w:marLeft w:val="0"/>
      <w:marRight w:val="0"/>
      <w:marTop w:val="0"/>
      <w:marBottom w:val="0"/>
      <w:divBdr>
        <w:top w:val="none" w:sz="0" w:space="0" w:color="auto"/>
        <w:left w:val="none" w:sz="0" w:space="0" w:color="auto"/>
        <w:bottom w:val="none" w:sz="0" w:space="0" w:color="auto"/>
        <w:right w:val="none" w:sz="0" w:space="0" w:color="auto"/>
      </w:divBdr>
    </w:div>
    <w:div w:id="1312173211">
      <w:bodyDiv w:val="1"/>
      <w:marLeft w:val="0"/>
      <w:marRight w:val="0"/>
      <w:marTop w:val="0"/>
      <w:marBottom w:val="0"/>
      <w:divBdr>
        <w:top w:val="none" w:sz="0" w:space="0" w:color="auto"/>
        <w:left w:val="none" w:sz="0" w:space="0" w:color="auto"/>
        <w:bottom w:val="none" w:sz="0" w:space="0" w:color="auto"/>
        <w:right w:val="none" w:sz="0" w:space="0" w:color="auto"/>
      </w:divBdr>
    </w:div>
    <w:div w:id="1371304296">
      <w:bodyDiv w:val="1"/>
      <w:marLeft w:val="0"/>
      <w:marRight w:val="0"/>
      <w:marTop w:val="0"/>
      <w:marBottom w:val="0"/>
      <w:divBdr>
        <w:top w:val="none" w:sz="0" w:space="0" w:color="auto"/>
        <w:left w:val="none" w:sz="0" w:space="0" w:color="auto"/>
        <w:bottom w:val="none" w:sz="0" w:space="0" w:color="auto"/>
        <w:right w:val="none" w:sz="0" w:space="0" w:color="auto"/>
      </w:divBdr>
    </w:div>
    <w:div w:id="1531259586">
      <w:bodyDiv w:val="1"/>
      <w:marLeft w:val="0"/>
      <w:marRight w:val="0"/>
      <w:marTop w:val="0"/>
      <w:marBottom w:val="0"/>
      <w:divBdr>
        <w:top w:val="none" w:sz="0" w:space="0" w:color="auto"/>
        <w:left w:val="none" w:sz="0" w:space="0" w:color="auto"/>
        <w:bottom w:val="none" w:sz="0" w:space="0" w:color="auto"/>
        <w:right w:val="none" w:sz="0" w:space="0" w:color="auto"/>
      </w:divBdr>
    </w:div>
    <w:div w:id="1607539085">
      <w:bodyDiv w:val="1"/>
      <w:marLeft w:val="0"/>
      <w:marRight w:val="0"/>
      <w:marTop w:val="0"/>
      <w:marBottom w:val="0"/>
      <w:divBdr>
        <w:top w:val="none" w:sz="0" w:space="0" w:color="auto"/>
        <w:left w:val="none" w:sz="0" w:space="0" w:color="auto"/>
        <w:bottom w:val="none" w:sz="0" w:space="0" w:color="auto"/>
        <w:right w:val="none" w:sz="0" w:space="0" w:color="auto"/>
      </w:divBdr>
    </w:div>
    <w:div w:id="2117364963">
      <w:bodyDiv w:val="1"/>
      <w:marLeft w:val="0"/>
      <w:marRight w:val="0"/>
      <w:marTop w:val="0"/>
      <w:marBottom w:val="0"/>
      <w:divBdr>
        <w:top w:val="none" w:sz="0" w:space="0" w:color="auto"/>
        <w:left w:val="none" w:sz="0" w:space="0" w:color="auto"/>
        <w:bottom w:val="none" w:sz="0" w:space="0" w:color="auto"/>
        <w:right w:val="none" w:sz="0" w:space="0" w:color="auto"/>
      </w:divBdr>
      <w:divsChild>
        <w:div w:id="11972793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ub.iaea.org/iaeameetings/50801/International-Conference-on-Decommissioning-and-Environmental-Remedi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yperlink" Target="mailto:K.Morrison@iaea.org" TargetMode="External"/><Relationship Id="rId2" Type="http://schemas.openxmlformats.org/officeDocument/2006/relationships/numbering" Target="numbering.xml"/><Relationship Id="rId16" Type="http://schemas.openxmlformats.org/officeDocument/2006/relationships/hyperlink" Target="mailto:Decommissioning-and-Environmental-Remediation-2016@iae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mail@iaea.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fficial.Mail@iae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0FB1-CEA3-4B53-BDCF-2557160C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8</Pages>
  <Words>2052</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O'SULLIVAN, Patrick Joseph</dc:creator>
  <cp:lastModifiedBy>MORRISON, Karen</cp:lastModifiedBy>
  <cp:revision>3</cp:revision>
  <cp:lastPrinted>2015-07-06T07:25:00Z</cp:lastPrinted>
  <dcterms:created xsi:type="dcterms:W3CDTF">2015-07-06T07:46:00Z</dcterms:created>
  <dcterms:modified xsi:type="dcterms:W3CDTF">2015-07-06T07:53:00Z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