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70" w:rsidRPr="006B59F8" w:rsidRDefault="00F1752C" w:rsidP="00F1752C">
      <w:pPr>
        <w:pStyle w:val="BodyText"/>
        <w:jc w:val="center"/>
        <w:rPr>
          <w:rFonts w:asciiTheme="minorHAnsi" w:hAnsiTheme="minorHAnsi" w:cstheme="minorHAnsi"/>
        </w:rPr>
      </w:pPr>
      <w:bookmarkStart w:id="0" w:name="_GoBack"/>
      <w:bookmarkEnd w:id="0"/>
      <w:r w:rsidRPr="00322985">
        <w:rPr>
          <w:rFonts w:asciiTheme="minorHAnsi" w:hAnsiTheme="minorHAnsi" w:cstheme="minorHAnsi"/>
          <w:noProof/>
          <w:lang w:eastAsia="en-GB"/>
        </w:rPr>
        <w:drawing>
          <wp:inline distT="0" distB="0" distL="0" distR="0" wp14:anchorId="219AF7B7" wp14:editId="511DDEED">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rsidR="00F1752C" w:rsidRPr="006B59F8" w:rsidRDefault="00F1752C" w:rsidP="00F1752C">
      <w:pPr>
        <w:pStyle w:val="BodyText"/>
        <w:spacing w:after="0" w:line="276" w:lineRule="auto"/>
        <w:jc w:val="center"/>
        <w:rPr>
          <w:b/>
          <w:sz w:val="28"/>
          <w:szCs w:val="28"/>
        </w:rPr>
      </w:pPr>
    </w:p>
    <w:p w:rsidR="00202948" w:rsidRDefault="00202948" w:rsidP="009E1D54">
      <w:pPr>
        <w:pStyle w:val="ListParagraph"/>
        <w:overflowPunct/>
        <w:autoSpaceDE/>
        <w:autoSpaceDN/>
        <w:adjustRightInd/>
        <w:ind w:left="770"/>
        <w:contextualSpacing w:val="0"/>
        <w:jc w:val="center"/>
        <w:textAlignment w:val="auto"/>
        <w:rPr>
          <w:b/>
          <w:bCs/>
          <w:sz w:val="42"/>
          <w:szCs w:val="42"/>
        </w:rPr>
      </w:pPr>
      <w:r w:rsidRPr="00202948">
        <w:rPr>
          <w:b/>
          <w:bCs/>
          <w:sz w:val="42"/>
          <w:szCs w:val="42"/>
        </w:rPr>
        <w:t>International Conference on</w:t>
      </w:r>
    </w:p>
    <w:p w:rsidR="00202948" w:rsidRDefault="00202948" w:rsidP="009E1D54">
      <w:pPr>
        <w:pStyle w:val="ListParagraph"/>
        <w:overflowPunct/>
        <w:autoSpaceDE/>
        <w:autoSpaceDN/>
        <w:adjustRightInd/>
        <w:ind w:left="770"/>
        <w:contextualSpacing w:val="0"/>
        <w:jc w:val="center"/>
        <w:textAlignment w:val="auto"/>
        <w:rPr>
          <w:b/>
          <w:bCs/>
          <w:sz w:val="42"/>
          <w:szCs w:val="42"/>
        </w:rPr>
      </w:pPr>
      <w:r w:rsidRPr="00202948">
        <w:rPr>
          <w:b/>
          <w:bCs/>
          <w:sz w:val="42"/>
          <w:szCs w:val="42"/>
        </w:rPr>
        <w:t xml:space="preserve">Human </w:t>
      </w:r>
      <w:r w:rsidR="00742BF1">
        <w:rPr>
          <w:b/>
          <w:bCs/>
          <w:sz w:val="42"/>
          <w:szCs w:val="42"/>
        </w:rPr>
        <w:t>and Organizational Aspects of Assuring</w:t>
      </w:r>
      <w:r>
        <w:rPr>
          <w:b/>
          <w:bCs/>
          <w:sz w:val="42"/>
          <w:szCs w:val="42"/>
        </w:rPr>
        <w:t xml:space="preserve"> Nuclear Safety </w:t>
      </w:r>
      <w:r w:rsidR="009E1D54">
        <w:rPr>
          <w:b/>
          <w:bCs/>
          <w:sz w:val="42"/>
          <w:szCs w:val="42"/>
        </w:rPr>
        <w:t>—</w:t>
      </w:r>
    </w:p>
    <w:p w:rsidR="00202948" w:rsidRPr="00202948" w:rsidRDefault="00F3641A" w:rsidP="009E1D54">
      <w:pPr>
        <w:pStyle w:val="ListParagraph"/>
        <w:overflowPunct/>
        <w:autoSpaceDE/>
        <w:autoSpaceDN/>
        <w:adjustRightInd/>
        <w:ind w:left="770"/>
        <w:contextualSpacing w:val="0"/>
        <w:jc w:val="center"/>
        <w:textAlignment w:val="auto"/>
        <w:rPr>
          <w:b/>
          <w:bCs/>
          <w:sz w:val="42"/>
          <w:szCs w:val="42"/>
        </w:rPr>
      </w:pPr>
      <w:r>
        <w:rPr>
          <w:b/>
          <w:bCs/>
          <w:sz w:val="42"/>
          <w:szCs w:val="42"/>
        </w:rPr>
        <w:t xml:space="preserve">Exploring </w:t>
      </w:r>
      <w:r w:rsidR="00202948" w:rsidRPr="00202948">
        <w:rPr>
          <w:b/>
          <w:bCs/>
          <w:sz w:val="42"/>
          <w:szCs w:val="42"/>
        </w:rPr>
        <w:t>30 Years of Safety Culture</w:t>
      </w:r>
    </w:p>
    <w:p w:rsidR="009943FA" w:rsidRPr="006B59F8" w:rsidRDefault="009943FA" w:rsidP="00202948">
      <w:pPr>
        <w:overflowPunct/>
        <w:spacing w:line="276" w:lineRule="auto"/>
        <w:jc w:val="center"/>
        <w:textAlignment w:val="auto"/>
        <w:rPr>
          <w:b/>
          <w:sz w:val="28"/>
          <w:szCs w:val="28"/>
        </w:rPr>
      </w:pPr>
    </w:p>
    <w:p w:rsidR="00F1752C" w:rsidRPr="00322985" w:rsidRDefault="00F1752C" w:rsidP="003B1DED">
      <w:pPr>
        <w:overflowPunct/>
        <w:spacing w:line="276" w:lineRule="auto"/>
        <w:jc w:val="center"/>
        <w:textAlignment w:val="auto"/>
        <w:rPr>
          <w:b/>
          <w:bCs/>
          <w:color w:val="000000"/>
          <w:sz w:val="28"/>
          <w:szCs w:val="28"/>
          <w:lang w:eastAsia="en-GB"/>
        </w:rPr>
      </w:pPr>
    </w:p>
    <w:p w:rsidR="003B1DED" w:rsidRPr="00322985" w:rsidRDefault="009943FA" w:rsidP="003B1DED">
      <w:pPr>
        <w:overflowPunct/>
        <w:spacing w:line="276" w:lineRule="auto"/>
        <w:jc w:val="center"/>
        <w:textAlignment w:val="auto"/>
        <w:rPr>
          <w:b/>
          <w:bCs/>
          <w:color w:val="000000"/>
          <w:sz w:val="28"/>
          <w:szCs w:val="28"/>
          <w:lang w:eastAsia="en-GB"/>
        </w:rPr>
      </w:pPr>
      <w:r w:rsidRPr="00322985">
        <w:rPr>
          <w:b/>
          <w:bCs/>
          <w:color w:val="000000"/>
          <w:sz w:val="28"/>
          <w:szCs w:val="28"/>
          <w:lang w:eastAsia="en-GB"/>
        </w:rPr>
        <w:t>IAEA Headquarters</w:t>
      </w:r>
    </w:p>
    <w:p w:rsidR="009943FA" w:rsidRPr="00322985" w:rsidRDefault="009943FA" w:rsidP="00B521CB">
      <w:pPr>
        <w:overflowPunct/>
        <w:spacing w:line="276" w:lineRule="auto"/>
        <w:jc w:val="center"/>
        <w:textAlignment w:val="auto"/>
        <w:rPr>
          <w:b/>
          <w:bCs/>
          <w:color w:val="000000"/>
          <w:sz w:val="28"/>
          <w:szCs w:val="28"/>
          <w:lang w:eastAsia="en-GB"/>
        </w:rPr>
      </w:pPr>
      <w:r w:rsidRPr="00322985">
        <w:rPr>
          <w:b/>
          <w:bCs/>
          <w:color w:val="000000"/>
          <w:sz w:val="28"/>
          <w:szCs w:val="28"/>
          <w:lang w:eastAsia="en-GB"/>
        </w:rPr>
        <w:t>Vienna, Austria</w:t>
      </w:r>
    </w:p>
    <w:p w:rsidR="003B1DED" w:rsidRPr="00322985" w:rsidRDefault="003B1DED" w:rsidP="00B521CB">
      <w:pPr>
        <w:overflowPunct/>
        <w:spacing w:line="276" w:lineRule="auto"/>
        <w:jc w:val="center"/>
        <w:textAlignment w:val="auto"/>
        <w:rPr>
          <w:b/>
          <w:bCs/>
          <w:color w:val="000000"/>
          <w:sz w:val="24"/>
          <w:szCs w:val="24"/>
          <w:lang w:eastAsia="en-GB"/>
        </w:rPr>
      </w:pPr>
    </w:p>
    <w:p w:rsidR="00362111" w:rsidRPr="00322985" w:rsidRDefault="00F45BEB" w:rsidP="006D57B9">
      <w:pPr>
        <w:overflowPunct/>
        <w:spacing w:line="276" w:lineRule="auto"/>
        <w:jc w:val="center"/>
        <w:textAlignment w:val="auto"/>
        <w:rPr>
          <w:b/>
          <w:bCs/>
          <w:sz w:val="28"/>
          <w:szCs w:val="28"/>
          <w:lang w:eastAsia="en-GB"/>
        </w:rPr>
      </w:pPr>
      <w:r>
        <w:rPr>
          <w:b/>
          <w:bCs/>
          <w:sz w:val="28"/>
          <w:szCs w:val="28"/>
        </w:rPr>
        <w:t>22</w:t>
      </w:r>
      <w:r w:rsidR="000C0370">
        <w:rPr>
          <w:b/>
          <w:bCs/>
          <w:sz w:val="28"/>
          <w:szCs w:val="28"/>
        </w:rPr>
        <w:t>–2</w:t>
      </w:r>
      <w:r>
        <w:rPr>
          <w:b/>
          <w:bCs/>
          <w:sz w:val="28"/>
          <w:szCs w:val="28"/>
        </w:rPr>
        <w:t>6</w:t>
      </w:r>
      <w:r w:rsidR="000C0370">
        <w:rPr>
          <w:b/>
          <w:bCs/>
          <w:sz w:val="28"/>
          <w:szCs w:val="28"/>
        </w:rPr>
        <w:t xml:space="preserve"> </w:t>
      </w:r>
      <w:r>
        <w:rPr>
          <w:b/>
          <w:bCs/>
          <w:sz w:val="28"/>
          <w:szCs w:val="28"/>
        </w:rPr>
        <w:t>February</w:t>
      </w:r>
      <w:r w:rsidR="000C0370">
        <w:rPr>
          <w:b/>
          <w:bCs/>
          <w:sz w:val="28"/>
          <w:szCs w:val="28"/>
        </w:rPr>
        <w:t xml:space="preserve"> </w:t>
      </w:r>
      <w:r w:rsidR="006D57B9" w:rsidRPr="00322985">
        <w:rPr>
          <w:b/>
          <w:bCs/>
          <w:sz w:val="28"/>
          <w:szCs w:val="28"/>
        </w:rPr>
        <w:t>201</w:t>
      </w:r>
      <w:r>
        <w:rPr>
          <w:b/>
          <w:bCs/>
          <w:sz w:val="28"/>
          <w:szCs w:val="28"/>
        </w:rPr>
        <w:t>6</w:t>
      </w:r>
    </w:p>
    <w:p w:rsidR="00F1752C" w:rsidRPr="00322985" w:rsidRDefault="00F1752C" w:rsidP="00B521CB">
      <w:pPr>
        <w:overflowPunct/>
        <w:spacing w:line="276" w:lineRule="auto"/>
        <w:jc w:val="center"/>
        <w:textAlignment w:val="auto"/>
        <w:rPr>
          <w:b/>
          <w:bCs/>
          <w:sz w:val="24"/>
          <w:szCs w:val="24"/>
        </w:rPr>
      </w:pPr>
    </w:p>
    <w:p w:rsidR="00276559" w:rsidRPr="00322985" w:rsidRDefault="00F1752C" w:rsidP="00C57127">
      <w:pPr>
        <w:overflowPunct/>
        <w:spacing w:line="276" w:lineRule="auto"/>
        <w:jc w:val="center"/>
        <w:textAlignment w:val="auto"/>
        <w:rPr>
          <w:b/>
          <w:bCs/>
          <w:sz w:val="24"/>
          <w:szCs w:val="24"/>
          <w:lang w:eastAsia="en-GB"/>
        </w:rPr>
      </w:pPr>
      <w:r w:rsidRPr="00322985">
        <w:rPr>
          <w:b/>
          <w:bCs/>
          <w:sz w:val="24"/>
          <w:szCs w:val="24"/>
        </w:rPr>
        <w:t>Ref. No</w:t>
      </w:r>
      <w:r w:rsidR="008B22A2">
        <w:rPr>
          <w:b/>
          <w:bCs/>
          <w:sz w:val="24"/>
          <w:szCs w:val="24"/>
        </w:rPr>
        <w:t>.</w:t>
      </w:r>
      <w:r w:rsidRPr="00322985">
        <w:rPr>
          <w:b/>
          <w:bCs/>
          <w:sz w:val="24"/>
          <w:szCs w:val="24"/>
        </w:rPr>
        <w:t xml:space="preserve">: </w:t>
      </w:r>
      <w:r w:rsidR="00C57127" w:rsidRPr="00060C39">
        <w:rPr>
          <w:b/>
          <w:bCs/>
          <w:sz w:val="24"/>
          <w:szCs w:val="24"/>
        </w:rPr>
        <w:t>IAEA</w:t>
      </w:r>
      <w:r w:rsidR="00920B19" w:rsidRPr="00060C39">
        <w:rPr>
          <w:b/>
          <w:bCs/>
          <w:sz w:val="24"/>
          <w:szCs w:val="24"/>
        </w:rPr>
        <w:t>-CN-2</w:t>
      </w:r>
      <w:r w:rsidR="00F45BEB">
        <w:rPr>
          <w:b/>
          <w:bCs/>
          <w:sz w:val="24"/>
          <w:szCs w:val="24"/>
        </w:rPr>
        <w:t>37</w:t>
      </w:r>
    </w:p>
    <w:p w:rsidR="00FD4511" w:rsidRDefault="00FD4511" w:rsidP="00FD4511">
      <w:pPr>
        <w:widowControl w:val="0"/>
        <w:spacing w:before="113" w:after="85"/>
        <w:jc w:val="center"/>
        <w:rPr>
          <w:rFonts w:eastAsia="Times New Roman" w:cs="Arial"/>
          <w:b/>
          <w:sz w:val="28"/>
          <w:szCs w:val="24"/>
        </w:rPr>
      </w:pPr>
    </w:p>
    <w:p w:rsidR="00276559" w:rsidRPr="00322985" w:rsidRDefault="00276559" w:rsidP="00B521CB">
      <w:pPr>
        <w:overflowPunct/>
        <w:spacing w:line="276" w:lineRule="auto"/>
        <w:jc w:val="center"/>
        <w:textAlignment w:val="auto"/>
        <w:rPr>
          <w:b/>
          <w:bCs/>
          <w:color w:val="000000"/>
          <w:sz w:val="28"/>
          <w:szCs w:val="28"/>
          <w:lang w:eastAsia="en-GB"/>
        </w:rPr>
      </w:pPr>
    </w:p>
    <w:p w:rsidR="00276559" w:rsidRPr="00322985" w:rsidRDefault="00333966" w:rsidP="006D57B9">
      <w:pPr>
        <w:overflowPunct/>
        <w:spacing w:line="276" w:lineRule="auto"/>
        <w:jc w:val="center"/>
        <w:textAlignment w:val="auto"/>
        <w:rPr>
          <w:b/>
          <w:bCs/>
          <w:sz w:val="36"/>
          <w:szCs w:val="36"/>
          <w:lang w:eastAsia="en-GB"/>
        </w:rPr>
      </w:pPr>
      <w:r w:rsidRPr="00322985">
        <w:rPr>
          <w:b/>
          <w:bCs/>
          <w:color w:val="000000"/>
          <w:sz w:val="36"/>
          <w:szCs w:val="36"/>
          <w:lang w:eastAsia="en-GB"/>
        </w:rPr>
        <w:t>Announcement</w:t>
      </w:r>
      <w:r w:rsidR="00B77990" w:rsidRPr="00322985">
        <w:rPr>
          <w:b/>
          <w:bCs/>
          <w:color w:val="000000"/>
          <w:sz w:val="36"/>
          <w:szCs w:val="36"/>
          <w:lang w:eastAsia="en-GB"/>
        </w:rPr>
        <w:t xml:space="preserve"> and Call for Papers</w:t>
      </w:r>
    </w:p>
    <w:p w:rsidR="007E5015" w:rsidRPr="009E1D54" w:rsidRDefault="006D57B9" w:rsidP="009E1D54">
      <w:pPr>
        <w:pStyle w:val="Heading1"/>
      </w:pPr>
      <w:r w:rsidRPr="009E1D54">
        <w:t>Background</w:t>
      </w:r>
    </w:p>
    <w:p w:rsidR="00D90716" w:rsidRDefault="008128ED" w:rsidP="0043708B">
      <w:pPr>
        <w:spacing w:after="170" w:line="280" w:lineRule="atLeast"/>
        <w:jc w:val="both"/>
      </w:pPr>
      <w:r>
        <w:t xml:space="preserve">The </w:t>
      </w:r>
      <w:r w:rsidR="009E1D54">
        <w:t>International Atomic Energy Agency (</w:t>
      </w:r>
      <w:r>
        <w:t>IAEA</w:t>
      </w:r>
      <w:r w:rsidR="009E1D54">
        <w:t>)</w:t>
      </w:r>
      <w:r>
        <w:t xml:space="preserve"> is </w:t>
      </w:r>
      <w:r w:rsidR="009E1D54">
        <w:t>organizing this conference</w:t>
      </w:r>
      <w:r>
        <w:t xml:space="preserve"> to reflect</w:t>
      </w:r>
      <w:r w:rsidR="009E1D54">
        <w:t xml:space="preserve"> on</w:t>
      </w:r>
      <w:r>
        <w:t xml:space="preserve"> and share experiences </w:t>
      </w:r>
      <w:r w:rsidR="009E1D54">
        <w:t xml:space="preserve">related to </w:t>
      </w:r>
      <w:r w:rsidR="0043708B">
        <w:t xml:space="preserve">the pivotal role </w:t>
      </w:r>
      <w:r w:rsidR="00E6304B">
        <w:t xml:space="preserve">that </w:t>
      </w:r>
      <w:r w:rsidR="00256D66">
        <w:t xml:space="preserve">human </w:t>
      </w:r>
      <w:r w:rsidR="0062181D">
        <w:t xml:space="preserve">and organizational aspects </w:t>
      </w:r>
      <w:r w:rsidR="00407833">
        <w:t>play in nuclear safety. It is recognized nowadays that</w:t>
      </w:r>
      <w:r w:rsidR="00256D66">
        <w:t xml:space="preserve"> </w:t>
      </w:r>
      <w:r w:rsidR="00407833">
        <w:t xml:space="preserve">nuclear </w:t>
      </w:r>
      <w:r w:rsidR="0099722C">
        <w:t xml:space="preserve">operations comprise a complex and dynamic </w:t>
      </w:r>
      <w:r w:rsidR="00256D66">
        <w:t xml:space="preserve">sociotechnical </w:t>
      </w:r>
      <w:r w:rsidR="00256D66" w:rsidRPr="00F3641A">
        <w:t>system</w:t>
      </w:r>
      <w:r w:rsidR="00407833" w:rsidRPr="00F3641A">
        <w:t>,</w:t>
      </w:r>
      <w:r w:rsidR="00256D66" w:rsidRPr="00F3641A">
        <w:t xml:space="preserve"> </w:t>
      </w:r>
      <w:r w:rsidR="00BF24BF" w:rsidRPr="00F3641A">
        <w:t>and</w:t>
      </w:r>
      <w:r w:rsidR="004266F7">
        <w:t xml:space="preserve"> that</w:t>
      </w:r>
      <w:r w:rsidR="00BF24BF" w:rsidRPr="00F3641A">
        <w:t xml:space="preserve"> </w:t>
      </w:r>
      <w:r w:rsidR="00407833" w:rsidRPr="00F3641A">
        <w:t>human and organizational factors</w:t>
      </w:r>
      <w:r w:rsidR="009E1D54" w:rsidRPr="00F3641A">
        <w:t xml:space="preserve"> (HOF)</w:t>
      </w:r>
      <w:r w:rsidR="00407833" w:rsidRPr="00F3641A">
        <w:t xml:space="preserve"> need</w:t>
      </w:r>
      <w:r w:rsidR="00BF24BF" w:rsidRPr="00F3641A">
        <w:t xml:space="preserve"> to be</w:t>
      </w:r>
      <w:r w:rsidR="00407833" w:rsidRPr="00F3641A">
        <w:t xml:space="preserve"> proactive</w:t>
      </w:r>
      <w:r w:rsidR="00BF24BF" w:rsidRPr="00F3641A">
        <w:t>ly</w:t>
      </w:r>
      <w:r w:rsidR="00407833" w:rsidRPr="00F3641A">
        <w:t xml:space="preserve"> </w:t>
      </w:r>
      <w:r w:rsidR="00BF24BF" w:rsidRPr="00F3641A">
        <w:t xml:space="preserve">managed </w:t>
      </w:r>
      <w:r w:rsidR="00DC032D" w:rsidRPr="00F3641A">
        <w:t xml:space="preserve">to </w:t>
      </w:r>
      <w:r w:rsidR="00407833" w:rsidRPr="00F3641A">
        <w:t>assur</w:t>
      </w:r>
      <w:r w:rsidR="00DC032D" w:rsidRPr="00F3641A">
        <w:t>e</w:t>
      </w:r>
      <w:r w:rsidR="00407833" w:rsidRPr="00F3641A">
        <w:t xml:space="preserve"> safe </w:t>
      </w:r>
      <w:r w:rsidR="00387DA0" w:rsidRPr="00F3641A">
        <w:t>performance. F</w:t>
      </w:r>
      <w:r w:rsidR="00256D66" w:rsidRPr="00F3641A">
        <w:t>or</w:t>
      </w:r>
      <w:r w:rsidR="00256D66">
        <w:t xml:space="preserve"> example</w:t>
      </w:r>
      <w:r w:rsidR="009E1D54">
        <w:t>,</w:t>
      </w:r>
      <w:r w:rsidR="00256D66">
        <w:t xml:space="preserve"> safety culture</w:t>
      </w:r>
      <w:r w:rsidR="00E745F2">
        <w:t xml:space="preserve"> </w:t>
      </w:r>
      <w:r w:rsidR="001B7D6F">
        <w:t xml:space="preserve">alongside </w:t>
      </w:r>
      <w:r w:rsidR="00DC032D">
        <w:t>HOF</w:t>
      </w:r>
      <w:r w:rsidR="00E745F2">
        <w:t xml:space="preserve"> </w:t>
      </w:r>
      <w:r w:rsidR="002C1277">
        <w:t>has become</w:t>
      </w:r>
      <w:r w:rsidR="00256D66">
        <w:t xml:space="preserve"> an integral part of defence in depth and </w:t>
      </w:r>
      <w:r w:rsidR="00DC032D">
        <w:t xml:space="preserve">is addressed </w:t>
      </w:r>
      <w:r w:rsidR="00256D66">
        <w:t xml:space="preserve">in the IAEA Safety Fundamentals </w:t>
      </w:r>
      <w:r w:rsidR="002C1277">
        <w:t xml:space="preserve">as well as in </w:t>
      </w:r>
      <w:r w:rsidR="00DC032D">
        <w:t xml:space="preserve">Safety Requirements publications in </w:t>
      </w:r>
      <w:r w:rsidR="002C1277">
        <w:t xml:space="preserve">the </w:t>
      </w:r>
      <w:r w:rsidR="00DC032D">
        <w:t xml:space="preserve">IAEA </w:t>
      </w:r>
      <w:r w:rsidR="002C1277">
        <w:t>Safety</w:t>
      </w:r>
      <w:r w:rsidR="00256D66">
        <w:t xml:space="preserve"> Standards </w:t>
      </w:r>
      <w:r w:rsidR="00DC032D">
        <w:t>Series</w:t>
      </w:r>
      <w:r w:rsidR="00E745F2">
        <w:t>.</w:t>
      </w:r>
      <w:r w:rsidR="00C80297">
        <w:t xml:space="preserve"> The human </w:t>
      </w:r>
      <w:r w:rsidR="0062181D">
        <w:t>and organizational</w:t>
      </w:r>
      <w:r w:rsidR="00E745F2">
        <w:t xml:space="preserve"> capabilities</w:t>
      </w:r>
      <w:r w:rsidR="00C80297">
        <w:t xml:space="preserve"> for assuring safety </w:t>
      </w:r>
      <w:r w:rsidR="00DC032D">
        <w:t xml:space="preserve">have </w:t>
      </w:r>
      <w:r w:rsidR="00C80297">
        <w:t xml:space="preserve">been developed over many years and </w:t>
      </w:r>
      <w:r w:rsidR="00DC032D">
        <w:t xml:space="preserve">have </w:t>
      </w:r>
      <w:r w:rsidR="00C80297">
        <w:t xml:space="preserve">progressed </w:t>
      </w:r>
      <w:r w:rsidR="00DC032D">
        <w:t xml:space="preserve">thanks to the </w:t>
      </w:r>
      <w:r w:rsidR="00C80297">
        <w:t xml:space="preserve">lessons learned </w:t>
      </w:r>
      <w:r w:rsidR="00387DA0">
        <w:t xml:space="preserve">especially </w:t>
      </w:r>
      <w:r w:rsidR="00C80297">
        <w:t>from</w:t>
      </w:r>
      <w:r w:rsidR="002C1277">
        <w:t xml:space="preserve"> events and</w:t>
      </w:r>
      <w:r w:rsidR="00C80297">
        <w:t xml:space="preserve"> accidents. </w:t>
      </w:r>
      <w:r w:rsidR="001B7D6F">
        <w:t xml:space="preserve">Reviewing the progress </w:t>
      </w:r>
      <w:r w:rsidR="004266F7">
        <w:t xml:space="preserve">achieved after assimilating </w:t>
      </w:r>
      <w:r w:rsidR="001B7D6F">
        <w:t>these hard lessons</w:t>
      </w:r>
      <w:r w:rsidR="00DC032D">
        <w:t>,</w:t>
      </w:r>
      <w:r w:rsidR="001B7D6F">
        <w:t xml:space="preserve"> we find that</w:t>
      </w:r>
      <w:r w:rsidR="00DC032D">
        <w:t xml:space="preserve"> the</w:t>
      </w:r>
      <w:r w:rsidR="001B7D6F">
        <w:t xml:space="preserve"> </w:t>
      </w:r>
      <w:r w:rsidR="00C80297">
        <w:t xml:space="preserve">Three Mile Island </w:t>
      </w:r>
      <w:r w:rsidR="00387DA0">
        <w:t xml:space="preserve">accident </w:t>
      </w:r>
      <w:r w:rsidR="00DC032D">
        <w:t xml:space="preserve">(1979) highlighted </w:t>
      </w:r>
      <w:r w:rsidR="001B7D6F">
        <w:t>the</w:t>
      </w:r>
      <w:r w:rsidR="00C80297">
        <w:t xml:space="preserve"> importance of human factor</w:t>
      </w:r>
      <w:r w:rsidR="001B7D6F">
        <w:t xml:space="preserve">s </w:t>
      </w:r>
      <w:r w:rsidR="00DC032D">
        <w:t xml:space="preserve">in the </w:t>
      </w:r>
      <w:r w:rsidR="001B7D6F">
        <w:t xml:space="preserve">design of equipment and </w:t>
      </w:r>
      <w:r w:rsidR="001B7D6F">
        <w:lastRenderedPageBreak/>
        <w:t xml:space="preserve">interfaces, </w:t>
      </w:r>
      <w:r w:rsidR="00DC032D">
        <w:t xml:space="preserve">as well as </w:t>
      </w:r>
      <w:r w:rsidR="001B7D6F">
        <w:t>the importance of operator training for responding to abnormal situations.</w:t>
      </w:r>
      <w:r w:rsidR="00C80297">
        <w:t xml:space="preserve"> </w:t>
      </w:r>
      <w:r w:rsidR="0003331E" w:rsidRPr="009D7B44">
        <w:t xml:space="preserve">Thirty years </w:t>
      </w:r>
      <w:r w:rsidR="00C80297">
        <w:t>ago</w:t>
      </w:r>
      <w:r w:rsidR="00DC032D">
        <w:t>,</w:t>
      </w:r>
      <w:r w:rsidR="00C80297">
        <w:t xml:space="preserve"> the Chernobyl </w:t>
      </w:r>
      <w:r w:rsidR="004266F7">
        <w:t>a</w:t>
      </w:r>
      <w:r w:rsidR="00C80297">
        <w:t>ccident was investigated by the I</w:t>
      </w:r>
      <w:r w:rsidR="0003331E" w:rsidRPr="009D7B44">
        <w:t xml:space="preserve">nternational Nuclear Safety Advisory Group </w:t>
      </w:r>
      <w:r w:rsidR="003A7F54" w:rsidRPr="009D7B44">
        <w:t>(now known as the International Nuclear Safety Group (</w:t>
      </w:r>
      <w:r w:rsidR="0003331E" w:rsidRPr="009D7B44">
        <w:t>INSAG)</w:t>
      </w:r>
      <w:r w:rsidR="003A7F54" w:rsidRPr="009D7B44">
        <w:t>)</w:t>
      </w:r>
      <w:r w:rsidR="00DC032D">
        <w:t>, which</w:t>
      </w:r>
      <w:r w:rsidR="0003331E" w:rsidRPr="009D7B44">
        <w:t xml:space="preserve"> </w:t>
      </w:r>
      <w:r w:rsidR="00DC032D">
        <w:t>concluded</w:t>
      </w:r>
      <w:r w:rsidR="00DC032D" w:rsidRPr="009D7B44">
        <w:t xml:space="preserve"> </w:t>
      </w:r>
      <w:r w:rsidR="00D90716">
        <w:t xml:space="preserve">that </w:t>
      </w:r>
      <w:r w:rsidR="00C80297" w:rsidRPr="009D7B44">
        <w:t xml:space="preserve">one of the key lessons learned </w:t>
      </w:r>
      <w:r w:rsidR="00C80297">
        <w:t xml:space="preserve">was the importance of </w:t>
      </w:r>
      <w:r w:rsidR="001B7D6F">
        <w:t xml:space="preserve">a </w:t>
      </w:r>
      <w:r w:rsidR="00C80297">
        <w:t xml:space="preserve">strong </w:t>
      </w:r>
      <w:r w:rsidR="0003331E" w:rsidRPr="009D7B44">
        <w:t>‘safety culture’</w:t>
      </w:r>
      <w:r w:rsidR="001B7D6F">
        <w:t xml:space="preserve"> to maintain safe operation. </w:t>
      </w:r>
      <w:r w:rsidR="00DC032D">
        <w:t>F</w:t>
      </w:r>
      <w:r w:rsidR="00C80297">
        <w:t>ive years ha</w:t>
      </w:r>
      <w:r w:rsidR="00DC032D">
        <w:t xml:space="preserve">ve now </w:t>
      </w:r>
      <w:r w:rsidR="00C80297">
        <w:t>passed since</w:t>
      </w:r>
      <w:r w:rsidR="00DC032D">
        <w:t xml:space="preserve"> the</w:t>
      </w:r>
      <w:r w:rsidR="00C80297">
        <w:t xml:space="preserve"> Fukushima </w:t>
      </w:r>
      <w:r w:rsidR="00A93B13">
        <w:t>Daiichi</w:t>
      </w:r>
      <w:r w:rsidR="00DC032D">
        <w:t xml:space="preserve"> accident,</w:t>
      </w:r>
      <w:r w:rsidR="00A93B13">
        <w:t xml:space="preserve"> </w:t>
      </w:r>
      <w:r w:rsidR="00C80297">
        <w:t xml:space="preserve">and </w:t>
      </w:r>
      <w:r w:rsidR="00D90716">
        <w:t xml:space="preserve">the </w:t>
      </w:r>
      <w:r w:rsidR="00DC032D">
        <w:t xml:space="preserve">need to </w:t>
      </w:r>
      <w:r w:rsidR="00BF24BF">
        <w:t xml:space="preserve">implement </w:t>
      </w:r>
      <w:r w:rsidR="00D90716">
        <w:t>a systemic approach to safety</w:t>
      </w:r>
      <w:r w:rsidR="00DC032D">
        <w:t>,</w:t>
      </w:r>
      <w:r w:rsidR="00E745F2">
        <w:t xml:space="preserve"> i.e. the interaction between humans, technology and organizations </w:t>
      </w:r>
      <w:r w:rsidR="00D90716">
        <w:t xml:space="preserve">within the national nuclear infrastructure is one of the main lessons </w:t>
      </w:r>
      <w:r w:rsidR="001B7D6F">
        <w:t>emerging from the investigations.</w:t>
      </w:r>
      <w:r w:rsidR="00D90716">
        <w:rPr>
          <w:rStyle w:val="FootnoteReference"/>
        </w:rPr>
        <w:footnoteReference w:id="2"/>
      </w:r>
    </w:p>
    <w:p w:rsidR="00737C1A" w:rsidRDefault="00722CBA" w:rsidP="00BF24BF">
      <w:pPr>
        <w:spacing w:after="170" w:line="280" w:lineRule="atLeast"/>
        <w:jc w:val="both"/>
      </w:pPr>
      <w:r w:rsidRPr="009D7B44">
        <w:t xml:space="preserve">The </w:t>
      </w:r>
      <w:r>
        <w:t>IAEA</w:t>
      </w:r>
      <w:r w:rsidRPr="009D7B44">
        <w:t xml:space="preserve"> has </w:t>
      </w:r>
      <w:r>
        <w:t xml:space="preserve">supported </w:t>
      </w:r>
      <w:r w:rsidR="00DC032D">
        <w:t xml:space="preserve">its </w:t>
      </w:r>
      <w:r>
        <w:t xml:space="preserve">Member States in </w:t>
      </w:r>
      <w:r w:rsidRPr="009D7B44">
        <w:t>promot</w:t>
      </w:r>
      <w:r>
        <w:t>ing and fostering</w:t>
      </w:r>
      <w:r w:rsidRPr="009D7B44">
        <w:t xml:space="preserve"> </w:t>
      </w:r>
      <w:r w:rsidR="00DC032D">
        <w:t xml:space="preserve">the </w:t>
      </w:r>
      <w:r w:rsidRPr="009D7B44">
        <w:t xml:space="preserve">exchange of scientific information and practical </w:t>
      </w:r>
      <w:r>
        <w:t>approaches</w:t>
      </w:r>
      <w:r w:rsidRPr="009D7B44">
        <w:t xml:space="preserve"> on </w:t>
      </w:r>
      <w:r>
        <w:t xml:space="preserve">how to </w:t>
      </w:r>
      <w:r w:rsidRPr="009D7B44">
        <w:t>improv</w:t>
      </w:r>
      <w:r>
        <w:t>e</w:t>
      </w:r>
      <w:r w:rsidRPr="009D7B44">
        <w:t xml:space="preserve"> safety culture </w:t>
      </w:r>
      <w:r>
        <w:t>since the concept</w:t>
      </w:r>
      <w:r w:rsidRPr="009D7B44">
        <w:rPr>
          <w:lang w:val="en"/>
        </w:rPr>
        <w:t xml:space="preserve"> was formally defined in </w:t>
      </w:r>
      <w:r w:rsidR="00DC032D">
        <w:rPr>
          <w:lang w:val="en"/>
        </w:rPr>
        <w:t xml:space="preserve">the </w:t>
      </w:r>
      <w:r w:rsidRPr="009D7B44">
        <w:rPr>
          <w:lang w:val="en"/>
        </w:rPr>
        <w:t xml:space="preserve">INSAG </w:t>
      </w:r>
      <w:r w:rsidR="00DC032D">
        <w:rPr>
          <w:lang w:val="en"/>
        </w:rPr>
        <w:t>report</w:t>
      </w:r>
      <w:r w:rsidRPr="009D7B44">
        <w:rPr>
          <w:lang w:val="en"/>
        </w:rPr>
        <w:t xml:space="preserve"> </w:t>
      </w:r>
      <w:r w:rsidRPr="00BF24BF">
        <w:rPr>
          <w:i/>
          <w:iCs/>
          <w:lang w:val="en"/>
        </w:rPr>
        <w:t>Safety Culture</w:t>
      </w:r>
      <w:r w:rsidRPr="009D7B44">
        <w:rPr>
          <w:lang w:val="en"/>
        </w:rPr>
        <w:t xml:space="preserve"> (Safety Series No.</w:t>
      </w:r>
      <w:r w:rsidR="004266F7">
        <w:rPr>
          <w:lang w:val="en"/>
        </w:rPr>
        <w:t> </w:t>
      </w:r>
      <w:r w:rsidRPr="009D7B44">
        <w:rPr>
          <w:lang w:val="en"/>
        </w:rPr>
        <w:t xml:space="preserve">75-INSAG-4, </w:t>
      </w:r>
      <w:r w:rsidR="00DC032D">
        <w:rPr>
          <w:lang w:val="en"/>
        </w:rPr>
        <w:t xml:space="preserve">IAEA, Vienna, </w:t>
      </w:r>
      <w:r w:rsidRPr="009D7B44">
        <w:rPr>
          <w:lang w:val="en"/>
        </w:rPr>
        <w:t>1991)</w:t>
      </w:r>
      <w:r>
        <w:rPr>
          <w:lang w:val="en"/>
        </w:rPr>
        <w:t>. The</w:t>
      </w:r>
      <w:r w:rsidRPr="009D7B44">
        <w:rPr>
          <w:lang w:val="en"/>
        </w:rPr>
        <w:t xml:space="preserve"> concept has </w:t>
      </w:r>
      <w:r>
        <w:rPr>
          <w:lang w:val="en"/>
        </w:rPr>
        <w:t xml:space="preserve">been formalized into </w:t>
      </w:r>
      <w:r w:rsidR="00DC032D">
        <w:rPr>
          <w:lang w:val="en"/>
        </w:rPr>
        <w:t>s</w:t>
      </w:r>
      <w:r w:rsidRPr="009D7B44">
        <w:rPr>
          <w:lang w:val="en"/>
        </w:rPr>
        <w:t xml:space="preserve">afety </w:t>
      </w:r>
      <w:r w:rsidR="00DC032D">
        <w:rPr>
          <w:lang w:val="en"/>
        </w:rPr>
        <w:t>r</w:t>
      </w:r>
      <w:r w:rsidRPr="009D7B44">
        <w:rPr>
          <w:lang w:val="en"/>
        </w:rPr>
        <w:t>equirements</w:t>
      </w:r>
      <w:r w:rsidR="00DC032D">
        <w:rPr>
          <w:lang w:val="en"/>
        </w:rPr>
        <w:t xml:space="preserve"> for governments, regulatory bodies as well as licensees.</w:t>
      </w:r>
      <w:r>
        <w:rPr>
          <w:rStyle w:val="FootnoteReference"/>
          <w:lang w:val="en"/>
        </w:rPr>
        <w:footnoteReference w:id="3"/>
      </w:r>
      <w:r w:rsidRPr="009D7B44">
        <w:rPr>
          <w:lang w:val="en"/>
        </w:rPr>
        <w:t xml:space="preserve"> </w:t>
      </w:r>
      <w:r w:rsidR="00DC032D">
        <w:rPr>
          <w:lang w:val="en"/>
        </w:rPr>
        <w:t>In</w:t>
      </w:r>
      <w:r>
        <w:rPr>
          <w:lang w:val="en"/>
        </w:rPr>
        <w:t xml:space="preserve"> recent year</w:t>
      </w:r>
      <w:r w:rsidR="000B369E">
        <w:rPr>
          <w:lang w:val="en"/>
        </w:rPr>
        <w:t>s</w:t>
      </w:r>
      <w:r w:rsidR="00DC032D">
        <w:rPr>
          <w:lang w:val="en"/>
        </w:rPr>
        <w:t>,</w:t>
      </w:r>
      <w:r>
        <w:rPr>
          <w:lang w:val="en"/>
        </w:rPr>
        <w:t xml:space="preserve"> </w:t>
      </w:r>
      <w:r w:rsidR="00DC032D">
        <w:rPr>
          <w:lang w:val="en"/>
        </w:rPr>
        <w:t xml:space="preserve">the </w:t>
      </w:r>
      <w:r>
        <w:rPr>
          <w:lang w:val="en"/>
        </w:rPr>
        <w:t>IAEA</w:t>
      </w:r>
      <w:r w:rsidR="00DC032D">
        <w:rPr>
          <w:lang w:val="en"/>
        </w:rPr>
        <w:t>’</w:t>
      </w:r>
      <w:r>
        <w:rPr>
          <w:lang w:val="en"/>
        </w:rPr>
        <w:t xml:space="preserve">s work has been focused on </w:t>
      </w:r>
      <w:r w:rsidR="00CF7C63">
        <w:rPr>
          <w:lang w:val="en"/>
        </w:rPr>
        <w:t>a s</w:t>
      </w:r>
      <w:r>
        <w:rPr>
          <w:lang w:val="en"/>
        </w:rPr>
        <w:t xml:space="preserve">ystemic </w:t>
      </w:r>
      <w:r w:rsidR="00CF7C63">
        <w:rPr>
          <w:lang w:val="en"/>
        </w:rPr>
        <w:t>a</w:t>
      </w:r>
      <w:r>
        <w:rPr>
          <w:lang w:val="en"/>
        </w:rPr>
        <w:t xml:space="preserve">pproach to </w:t>
      </w:r>
      <w:r w:rsidR="00CF7C63">
        <w:rPr>
          <w:lang w:val="en"/>
        </w:rPr>
        <w:t>s</w:t>
      </w:r>
      <w:r>
        <w:rPr>
          <w:lang w:val="en"/>
        </w:rPr>
        <w:t xml:space="preserve">afety and </w:t>
      </w:r>
      <w:r w:rsidR="00CF7C63">
        <w:rPr>
          <w:lang w:val="en"/>
        </w:rPr>
        <w:t xml:space="preserve">the </w:t>
      </w:r>
      <w:r>
        <w:rPr>
          <w:lang w:val="en"/>
        </w:rPr>
        <w:t xml:space="preserve">development of a structured support service </w:t>
      </w:r>
      <w:r w:rsidR="00CF7C63">
        <w:rPr>
          <w:lang w:val="en"/>
        </w:rPr>
        <w:t>for</w:t>
      </w:r>
      <w:r>
        <w:rPr>
          <w:lang w:val="en"/>
        </w:rPr>
        <w:t xml:space="preserve"> </w:t>
      </w:r>
      <w:r w:rsidR="00CF7C63">
        <w:rPr>
          <w:lang w:val="en"/>
        </w:rPr>
        <w:t xml:space="preserve">organizations in </w:t>
      </w:r>
      <w:r>
        <w:rPr>
          <w:lang w:val="en"/>
        </w:rPr>
        <w:t xml:space="preserve">Member States </w:t>
      </w:r>
      <w:r w:rsidR="00CF7C63">
        <w:rPr>
          <w:lang w:val="en"/>
        </w:rPr>
        <w:t>to help them</w:t>
      </w:r>
      <w:r>
        <w:rPr>
          <w:lang w:val="en"/>
        </w:rPr>
        <w:t xml:space="preserve"> establish a </w:t>
      </w:r>
      <w:r w:rsidR="00CF7C63">
        <w:rPr>
          <w:lang w:val="en"/>
        </w:rPr>
        <w:t xml:space="preserve">continuous improvement process for </w:t>
      </w:r>
      <w:r>
        <w:rPr>
          <w:lang w:val="en"/>
        </w:rPr>
        <w:t xml:space="preserve">safety culture. </w:t>
      </w:r>
      <w:r w:rsidRPr="009D7B44">
        <w:t xml:space="preserve">This conference will </w:t>
      </w:r>
      <w:r>
        <w:t xml:space="preserve">share the </w:t>
      </w:r>
      <w:r w:rsidR="00CF7C63">
        <w:t xml:space="preserve">knowledge </w:t>
      </w:r>
      <w:r>
        <w:t xml:space="preserve">accumulated in the area </w:t>
      </w:r>
      <w:r w:rsidR="00CF7C63">
        <w:t>of</w:t>
      </w:r>
      <w:r>
        <w:t xml:space="preserve"> </w:t>
      </w:r>
      <w:r w:rsidR="00E745F2">
        <w:t xml:space="preserve">safety culture as well as </w:t>
      </w:r>
      <w:r w:rsidR="00CF7C63">
        <w:t>HOF,</w:t>
      </w:r>
      <w:r>
        <w:t xml:space="preserve"> and </w:t>
      </w:r>
      <w:r w:rsidR="00CF7C63">
        <w:t xml:space="preserve">will allow participants to </w:t>
      </w:r>
      <w:r w:rsidRPr="009D7B44">
        <w:t xml:space="preserve">take </w:t>
      </w:r>
      <w:r w:rsidR="00CF7C63">
        <w:t xml:space="preserve">a </w:t>
      </w:r>
      <w:r w:rsidRPr="009D7B44">
        <w:t xml:space="preserve">step back </w:t>
      </w:r>
      <w:r w:rsidR="00CF7C63">
        <w:t>and</w:t>
      </w:r>
      <w:r w:rsidR="00CF7C63" w:rsidRPr="009D7B44">
        <w:t xml:space="preserve"> </w:t>
      </w:r>
      <w:r>
        <w:t>reflect on</w:t>
      </w:r>
      <w:r w:rsidRPr="009D7B44">
        <w:t xml:space="preserve"> what the nuclear community has learn</w:t>
      </w:r>
      <w:r w:rsidR="00CF7C63">
        <w:t>ed</w:t>
      </w:r>
      <w:r w:rsidRPr="009D7B44">
        <w:t xml:space="preserve"> in the 30 years </w:t>
      </w:r>
      <w:r w:rsidR="00CF7C63">
        <w:t>since the Chernobyl accident</w:t>
      </w:r>
      <w:r>
        <w:t xml:space="preserve">. </w:t>
      </w:r>
      <w:r w:rsidRPr="009D7B44">
        <w:t xml:space="preserve">In particular, the conference will review the developments since the last </w:t>
      </w:r>
      <w:r w:rsidR="00CF7C63">
        <w:t>s</w:t>
      </w:r>
      <w:r w:rsidRPr="009D7B44">
        <w:t xml:space="preserve">afety </w:t>
      </w:r>
      <w:r w:rsidR="00CF7C63">
        <w:t>c</w:t>
      </w:r>
      <w:r w:rsidRPr="009D7B44">
        <w:t xml:space="preserve">ulture </w:t>
      </w:r>
      <w:r w:rsidR="00CF7C63">
        <w:t>c</w:t>
      </w:r>
      <w:r w:rsidRPr="009D7B44">
        <w:t>onference held in Rio</w:t>
      </w:r>
      <w:r w:rsidR="00CF7C63">
        <w:t xml:space="preserve"> de Janeiro, Brazil,</w:t>
      </w:r>
      <w:r w:rsidRPr="009D7B44">
        <w:t xml:space="preserve"> in 2002, and</w:t>
      </w:r>
      <w:r w:rsidR="00CF7C63">
        <w:t xml:space="preserve"> will</w:t>
      </w:r>
      <w:r w:rsidRPr="009D7B44">
        <w:t xml:space="preserve"> also </w:t>
      </w:r>
      <w:r w:rsidR="001B7D6F">
        <w:t xml:space="preserve">take a </w:t>
      </w:r>
      <w:r w:rsidRPr="009D7B44">
        <w:t xml:space="preserve">look forward to the more recent lessons learned from the Fukushima Daiichi </w:t>
      </w:r>
      <w:r w:rsidR="00CF7C63">
        <w:t>a</w:t>
      </w:r>
      <w:r w:rsidRPr="009D7B44">
        <w:t>ccident.</w:t>
      </w:r>
      <w:r w:rsidR="00737C1A">
        <w:t xml:space="preserve"> The focus of the conference will be divided into three main parts:</w:t>
      </w:r>
    </w:p>
    <w:p w:rsidR="00737C1A" w:rsidRDefault="00737C1A" w:rsidP="007F4BF5">
      <w:pPr>
        <w:pStyle w:val="ListParagraph"/>
        <w:numPr>
          <w:ilvl w:val="0"/>
          <w:numId w:val="14"/>
        </w:numPr>
        <w:spacing w:after="170" w:line="280" w:lineRule="atLeast"/>
        <w:contextualSpacing w:val="0"/>
        <w:jc w:val="both"/>
      </w:pPr>
      <w:r>
        <w:t>Reflection on the past lessons learn</w:t>
      </w:r>
      <w:r w:rsidR="00B94E18">
        <w:t>ed,</w:t>
      </w:r>
      <w:r>
        <w:t xml:space="preserve"> and</w:t>
      </w:r>
      <w:r w:rsidR="00B94E18">
        <w:t>, in particular, on</w:t>
      </w:r>
      <w:r>
        <w:t xml:space="preserve"> what</w:t>
      </w:r>
      <w:r w:rsidR="002F18ED">
        <w:t xml:space="preserve"> has and</w:t>
      </w:r>
      <w:r w:rsidR="00B94E18">
        <w:t xml:space="preserve"> what</w:t>
      </w:r>
      <w:r w:rsidR="002F18ED">
        <w:t xml:space="preserve"> has not been used to improve nuclear safety</w:t>
      </w:r>
      <w:r w:rsidR="00CF7C63">
        <w:t>.</w:t>
      </w:r>
    </w:p>
    <w:p w:rsidR="00737C1A" w:rsidRDefault="00737C1A" w:rsidP="007F4BF5">
      <w:pPr>
        <w:pStyle w:val="ListParagraph"/>
        <w:numPr>
          <w:ilvl w:val="0"/>
          <w:numId w:val="14"/>
        </w:numPr>
        <w:spacing w:after="170" w:line="280" w:lineRule="atLeast"/>
        <w:contextualSpacing w:val="0"/>
        <w:jc w:val="both"/>
      </w:pPr>
      <w:r>
        <w:t>Reflection on current approaches, methods and research</w:t>
      </w:r>
      <w:r w:rsidR="00B94E18">
        <w:t>.</w:t>
      </w:r>
    </w:p>
    <w:p w:rsidR="00722CBA" w:rsidRDefault="00737C1A" w:rsidP="007F4BF5">
      <w:pPr>
        <w:pStyle w:val="ListParagraph"/>
        <w:numPr>
          <w:ilvl w:val="0"/>
          <w:numId w:val="14"/>
        </w:numPr>
        <w:spacing w:after="170" w:line="280" w:lineRule="atLeast"/>
        <w:contextualSpacing w:val="0"/>
        <w:jc w:val="both"/>
      </w:pPr>
      <w:r>
        <w:t xml:space="preserve">Reflection on the future needs </w:t>
      </w:r>
      <w:r w:rsidR="00B94E18">
        <w:t xml:space="preserve">for </w:t>
      </w:r>
      <w:r>
        <w:t>build</w:t>
      </w:r>
      <w:r w:rsidR="00B94E18">
        <w:t>ing</w:t>
      </w:r>
      <w:r>
        <w:t xml:space="preserve"> organizational resilience capabilities</w:t>
      </w:r>
      <w:r w:rsidR="000843D2">
        <w:t xml:space="preserve"> </w:t>
      </w:r>
      <w:r w:rsidR="00B94E18">
        <w:t xml:space="preserve">in order </w:t>
      </w:r>
      <w:r w:rsidR="000843D2">
        <w:t>to further strengthen defence in depth</w:t>
      </w:r>
      <w:r w:rsidR="00B94E18">
        <w:t>.</w:t>
      </w:r>
    </w:p>
    <w:p w:rsidR="006678D2" w:rsidRPr="00A9569A" w:rsidRDefault="00722CBA" w:rsidP="00B0037F">
      <w:pPr>
        <w:spacing w:after="170" w:line="280" w:lineRule="atLeast"/>
        <w:jc w:val="both"/>
      </w:pPr>
      <w:r w:rsidRPr="009D7B44">
        <w:t xml:space="preserve">To achieve </w:t>
      </w:r>
      <w:r w:rsidR="002F18ED">
        <w:t xml:space="preserve">safe </w:t>
      </w:r>
      <w:r w:rsidR="00A93B13">
        <w:t>performance</w:t>
      </w:r>
      <w:r w:rsidR="002F18ED" w:rsidRPr="009D7B44">
        <w:t xml:space="preserve"> </w:t>
      </w:r>
      <w:r w:rsidRPr="009D7B44">
        <w:t xml:space="preserve">in </w:t>
      </w:r>
      <w:r w:rsidR="00E745F2">
        <w:t>practice</w:t>
      </w:r>
      <w:r>
        <w:t>,</w:t>
      </w:r>
      <w:r w:rsidRPr="009D7B44">
        <w:t xml:space="preserve"> all levels of an organi</w:t>
      </w:r>
      <w:r w:rsidR="005C5353">
        <w:t>z</w:t>
      </w:r>
      <w:r w:rsidRPr="009D7B44">
        <w:t>ation and all areas of nuclear safety responsibility must be addressed. Appropriate expertise and experience must be developed and made available</w:t>
      </w:r>
      <w:r w:rsidR="000B369E">
        <w:t xml:space="preserve">. </w:t>
      </w:r>
      <w:r w:rsidR="005B5382">
        <w:t>T</w:t>
      </w:r>
      <w:r w:rsidR="00920A69">
        <w:t>he conference</w:t>
      </w:r>
      <w:r w:rsidR="002F18ED">
        <w:t xml:space="preserve"> will be</w:t>
      </w:r>
      <w:r w:rsidR="00920A69">
        <w:t xml:space="preserve"> organized to </w:t>
      </w:r>
      <w:r w:rsidR="005C5353">
        <w:t xml:space="preserve">meet the interests of various </w:t>
      </w:r>
      <w:r w:rsidR="00920A69">
        <w:t xml:space="preserve">stakeholders, e.g. governmental bodies, regulatory bodies, </w:t>
      </w:r>
      <w:r w:rsidR="005B5382" w:rsidRPr="009D7B44">
        <w:t>nuclear facility owners</w:t>
      </w:r>
      <w:r w:rsidR="005B5382">
        <w:t>,</w:t>
      </w:r>
      <w:r w:rsidR="005B5382" w:rsidRPr="009D7B44">
        <w:t xml:space="preserve"> </w:t>
      </w:r>
      <w:r w:rsidR="00920A69">
        <w:t xml:space="preserve">licensees, technical support organizations, vendors, research institutes. All different phases of nuclear operations will also be addressed, from </w:t>
      </w:r>
      <w:r w:rsidR="005C5353">
        <w:t xml:space="preserve">the launching </w:t>
      </w:r>
      <w:r w:rsidR="00920A69">
        <w:t xml:space="preserve">to </w:t>
      </w:r>
      <w:r w:rsidR="005C5353">
        <w:t xml:space="preserve">the </w:t>
      </w:r>
      <w:r w:rsidR="00920A69">
        <w:t>phas</w:t>
      </w:r>
      <w:r w:rsidR="005C5353">
        <w:t>ing</w:t>
      </w:r>
      <w:r w:rsidR="00920A69">
        <w:t xml:space="preserve"> out of nuclear power programmes.</w:t>
      </w:r>
      <w:r w:rsidR="00314351">
        <w:t xml:space="preserve"> The topics discussed </w:t>
      </w:r>
      <w:r w:rsidR="005C5353">
        <w:t xml:space="preserve">at </w:t>
      </w:r>
      <w:r w:rsidR="00314351">
        <w:t xml:space="preserve">the conference will also be relevant for managers and experts </w:t>
      </w:r>
      <w:r w:rsidR="005C5353">
        <w:t xml:space="preserve">from </w:t>
      </w:r>
      <w:r w:rsidR="00314351">
        <w:t>organizations working with any type of radiological sources.</w:t>
      </w:r>
      <w:r w:rsidR="00920A69">
        <w:t xml:space="preserve"> </w:t>
      </w:r>
      <w:r w:rsidR="00287CAB">
        <w:t xml:space="preserve">Speakers will be representing all </w:t>
      </w:r>
      <w:r w:rsidR="00B94E18">
        <w:t xml:space="preserve">the </w:t>
      </w:r>
      <w:r w:rsidR="00287CAB">
        <w:t>above</w:t>
      </w:r>
      <w:r w:rsidR="00B94E18">
        <w:t>-</w:t>
      </w:r>
      <w:r w:rsidR="00287CAB">
        <w:t xml:space="preserve">mentioned perspectives. There will also be invited speakers from other </w:t>
      </w:r>
      <w:r w:rsidR="002F18ED">
        <w:t xml:space="preserve">high hazard industry </w:t>
      </w:r>
      <w:r w:rsidR="00287CAB">
        <w:t>sectors and high hazard organizations</w:t>
      </w:r>
      <w:r w:rsidR="002F18ED">
        <w:t>.</w:t>
      </w:r>
      <w:r w:rsidR="002C099B">
        <w:t xml:space="preserve"> </w:t>
      </w:r>
      <w:r w:rsidR="00287CAB">
        <w:t xml:space="preserve">The </w:t>
      </w:r>
      <w:r w:rsidR="00B94E18">
        <w:t>C</w:t>
      </w:r>
      <w:r w:rsidR="00287CAB">
        <w:t xml:space="preserve">onference </w:t>
      </w:r>
      <w:r w:rsidR="00B94E18">
        <w:t xml:space="preserve">Secretariat </w:t>
      </w:r>
      <w:r w:rsidR="00287CAB">
        <w:t>welcomes</w:t>
      </w:r>
      <w:r w:rsidR="00B94E18">
        <w:t xml:space="preserve"> contributions from</w:t>
      </w:r>
      <w:r w:rsidR="00287CAB">
        <w:t xml:space="preserve"> executive managers and </w:t>
      </w:r>
      <w:r w:rsidR="00287CAB" w:rsidRPr="00B0037F">
        <w:t>experts in the area</w:t>
      </w:r>
      <w:r w:rsidR="00B0037F">
        <w:t xml:space="preserve">s covered </w:t>
      </w:r>
      <w:r w:rsidR="00B0037F">
        <w:lastRenderedPageBreak/>
        <w:t>by the conference</w:t>
      </w:r>
      <w:r w:rsidR="00287CAB" w:rsidRPr="00B0037F">
        <w:t xml:space="preserve"> </w:t>
      </w:r>
      <w:r w:rsidR="002F18ED" w:rsidRPr="00B0037F">
        <w:t>who</w:t>
      </w:r>
      <w:r w:rsidR="002F18ED">
        <w:t xml:space="preserve"> </w:t>
      </w:r>
      <w:r w:rsidR="00B94E18">
        <w:t xml:space="preserve">are willing to </w:t>
      </w:r>
      <w:r w:rsidR="00287CAB">
        <w:t>share</w:t>
      </w:r>
      <w:r w:rsidR="00B94E18">
        <w:t xml:space="preserve"> their</w:t>
      </w:r>
      <w:r w:rsidR="00287CAB">
        <w:t xml:space="preserve"> experience and </w:t>
      </w:r>
      <w:r w:rsidR="002F18ED">
        <w:t xml:space="preserve">help attendees to </w:t>
      </w:r>
      <w:r w:rsidR="00287CAB">
        <w:t>gain new insight</w:t>
      </w:r>
      <w:r w:rsidR="00B94E18">
        <w:t>s</w:t>
      </w:r>
      <w:r w:rsidR="00287CAB">
        <w:t xml:space="preserve"> </w:t>
      </w:r>
      <w:r w:rsidR="00B94E18">
        <w:t xml:space="preserve">into </w:t>
      </w:r>
      <w:r w:rsidR="00B0037F">
        <w:t xml:space="preserve">safety culture improvements that </w:t>
      </w:r>
      <w:r w:rsidR="00287CAB">
        <w:t xml:space="preserve">can be implemented </w:t>
      </w:r>
      <w:r w:rsidR="00B94E18">
        <w:t xml:space="preserve">at </w:t>
      </w:r>
      <w:r w:rsidR="00287CAB">
        <w:t>their home organizations.</w:t>
      </w:r>
    </w:p>
    <w:p w:rsidR="00362111" w:rsidRDefault="00750DF0" w:rsidP="009E1D54">
      <w:pPr>
        <w:pStyle w:val="Heading1"/>
      </w:pPr>
      <w:r w:rsidRPr="00322985">
        <w:t>Objectives</w:t>
      </w:r>
    </w:p>
    <w:p w:rsidR="000843D2" w:rsidRDefault="00DF1EAD" w:rsidP="007F4BF5">
      <w:pPr>
        <w:spacing w:after="170" w:line="280" w:lineRule="atLeast"/>
        <w:jc w:val="both"/>
      </w:pPr>
      <w:r w:rsidRPr="009D7B44">
        <w:t xml:space="preserve">The </w:t>
      </w:r>
      <w:r w:rsidR="00A86115">
        <w:t xml:space="preserve">overall </w:t>
      </w:r>
      <w:r w:rsidR="00B94E18">
        <w:t>purpose</w:t>
      </w:r>
      <w:r w:rsidR="00B94E18" w:rsidRPr="009D7B44">
        <w:t xml:space="preserve"> </w:t>
      </w:r>
      <w:r w:rsidRPr="009D7B44">
        <w:t>of the conference is to provide an opportunity</w:t>
      </w:r>
      <w:r w:rsidR="00A86115">
        <w:t xml:space="preserve"> for the nuclear community</w:t>
      </w:r>
      <w:r w:rsidRPr="009D7B44">
        <w:t xml:space="preserve"> to </w:t>
      </w:r>
      <w:r w:rsidR="00772C14">
        <w:t>reflect</w:t>
      </w:r>
      <w:r w:rsidR="00A86115">
        <w:t xml:space="preserve"> on </w:t>
      </w:r>
      <w:r w:rsidR="00B94E18">
        <w:t xml:space="preserve">the </w:t>
      </w:r>
      <w:r w:rsidR="00A86115">
        <w:t xml:space="preserve">pivotal role </w:t>
      </w:r>
      <w:r w:rsidR="00B94E18">
        <w:t xml:space="preserve">that </w:t>
      </w:r>
      <w:r w:rsidR="00A86115">
        <w:t xml:space="preserve">human </w:t>
      </w:r>
      <w:r w:rsidR="0062181D">
        <w:t xml:space="preserve">and organizational aspects </w:t>
      </w:r>
      <w:r w:rsidR="00A86115">
        <w:t xml:space="preserve">play in assuring safety. In particular, the objectives of the </w:t>
      </w:r>
      <w:r w:rsidR="00B94E18">
        <w:t xml:space="preserve">conference </w:t>
      </w:r>
      <w:r w:rsidR="00A86115">
        <w:t>will be</w:t>
      </w:r>
      <w:r w:rsidR="000843D2">
        <w:t xml:space="preserve"> to:</w:t>
      </w:r>
    </w:p>
    <w:p w:rsidR="000843D2" w:rsidRDefault="002F18ED" w:rsidP="00B0037F">
      <w:pPr>
        <w:pStyle w:val="ListParagraph"/>
        <w:numPr>
          <w:ilvl w:val="0"/>
          <w:numId w:val="13"/>
        </w:numPr>
        <w:spacing w:after="170" w:line="280" w:lineRule="atLeast"/>
        <w:contextualSpacing w:val="0"/>
        <w:jc w:val="both"/>
      </w:pPr>
      <w:r>
        <w:t xml:space="preserve">Review </w:t>
      </w:r>
      <w:r w:rsidR="000843D2">
        <w:t>the experience</w:t>
      </w:r>
      <w:r w:rsidR="00A93B13">
        <w:t xml:space="preserve"> </w:t>
      </w:r>
      <w:r>
        <w:t>gained</w:t>
      </w:r>
      <w:r w:rsidR="000843D2">
        <w:t xml:space="preserve"> </w:t>
      </w:r>
      <w:r w:rsidR="007F4BF5">
        <w:t>with regard to</w:t>
      </w:r>
      <w:r w:rsidR="000843D2">
        <w:t xml:space="preserve"> human and</w:t>
      </w:r>
      <w:r w:rsidR="00B0037F">
        <w:t xml:space="preserve"> organizational factors (HOF)</w:t>
      </w:r>
      <w:r w:rsidR="000843D2">
        <w:t>, safety culture and leadership for safety</w:t>
      </w:r>
      <w:r w:rsidR="00B94E18">
        <w:t>;</w:t>
      </w:r>
    </w:p>
    <w:p w:rsidR="000843D2" w:rsidRDefault="000843D2" w:rsidP="00B0037F">
      <w:pPr>
        <w:pStyle w:val="ListParagraph"/>
        <w:numPr>
          <w:ilvl w:val="0"/>
          <w:numId w:val="13"/>
        </w:numPr>
        <w:spacing w:after="170" w:line="280" w:lineRule="atLeast"/>
        <w:contextualSpacing w:val="0"/>
        <w:jc w:val="both"/>
      </w:pPr>
      <w:r>
        <w:t xml:space="preserve">Share and gather experiences </w:t>
      </w:r>
      <w:r w:rsidR="00B94E18">
        <w:t xml:space="preserve">related to </w:t>
      </w:r>
      <w:r>
        <w:t>current developments</w:t>
      </w:r>
      <w:r w:rsidR="00B94E18">
        <w:t>,</w:t>
      </w:r>
      <w:r>
        <w:t xml:space="preserve"> approaches, methods and research</w:t>
      </w:r>
      <w:r w:rsidR="007F4BF5">
        <w:t xml:space="preserve"> </w:t>
      </w:r>
      <w:r w:rsidR="00B0037F">
        <w:t xml:space="preserve">in the areas of HOF, safety culture and leadership for safety; </w:t>
      </w:r>
      <w:r w:rsidR="007F4BF5">
        <w:t>and</w:t>
      </w:r>
    </w:p>
    <w:p w:rsidR="000843D2" w:rsidRDefault="000843D2" w:rsidP="00A930AD">
      <w:pPr>
        <w:pStyle w:val="ListParagraph"/>
        <w:numPr>
          <w:ilvl w:val="0"/>
          <w:numId w:val="13"/>
        </w:numPr>
        <w:spacing w:after="170" w:line="280" w:lineRule="atLeast"/>
        <w:contextualSpacing w:val="0"/>
        <w:jc w:val="both"/>
      </w:pPr>
      <w:r>
        <w:t xml:space="preserve">Identify the future needs </w:t>
      </w:r>
      <w:r w:rsidR="00B94E18">
        <w:t xml:space="preserve">for </w:t>
      </w:r>
      <w:r>
        <w:t>build</w:t>
      </w:r>
      <w:r w:rsidR="00B94E18">
        <w:t>ing</w:t>
      </w:r>
      <w:r>
        <w:t xml:space="preserve"> organizational resilience capabilities </w:t>
      </w:r>
      <w:r w:rsidR="00B94E18">
        <w:t xml:space="preserve">in order </w:t>
      </w:r>
      <w:r>
        <w:t>to further strengthen defence in depth</w:t>
      </w:r>
      <w:r w:rsidR="00B94E18">
        <w:t xml:space="preserve"> </w:t>
      </w:r>
      <w:r w:rsidR="00B0037F">
        <w:t>for</w:t>
      </w:r>
      <w:r w:rsidR="00B0037F" w:rsidRPr="00A930AD">
        <w:t xml:space="preserve"> </w:t>
      </w:r>
      <w:r w:rsidR="00B94E18" w:rsidRPr="00A930AD">
        <w:t>nuclear facilities</w:t>
      </w:r>
      <w:r w:rsidR="00B0037F">
        <w:t xml:space="preserve"> and activities</w:t>
      </w:r>
      <w:r w:rsidR="00B94E18">
        <w:t>.</w:t>
      </w:r>
    </w:p>
    <w:p w:rsidR="00DF1EAD" w:rsidRPr="009D7B44" w:rsidRDefault="00B94E18" w:rsidP="00D30B94">
      <w:pPr>
        <w:spacing w:after="170" w:line="280" w:lineRule="atLeast"/>
        <w:jc w:val="both"/>
      </w:pPr>
      <w:r>
        <w:t>The s</w:t>
      </w:r>
      <w:r w:rsidR="00A9569A">
        <w:t>pecial focus</w:t>
      </w:r>
      <w:r>
        <w:t xml:space="preserve"> of the conference</w:t>
      </w:r>
      <w:r w:rsidR="00A9569A">
        <w:t xml:space="preserve"> will be on safety culture and </w:t>
      </w:r>
      <w:r w:rsidR="00AE5A14" w:rsidRPr="009D7B44">
        <w:t>the past 30 years</w:t>
      </w:r>
      <w:r w:rsidR="00A9569A">
        <w:t xml:space="preserve"> </w:t>
      </w:r>
      <w:r w:rsidR="002F18ED">
        <w:t xml:space="preserve">of </w:t>
      </w:r>
      <w:r w:rsidR="00A9569A">
        <w:t>developments</w:t>
      </w:r>
      <w:r>
        <w:t xml:space="preserve"> in this area</w:t>
      </w:r>
      <w:r w:rsidR="00A9569A">
        <w:t>.</w:t>
      </w:r>
    </w:p>
    <w:p w:rsidR="00322985" w:rsidRDefault="008F1F84" w:rsidP="009E1D54">
      <w:pPr>
        <w:pStyle w:val="Heading1"/>
      </w:pPr>
      <w:bookmarkStart w:id="1" w:name="_Ref393205873"/>
      <w:r>
        <w:t>List of</w:t>
      </w:r>
      <w:r w:rsidR="00322985" w:rsidRPr="006B59F8">
        <w:t xml:space="preserve"> Topics</w:t>
      </w:r>
      <w:bookmarkEnd w:id="1"/>
    </w:p>
    <w:p w:rsidR="00A9569A" w:rsidRDefault="000C0370" w:rsidP="00531D37">
      <w:pPr>
        <w:pStyle w:val="BodyText"/>
      </w:pPr>
      <w:r w:rsidRPr="00A9569A">
        <w:rPr>
          <w:lang w:eastAsia="en-GB"/>
        </w:rPr>
        <w:t xml:space="preserve">The conference will have a number of technical sessions dealing with specific topical areas. Sessions are expected to include papers </w:t>
      </w:r>
      <w:r w:rsidR="00506377" w:rsidRPr="00A9569A">
        <w:rPr>
          <w:lang w:eastAsia="en-GB"/>
        </w:rPr>
        <w:t xml:space="preserve">by </w:t>
      </w:r>
      <w:r w:rsidRPr="00A9569A">
        <w:rPr>
          <w:lang w:eastAsia="en-GB"/>
        </w:rPr>
        <w:t>invited speakers as well as contributions by participants. While most papers will focus on one of the principal areas below, authors are encouraged to consider integration with the other areas as appropriate.</w:t>
      </w:r>
      <w:r w:rsidR="00A9569A">
        <w:rPr>
          <w:lang w:eastAsia="en-GB"/>
        </w:rPr>
        <w:t xml:space="preserve"> The conference will cover the following </w:t>
      </w:r>
      <w:r w:rsidR="00D23DDF" w:rsidRPr="00531D37">
        <w:rPr>
          <w:b/>
          <w:bCs/>
          <w:lang w:eastAsia="en-GB"/>
        </w:rPr>
        <w:t>expert</w:t>
      </w:r>
      <w:r w:rsidR="00110398" w:rsidRPr="00531D37">
        <w:rPr>
          <w:b/>
          <w:bCs/>
          <w:lang w:eastAsia="en-GB"/>
        </w:rPr>
        <w:t xml:space="preserve"> areas</w:t>
      </w:r>
      <w:r w:rsidR="00A9569A">
        <w:rPr>
          <w:lang w:eastAsia="en-GB"/>
        </w:rPr>
        <w:t>:</w:t>
      </w:r>
    </w:p>
    <w:p w:rsidR="00A9569A" w:rsidRDefault="00A9569A" w:rsidP="00531D37">
      <w:pPr>
        <w:numPr>
          <w:ilvl w:val="0"/>
          <w:numId w:val="9"/>
        </w:numPr>
        <w:spacing w:after="170" w:line="280" w:lineRule="atLeast"/>
        <w:jc w:val="both"/>
      </w:pPr>
      <w:r>
        <w:t>Human and Organizational Factors</w:t>
      </w:r>
    </w:p>
    <w:p w:rsidR="00A9569A" w:rsidRDefault="00A9569A" w:rsidP="00531D37">
      <w:pPr>
        <w:numPr>
          <w:ilvl w:val="0"/>
          <w:numId w:val="9"/>
        </w:numPr>
        <w:spacing w:after="170" w:line="280" w:lineRule="atLeast"/>
        <w:jc w:val="both"/>
      </w:pPr>
      <w:r>
        <w:t>Safety Culture/Culture for Safety</w:t>
      </w:r>
    </w:p>
    <w:p w:rsidR="00A9569A" w:rsidRDefault="00A9569A" w:rsidP="00531D37">
      <w:pPr>
        <w:numPr>
          <w:ilvl w:val="0"/>
          <w:numId w:val="9"/>
        </w:numPr>
        <w:spacing w:after="170" w:line="280" w:lineRule="atLeast"/>
        <w:jc w:val="both"/>
      </w:pPr>
      <w:r>
        <w:t>Leadership and Management for Safety</w:t>
      </w:r>
    </w:p>
    <w:p w:rsidR="00A9569A" w:rsidRDefault="00A9569A" w:rsidP="00531D37">
      <w:pPr>
        <w:numPr>
          <w:ilvl w:val="0"/>
          <w:numId w:val="9"/>
        </w:numPr>
        <w:spacing w:after="170" w:line="280" w:lineRule="atLeast"/>
        <w:jc w:val="both"/>
      </w:pPr>
      <w:r>
        <w:t>The Sy</w:t>
      </w:r>
      <w:r w:rsidR="00110398">
        <w:t>stemic Approach to Safety (The I</w:t>
      </w:r>
      <w:r>
        <w:t xml:space="preserve">nteraction between </w:t>
      </w:r>
      <w:r w:rsidR="00110398">
        <w:t>Human, Technical and O</w:t>
      </w:r>
      <w:r>
        <w:t>rganizationa</w:t>
      </w:r>
      <w:r w:rsidR="00110398">
        <w:t>l Factors)</w:t>
      </w:r>
    </w:p>
    <w:p w:rsidR="00110398" w:rsidRDefault="00110398" w:rsidP="00531D37">
      <w:pPr>
        <w:numPr>
          <w:ilvl w:val="0"/>
          <w:numId w:val="9"/>
        </w:numPr>
        <w:spacing w:after="170" w:line="280" w:lineRule="atLeast"/>
        <w:jc w:val="both"/>
      </w:pPr>
      <w:r>
        <w:t>Resilience Engineering</w:t>
      </w:r>
    </w:p>
    <w:p w:rsidR="00092459" w:rsidRPr="00092459" w:rsidRDefault="00092459" w:rsidP="00531D37">
      <w:pPr>
        <w:numPr>
          <w:ilvl w:val="0"/>
          <w:numId w:val="9"/>
        </w:numPr>
        <w:spacing w:after="170" w:line="280" w:lineRule="atLeast"/>
        <w:jc w:val="both"/>
      </w:pPr>
      <w:r>
        <w:rPr>
          <w:rFonts w:ascii="TimesNewRoman" w:hAnsi="TimesNewRoman" w:cs="TimesNewRoman"/>
          <w:sz w:val="21"/>
          <w:szCs w:val="21"/>
          <w:lang w:eastAsia="en-GB"/>
        </w:rPr>
        <w:t>High Reliability Organizations</w:t>
      </w:r>
    </w:p>
    <w:p w:rsidR="00092459" w:rsidRDefault="00092459" w:rsidP="00092459">
      <w:pPr>
        <w:spacing w:after="170" w:line="280" w:lineRule="atLeast"/>
        <w:jc w:val="both"/>
        <w:rPr>
          <w:rFonts w:ascii="TimesNewRoman" w:hAnsi="TimesNewRoman" w:cs="TimesNewRoman"/>
          <w:sz w:val="21"/>
          <w:szCs w:val="21"/>
          <w:lang w:eastAsia="en-GB"/>
        </w:rPr>
      </w:pPr>
    </w:p>
    <w:p w:rsidR="00092459" w:rsidRDefault="00092459" w:rsidP="00092459">
      <w:pPr>
        <w:spacing w:after="170" w:line="280" w:lineRule="atLeast"/>
        <w:jc w:val="both"/>
      </w:pPr>
    </w:p>
    <w:p w:rsidR="00110398" w:rsidRDefault="00110398" w:rsidP="00531D37">
      <w:pPr>
        <w:spacing w:after="170" w:line="280" w:lineRule="atLeast"/>
        <w:jc w:val="both"/>
      </w:pPr>
      <w:r>
        <w:lastRenderedPageBreak/>
        <w:t xml:space="preserve">These areas will be reflected upon in the following </w:t>
      </w:r>
      <w:r w:rsidRPr="00531D37">
        <w:rPr>
          <w:b/>
          <w:bCs/>
        </w:rPr>
        <w:t>perspectives</w:t>
      </w:r>
      <w:r>
        <w:t>:</w:t>
      </w:r>
    </w:p>
    <w:p w:rsidR="00110398" w:rsidRDefault="00110398" w:rsidP="00D30B94">
      <w:pPr>
        <w:numPr>
          <w:ilvl w:val="0"/>
          <w:numId w:val="9"/>
        </w:numPr>
        <w:spacing w:after="170" w:line="280" w:lineRule="atLeast"/>
        <w:jc w:val="both"/>
      </w:pPr>
      <w:r>
        <w:t>Lessons learn</w:t>
      </w:r>
      <w:r w:rsidR="00CF7C63">
        <w:t>ed</w:t>
      </w:r>
      <w:r>
        <w:t xml:space="preserve"> from </w:t>
      </w:r>
      <w:r w:rsidR="00B94E18">
        <w:t xml:space="preserve">the </w:t>
      </w:r>
      <w:r>
        <w:t>Three Mile Island, Chernobyl and Fukushima</w:t>
      </w:r>
      <w:r w:rsidR="00B94E18">
        <w:t xml:space="preserve"> Daiichi</w:t>
      </w:r>
      <w:r>
        <w:t xml:space="preserve"> accidents</w:t>
      </w:r>
    </w:p>
    <w:p w:rsidR="00110398" w:rsidRDefault="00110398" w:rsidP="00D30B94">
      <w:pPr>
        <w:numPr>
          <w:ilvl w:val="0"/>
          <w:numId w:val="9"/>
        </w:numPr>
        <w:spacing w:after="170" w:line="280" w:lineRule="atLeast"/>
        <w:jc w:val="both"/>
      </w:pPr>
      <w:r>
        <w:t>Lessons learn</w:t>
      </w:r>
      <w:r w:rsidR="00CF7C63">
        <w:t>ed</w:t>
      </w:r>
      <w:r>
        <w:t xml:space="preserve"> from other major events in the nuclear industry</w:t>
      </w:r>
    </w:p>
    <w:p w:rsidR="00110398" w:rsidRDefault="00110398" w:rsidP="00D30B94">
      <w:pPr>
        <w:numPr>
          <w:ilvl w:val="0"/>
          <w:numId w:val="9"/>
        </w:numPr>
        <w:spacing w:after="170" w:line="280" w:lineRule="atLeast"/>
        <w:jc w:val="both"/>
      </w:pPr>
      <w:r>
        <w:t>Lessons learn</w:t>
      </w:r>
      <w:r w:rsidR="00CF7C63">
        <w:t>ed</w:t>
      </w:r>
      <w:r>
        <w:t xml:space="preserve"> from other high hazard sectors and industries</w:t>
      </w:r>
    </w:p>
    <w:p w:rsidR="00110398" w:rsidRDefault="00110398" w:rsidP="00D30B94">
      <w:pPr>
        <w:numPr>
          <w:ilvl w:val="0"/>
          <w:numId w:val="9"/>
        </w:numPr>
        <w:spacing w:after="170" w:line="280" w:lineRule="atLeast"/>
        <w:jc w:val="both"/>
      </w:pPr>
      <w:r>
        <w:t>Current research and development</w:t>
      </w:r>
    </w:p>
    <w:p w:rsidR="00110398" w:rsidRDefault="00110398" w:rsidP="00D30B94">
      <w:pPr>
        <w:numPr>
          <w:ilvl w:val="0"/>
          <w:numId w:val="9"/>
        </w:numPr>
        <w:spacing w:after="170" w:line="280" w:lineRule="atLeast"/>
        <w:jc w:val="both"/>
      </w:pPr>
      <w:r>
        <w:t>Current approaches and practices</w:t>
      </w:r>
    </w:p>
    <w:p w:rsidR="00110398" w:rsidRDefault="00110398" w:rsidP="00D30B94">
      <w:pPr>
        <w:numPr>
          <w:ilvl w:val="0"/>
          <w:numId w:val="9"/>
        </w:numPr>
        <w:spacing w:after="170" w:line="280" w:lineRule="atLeast"/>
        <w:jc w:val="both"/>
      </w:pPr>
      <w:r>
        <w:t>Future demands and needs to assure safe performance</w:t>
      </w:r>
    </w:p>
    <w:p w:rsidR="00110398" w:rsidRDefault="00110398" w:rsidP="00D30B94">
      <w:pPr>
        <w:spacing w:after="170" w:line="280" w:lineRule="atLeast"/>
        <w:jc w:val="both"/>
      </w:pPr>
      <w:r>
        <w:t xml:space="preserve">These perspectives will be specifically explored </w:t>
      </w:r>
      <w:r w:rsidR="00B94E18">
        <w:t>in the context of the following</w:t>
      </w:r>
      <w:r>
        <w:t xml:space="preserve"> </w:t>
      </w:r>
      <w:r w:rsidRPr="00D30B94">
        <w:rPr>
          <w:b/>
          <w:bCs/>
        </w:rPr>
        <w:t>applications</w:t>
      </w:r>
      <w:r w:rsidR="00B94E18">
        <w:t>:</w:t>
      </w:r>
    </w:p>
    <w:p w:rsidR="00A9569A" w:rsidRPr="009D7B44" w:rsidRDefault="00A301D9" w:rsidP="00092459">
      <w:pPr>
        <w:numPr>
          <w:ilvl w:val="0"/>
          <w:numId w:val="9"/>
        </w:numPr>
        <w:spacing w:after="170" w:line="280" w:lineRule="atLeast"/>
        <w:jc w:val="both"/>
      </w:pPr>
      <w:r>
        <w:t>N</w:t>
      </w:r>
      <w:r w:rsidR="00A9569A" w:rsidRPr="009D7B44">
        <w:t>ew build</w:t>
      </w:r>
      <w:r w:rsidR="00D23DDF">
        <w:t xml:space="preserve">s </w:t>
      </w:r>
      <w:r w:rsidR="00A9569A" w:rsidRPr="009D7B44">
        <w:t>(including ne</w:t>
      </w:r>
      <w:r>
        <w:t>wcomers or expanding countries)</w:t>
      </w:r>
    </w:p>
    <w:p w:rsidR="00D23DDF" w:rsidRDefault="00D23DDF" w:rsidP="00D30B94">
      <w:pPr>
        <w:numPr>
          <w:ilvl w:val="0"/>
          <w:numId w:val="9"/>
        </w:numPr>
        <w:spacing w:after="170" w:line="280" w:lineRule="atLeast"/>
        <w:jc w:val="both"/>
      </w:pPr>
      <w:r>
        <w:t>Licensees</w:t>
      </w:r>
    </w:p>
    <w:p w:rsidR="00D23DDF" w:rsidRDefault="00D23DDF" w:rsidP="00D30B94">
      <w:pPr>
        <w:numPr>
          <w:ilvl w:val="0"/>
          <w:numId w:val="9"/>
        </w:numPr>
        <w:spacing w:after="170" w:line="280" w:lineRule="atLeast"/>
        <w:jc w:val="both"/>
      </w:pPr>
      <w:r>
        <w:t>Regulatory bodies</w:t>
      </w:r>
    </w:p>
    <w:p w:rsidR="00D23DDF" w:rsidRDefault="00D23DDF" w:rsidP="00D30B94">
      <w:pPr>
        <w:numPr>
          <w:ilvl w:val="0"/>
          <w:numId w:val="9"/>
        </w:numPr>
        <w:spacing w:after="170" w:line="280" w:lineRule="atLeast"/>
        <w:jc w:val="both"/>
      </w:pPr>
      <w:r>
        <w:t>Governmental bodies/ministries/a</w:t>
      </w:r>
      <w:r w:rsidRPr="009D7B44">
        <w:t>gencies</w:t>
      </w:r>
    </w:p>
    <w:p w:rsidR="00D23DDF" w:rsidRDefault="00D23DDF" w:rsidP="00D30B94">
      <w:pPr>
        <w:numPr>
          <w:ilvl w:val="0"/>
          <w:numId w:val="9"/>
        </w:numPr>
        <w:spacing w:after="170" w:line="280" w:lineRule="atLeast"/>
        <w:jc w:val="both"/>
      </w:pPr>
      <w:r>
        <w:t>Research and development</w:t>
      </w:r>
    </w:p>
    <w:p w:rsidR="00D23DDF" w:rsidRDefault="00D23DDF" w:rsidP="00D30B94">
      <w:pPr>
        <w:numPr>
          <w:ilvl w:val="0"/>
          <w:numId w:val="9"/>
        </w:numPr>
        <w:spacing w:after="170" w:line="280" w:lineRule="atLeast"/>
        <w:jc w:val="both"/>
      </w:pPr>
      <w:r>
        <w:t>Technical support organizations and vendors</w:t>
      </w:r>
    </w:p>
    <w:p w:rsidR="00A9569A" w:rsidRDefault="00A9569A" w:rsidP="00D30B94">
      <w:pPr>
        <w:numPr>
          <w:ilvl w:val="0"/>
          <w:numId w:val="9"/>
        </w:numPr>
        <w:spacing w:after="170" w:line="280" w:lineRule="atLeast"/>
        <w:jc w:val="both"/>
      </w:pPr>
      <w:r w:rsidRPr="009D7B44">
        <w:t>Organi</w:t>
      </w:r>
      <w:r w:rsidR="00B94E18">
        <w:t>z</w:t>
      </w:r>
      <w:r w:rsidRPr="009D7B44">
        <w:t>ations undergoing major change (</w:t>
      </w:r>
      <w:r w:rsidR="00B94E18">
        <w:t>g</w:t>
      </w:r>
      <w:r w:rsidRPr="009D7B44">
        <w:t xml:space="preserve">eneration to </w:t>
      </w:r>
      <w:r w:rsidR="00B94E18">
        <w:t>d</w:t>
      </w:r>
      <w:r w:rsidRPr="009D7B44">
        <w:t>ecommissioning) or where the organi</w:t>
      </w:r>
      <w:r w:rsidR="00B94E18">
        <w:t>z</w:t>
      </w:r>
      <w:r w:rsidRPr="009D7B44">
        <w:t>ation is dynamic and changing on a frequent basis (decommissioning and environment remediation organi</w:t>
      </w:r>
      <w:r w:rsidR="00B94E18">
        <w:t>z</w:t>
      </w:r>
      <w:r w:rsidRPr="009D7B44">
        <w:t>ations, growing new build organi</w:t>
      </w:r>
      <w:r w:rsidR="00B94E18">
        <w:t>z</w:t>
      </w:r>
      <w:r w:rsidRPr="009D7B44">
        <w:t>ations)</w:t>
      </w:r>
    </w:p>
    <w:p w:rsidR="00A301D9" w:rsidRPr="009D7B44" w:rsidRDefault="00A301D9" w:rsidP="00D30B94">
      <w:pPr>
        <w:numPr>
          <w:ilvl w:val="0"/>
          <w:numId w:val="9"/>
        </w:numPr>
        <w:spacing w:after="170" w:line="280" w:lineRule="atLeast"/>
        <w:jc w:val="both"/>
      </w:pPr>
      <w:r>
        <w:t>New generation of workforce</w:t>
      </w:r>
    </w:p>
    <w:p w:rsidR="00A9569A" w:rsidRPr="009D7B44" w:rsidRDefault="00D23DDF" w:rsidP="00D30B94">
      <w:pPr>
        <w:numPr>
          <w:ilvl w:val="0"/>
          <w:numId w:val="9"/>
        </w:numPr>
        <w:spacing w:after="170" w:line="280" w:lineRule="atLeast"/>
        <w:jc w:val="both"/>
      </w:pPr>
      <w:r>
        <w:t>Knowledge capacity building for workforce, middle management, senior managers, board members, governmental ministers</w:t>
      </w:r>
    </w:p>
    <w:p w:rsidR="008F1F84" w:rsidRPr="00A93B13" w:rsidRDefault="008F1F84" w:rsidP="009E1D54">
      <w:pPr>
        <w:pStyle w:val="Heading1"/>
      </w:pPr>
      <w:r w:rsidRPr="00A93B13">
        <w:t>Programme Structure</w:t>
      </w:r>
    </w:p>
    <w:p w:rsidR="00071E48" w:rsidRDefault="008F1F84" w:rsidP="00B94E18">
      <w:pPr>
        <w:pStyle w:val="BodyText"/>
        <w:rPr>
          <w:lang w:eastAsia="en-GB"/>
        </w:rPr>
      </w:pPr>
      <w:r w:rsidRPr="0082277D">
        <w:rPr>
          <w:lang w:eastAsia="en-GB"/>
        </w:rPr>
        <w:t>The conference programme will consist of an opening session, technical sessions with invited and contributed papers, poster sessions</w:t>
      </w:r>
      <w:r w:rsidR="0082277D" w:rsidRPr="0082277D">
        <w:rPr>
          <w:lang w:eastAsia="en-GB"/>
        </w:rPr>
        <w:t xml:space="preserve">, </w:t>
      </w:r>
      <w:r w:rsidR="00071E48">
        <w:rPr>
          <w:lang w:eastAsia="en-GB"/>
        </w:rPr>
        <w:t>reflection and dialogue</w:t>
      </w:r>
      <w:r w:rsidR="0082277D" w:rsidRPr="0082277D">
        <w:rPr>
          <w:lang w:eastAsia="en-GB"/>
        </w:rPr>
        <w:t xml:space="preserve"> sessions</w:t>
      </w:r>
      <w:r w:rsidRPr="0082277D">
        <w:rPr>
          <w:lang w:eastAsia="en-GB"/>
        </w:rPr>
        <w:t xml:space="preserve"> and </w:t>
      </w:r>
      <w:r w:rsidR="0071020A" w:rsidRPr="0082277D">
        <w:rPr>
          <w:lang w:eastAsia="en-GB"/>
        </w:rPr>
        <w:t xml:space="preserve">a </w:t>
      </w:r>
      <w:r w:rsidR="0082277D" w:rsidRPr="0082277D">
        <w:rPr>
          <w:lang w:eastAsia="en-GB"/>
        </w:rPr>
        <w:t>closing panel session</w:t>
      </w:r>
      <w:r w:rsidR="00071E48">
        <w:rPr>
          <w:lang w:eastAsia="en-GB"/>
        </w:rPr>
        <w:t>.</w:t>
      </w:r>
    </w:p>
    <w:p w:rsidR="009D7B44" w:rsidRDefault="00071E48" w:rsidP="00B94E18">
      <w:pPr>
        <w:pStyle w:val="BodyText"/>
        <w:rPr>
          <w:lang w:eastAsia="en-GB"/>
        </w:rPr>
      </w:pPr>
      <w:r>
        <w:t xml:space="preserve">The format of the conference will be based on </w:t>
      </w:r>
      <w:r w:rsidR="00B94E18">
        <w:t>HOF</w:t>
      </w:r>
      <w:r>
        <w:t xml:space="preserve"> knowledge, which </w:t>
      </w:r>
      <w:r w:rsidR="00B94E18">
        <w:t xml:space="preserve">will make it possible </w:t>
      </w:r>
      <w:r>
        <w:t xml:space="preserve">to maximize the learning potential and </w:t>
      </w:r>
      <w:r w:rsidR="00B94E18">
        <w:t xml:space="preserve">exchange of </w:t>
      </w:r>
      <w:r>
        <w:t>experience.</w:t>
      </w:r>
      <w:r w:rsidR="00A30109">
        <w:t xml:space="preserve"> The three core days will be structured into</w:t>
      </w:r>
      <w:r w:rsidR="00B94E18">
        <w:t>,</w:t>
      </w:r>
      <w:r w:rsidR="00A30109">
        <w:t xml:space="preserve"> firstly</w:t>
      </w:r>
      <w:r w:rsidR="00B94E18">
        <w:t>,</w:t>
      </w:r>
      <w:r w:rsidR="00A30109">
        <w:t xml:space="preserve"> a plenum session, followed by three parallel sessions</w:t>
      </w:r>
      <w:r w:rsidR="00B94E18">
        <w:t>,</w:t>
      </w:r>
      <w:r w:rsidR="00A30109">
        <w:t xml:space="preserve"> and then smaller reflection and dialogue session</w:t>
      </w:r>
      <w:r w:rsidR="00B94E18">
        <w:t>s</w:t>
      </w:r>
      <w:r w:rsidR="00A30109">
        <w:t>. Each day will be summarized by the chairpersons in plenum.</w:t>
      </w:r>
    </w:p>
    <w:p w:rsidR="008F1F84" w:rsidRPr="0082277D" w:rsidRDefault="0071020A" w:rsidP="00BF1F49">
      <w:pPr>
        <w:pStyle w:val="BodyText"/>
        <w:rPr>
          <w:lang w:eastAsia="en-GB"/>
        </w:rPr>
      </w:pPr>
      <w:r w:rsidRPr="0082277D">
        <w:rPr>
          <w:lang w:eastAsia="en-GB"/>
        </w:rPr>
        <w:t>Side events</w:t>
      </w:r>
      <w:r w:rsidR="008F1F84" w:rsidRPr="0082277D">
        <w:t xml:space="preserve"> on I</w:t>
      </w:r>
      <w:r w:rsidR="00A30109">
        <w:t xml:space="preserve">AEA activities and services related to </w:t>
      </w:r>
      <w:r w:rsidR="00BF1F49">
        <w:t xml:space="preserve">the </w:t>
      </w:r>
      <w:r w:rsidR="00BF1F49" w:rsidRPr="00BF1F49">
        <w:t>expert areas</w:t>
      </w:r>
      <w:r w:rsidR="00BF1F49">
        <w:t xml:space="preserve"> of the </w:t>
      </w:r>
      <w:r w:rsidR="00A30109" w:rsidRPr="00BF1F49">
        <w:t xml:space="preserve">conference </w:t>
      </w:r>
      <w:r w:rsidR="00A30109">
        <w:t>will be conducted. This will also include sessions o</w:t>
      </w:r>
      <w:r w:rsidR="008F1F84" w:rsidRPr="0082277D">
        <w:t xml:space="preserve">n issues and challenges </w:t>
      </w:r>
      <w:r w:rsidRPr="00B0037F">
        <w:t>i</w:t>
      </w:r>
      <w:r w:rsidR="008F1F84" w:rsidRPr="00B0037F">
        <w:t>n</w:t>
      </w:r>
      <w:r w:rsidR="00A30109" w:rsidRPr="00B0037F">
        <w:t xml:space="preserve"> the</w:t>
      </w:r>
      <w:r w:rsidR="00B0037F">
        <w:t>se</w:t>
      </w:r>
      <w:r w:rsidR="00A30109" w:rsidRPr="00B0037F">
        <w:t xml:space="preserve"> area</w:t>
      </w:r>
      <w:r w:rsidR="00B0037F">
        <w:t>s</w:t>
      </w:r>
      <w:r w:rsidR="00B94E18">
        <w:t>.</w:t>
      </w:r>
    </w:p>
    <w:p w:rsidR="00561441" w:rsidRDefault="008F1F84" w:rsidP="00BF1F49">
      <w:pPr>
        <w:pStyle w:val="BodyText"/>
        <w:rPr>
          <w:lang w:eastAsia="en-GB"/>
        </w:rPr>
      </w:pPr>
      <w:r w:rsidRPr="0082277D">
        <w:rPr>
          <w:lang w:eastAsia="en-GB"/>
        </w:rPr>
        <w:lastRenderedPageBreak/>
        <w:t xml:space="preserve">Invited papers will cover major issues of relevance </w:t>
      </w:r>
      <w:r w:rsidR="00BF1F49">
        <w:rPr>
          <w:lang w:eastAsia="en-GB"/>
        </w:rPr>
        <w:t>to the</w:t>
      </w:r>
      <w:r w:rsidRPr="00BF1F49">
        <w:rPr>
          <w:lang w:eastAsia="en-GB"/>
        </w:rPr>
        <w:t xml:space="preserve"> </w:t>
      </w:r>
      <w:r w:rsidR="00A30109" w:rsidRPr="00BF1F49">
        <w:rPr>
          <w:lang w:eastAsia="en-GB"/>
        </w:rPr>
        <w:t>expert</w:t>
      </w:r>
      <w:r w:rsidRPr="00BF1F49">
        <w:rPr>
          <w:lang w:eastAsia="en-GB"/>
        </w:rPr>
        <w:t xml:space="preserve"> areas</w:t>
      </w:r>
      <w:r w:rsidR="00A30109">
        <w:rPr>
          <w:lang w:eastAsia="en-GB"/>
        </w:rPr>
        <w:t>, perspectives and applications</w:t>
      </w:r>
      <w:r w:rsidR="00BF1F49">
        <w:rPr>
          <w:lang w:eastAsia="en-GB"/>
        </w:rPr>
        <w:t xml:space="preserve"> mentioned in Section </w:t>
      </w:r>
      <w:r w:rsidR="00BF1F49">
        <w:rPr>
          <w:lang w:eastAsia="en-GB"/>
        </w:rPr>
        <w:fldChar w:fldCharType="begin"/>
      </w:r>
      <w:r w:rsidR="00BF1F49">
        <w:rPr>
          <w:lang w:eastAsia="en-GB"/>
        </w:rPr>
        <w:instrText xml:space="preserve"> REF _Ref393205873 \r \h </w:instrText>
      </w:r>
      <w:r w:rsidR="00BF1F49">
        <w:rPr>
          <w:lang w:eastAsia="en-GB"/>
        </w:rPr>
      </w:r>
      <w:r w:rsidR="00BF1F49">
        <w:rPr>
          <w:lang w:eastAsia="en-GB"/>
        </w:rPr>
        <w:fldChar w:fldCharType="separate"/>
      </w:r>
      <w:r w:rsidR="002F5B7B">
        <w:rPr>
          <w:lang w:eastAsia="en-GB"/>
        </w:rPr>
        <w:t>C</w:t>
      </w:r>
      <w:r w:rsidR="00BF1F49">
        <w:rPr>
          <w:lang w:eastAsia="en-GB"/>
        </w:rPr>
        <w:fldChar w:fldCharType="end"/>
      </w:r>
      <w:r w:rsidRPr="0082277D">
        <w:rPr>
          <w:lang w:eastAsia="en-GB"/>
        </w:rPr>
        <w:t xml:space="preserve">. A closing panel session will summarize the principal </w:t>
      </w:r>
      <w:r w:rsidR="00A30109">
        <w:rPr>
          <w:lang w:eastAsia="en-GB"/>
        </w:rPr>
        <w:t>insight</w:t>
      </w:r>
      <w:r w:rsidR="00BF1F49">
        <w:rPr>
          <w:lang w:eastAsia="en-GB"/>
        </w:rPr>
        <w:t>s</w:t>
      </w:r>
      <w:r w:rsidR="00A30109">
        <w:rPr>
          <w:lang w:eastAsia="en-GB"/>
        </w:rPr>
        <w:t xml:space="preserve"> obtained</w:t>
      </w:r>
      <w:r w:rsidRPr="0082277D">
        <w:rPr>
          <w:lang w:eastAsia="en-GB"/>
        </w:rPr>
        <w:t xml:space="preserve"> during the conference and address important issues raised by the </w:t>
      </w:r>
      <w:r w:rsidR="00A30109">
        <w:rPr>
          <w:lang w:eastAsia="en-GB"/>
        </w:rPr>
        <w:t>participants</w:t>
      </w:r>
      <w:r w:rsidRPr="0082277D">
        <w:rPr>
          <w:lang w:eastAsia="en-GB"/>
        </w:rPr>
        <w:t>. At the end, summary conclusions and recom</w:t>
      </w:r>
      <w:r w:rsidR="00A30109">
        <w:rPr>
          <w:lang w:eastAsia="en-GB"/>
        </w:rPr>
        <w:t>mendations will be presented</w:t>
      </w:r>
      <w:r w:rsidRPr="0082277D">
        <w:rPr>
          <w:lang w:eastAsia="en-GB"/>
        </w:rPr>
        <w:t>.</w:t>
      </w:r>
      <w:r w:rsidR="00A30109">
        <w:rPr>
          <w:lang w:eastAsia="en-GB"/>
        </w:rPr>
        <w:t xml:space="preserve"> The conference will be documented through an IAEA publication.</w:t>
      </w:r>
    </w:p>
    <w:p w:rsidR="00CA5882" w:rsidRPr="002C099B" w:rsidRDefault="00F7035C" w:rsidP="009E1D54">
      <w:pPr>
        <w:pStyle w:val="Heading1"/>
      </w:pPr>
      <w:r w:rsidRPr="002C099B">
        <w:t>Synopses, Papers and Proceedings</w:t>
      </w:r>
    </w:p>
    <w:p w:rsidR="0082277D" w:rsidRDefault="00F7035C" w:rsidP="00D30B94">
      <w:pPr>
        <w:pStyle w:val="BodyText"/>
        <w:rPr>
          <w:lang w:eastAsia="en-GB"/>
        </w:rPr>
      </w:pPr>
      <w:r w:rsidRPr="0082277D">
        <w:rPr>
          <w:lang w:eastAsia="en-GB"/>
        </w:rPr>
        <w:t>All papers submitted — other than invited keynote papers — must present original work and should not have been published elsewhere.</w:t>
      </w:r>
    </w:p>
    <w:p w:rsidR="006D57B9" w:rsidRPr="002C099B" w:rsidRDefault="008F1F84" w:rsidP="006B34CB">
      <w:pPr>
        <w:pStyle w:val="Heading2"/>
      </w:pPr>
      <w:r w:rsidRPr="002C099B">
        <w:t>E</w:t>
      </w:r>
      <w:r w:rsidR="006D57B9" w:rsidRPr="002C099B">
        <w:t>.1</w:t>
      </w:r>
      <w:r w:rsidR="006D57B9" w:rsidRPr="002C099B">
        <w:tab/>
        <w:t xml:space="preserve">Submission of </w:t>
      </w:r>
      <w:r w:rsidR="000C0370" w:rsidRPr="002C099B">
        <w:t>Synopses</w:t>
      </w:r>
    </w:p>
    <w:p w:rsidR="005C3B47" w:rsidRPr="002C099B" w:rsidRDefault="00A049A3" w:rsidP="009E1D54">
      <w:pPr>
        <w:pStyle w:val="BodyText"/>
      </w:pPr>
      <w:r w:rsidRPr="002C099B">
        <w:rPr>
          <w:szCs w:val="22"/>
        </w:rPr>
        <w:t xml:space="preserve">Persons who wish to present a </w:t>
      </w:r>
      <w:r w:rsidRPr="002C099B">
        <w:t xml:space="preserve">paper </w:t>
      </w:r>
      <w:r w:rsidR="0071020A" w:rsidRPr="002C099B">
        <w:t xml:space="preserve">at the conference </w:t>
      </w:r>
      <w:r w:rsidR="001959BE" w:rsidRPr="002C099B">
        <w:t xml:space="preserve">on one of the topics listed under Section </w:t>
      </w:r>
      <w:r w:rsidR="0071020A" w:rsidRPr="002C099B">
        <w:fldChar w:fldCharType="begin"/>
      </w:r>
      <w:r w:rsidR="0071020A" w:rsidRPr="002C099B">
        <w:instrText xml:space="preserve"> REF _Ref393205873 \r \h </w:instrText>
      </w:r>
      <w:r w:rsidR="00F45BEB" w:rsidRPr="002C099B">
        <w:instrText xml:space="preserve"> \* MERGEFORMAT </w:instrText>
      </w:r>
      <w:r w:rsidR="0071020A" w:rsidRPr="002C099B">
        <w:fldChar w:fldCharType="separate"/>
      </w:r>
      <w:r w:rsidR="002F5B7B">
        <w:t>C</w:t>
      </w:r>
      <w:r w:rsidR="0071020A" w:rsidRPr="002C099B">
        <w:fldChar w:fldCharType="end"/>
      </w:r>
      <w:r w:rsidR="001959BE" w:rsidRPr="002C099B">
        <w:t xml:space="preserve"> </w:t>
      </w:r>
      <w:r w:rsidRPr="002C099B">
        <w:t xml:space="preserve">— either orally or in the form of a poster — must submit a synopsis of </w:t>
      </w:r>
      <w:r w:rsidR="00824D21">
        <w:t xml:space="preserve">between </w:t>
      </w:r>
      <w:r w:rsidR="00824D21" w:rsidRPr="00824D21">
        <w:rPr>
          <w:b/>
        </w:rPr>
        <w:t xml:space="preserve">400 and </w:t>
      </w:r>
      <w:r w:rsidRPr="00824D21">
        <w:rPr>
          <w:b/>
        </w:rPr>
        <w:t>800 words</w:t>
      </w:r>
      <w:r w:rsidRPr="002C099B">
        <w:rPr>
          <w:b/>
        </w:rPr>
        <w:t xml:space="preserve"> maximum</w:t>
      </w:r>
      <w:r w:rsidRPr="002C099B">
        <w:t xml:space="preserve"> (not exceeding </w:t>
      </w:r>
      <w:r w:rsidR="0071020A" w:rsidRPr="002C099B">
        <w:t>two</w:t>
      </w:r>
      <w:r w:rsidRPr="002C099B">
        <w:t xml:space="preserve"> pages</w:t>
      </w:r>
      <w:r w:rsidR="0071020A" w:rsidRPr="002C099B">
        <w:t>,</w:t>
      </w:r>
      <w:r w:rsidRPr="002C099B">
        <w:t xml:space="preserve"> including figures and tables) </w:t>
      </w:r>
      <w:r w:rsidRPr="002C099B">
        <w:rPr>
          <w:b/>
          <w:bCs/>
        </w:rPr>
        <w:t>in electronic format</w:t>
      </w:r>
      <w:r w:rsidRPr="002C099B">
        <w:t xml:space="preserve"> (no paper copies) directly to the IAEA.</w:t>
      </w:r>
    </w:p>
    <w:p w:rsidR="005C3B47" w:rsidRPr="00824D21" w:rsidRDefault="005C3B47" w:rsidP="00BF1F49">
      <w:pPr>
        <w:pStyle w:val="BodyText"/>
      </w:pPr>
      <w:r w:rsidRPr="00824D21">
        <w:t xml:space="preserve">The synopsis should give enough information on the contents of the proposed paper to enable the </w:t>
      </w:r>
      <w:r w:rsidR="002430D7" w:rsidRPr="00824D21">
        <w:t xml:space="preserve">Technical </w:t>
      </w:r>
      <w:r w:rsidRPr="00824D21">
        <w:t>Programme Committee to evaluate it. Including too many introductory and general matters should be avoided.</w:t>
      </w:r>
      <w:r w:rsidRPr="00824D21">
        <w:rPr>
          <w:szCs w:val="22"/>
        </w:rPr>
        <w:t xml:space="preserve"> The accepted synopses will be reproduced in unedited form </w:t>
      </w:r>
      <w:r w:rsidR="00824D21">
        <w:rPr>
          <w:szCs w:val="22"/>
        </w:rPr>
        <w:t>and</w:t>
      </w:r>
      <w:r w:rsidRPr="00824D21">
        <w:rPr>
          <w:szCs w:val="22"/>
        </w:rPr>
        <w:t xml:space="preserve"> will be distributed to all participants at the conference.</w:t>
      </w:r>
    </w:p>
    <w:p w:rsidR="001959BE" w:rsidRPr="00824D21" w:rsidRDefault="00A049A3" w:rsidP="00BF1F49">
      <w:pPr>
        <w:pStyle w:val="BodyText"/>
      </w:pPr>
      <w:r w:rsidRPr="00824D21">
        <w:t xml:space="preserve">Instructions on how to upload the synopsis to the conference’s web browser-based file submission system will be available on the conference web page (see Section </w:t>
      </w:r>
      <w:r w:rsidR="00BF1F49">
        <w:fldChar w:fldCharType="begin"/>
      </w:r>
      <w:r w:rsidR="00BF1F49">
        <w:instrText xml:space="preserve"> REF _Ref389037002 \r \h </w:instrText>
      </w:r>
      <w:r w:rsidR="00BF1F49">
        <w:fldChar w:fldCharType="separate"/>
      </w:r>
      <w:r w:rsidR="002F5B7B">
        <w:t>O</w:t>
      </w:r>
      <w:r w:rsidR="00BF1F49">
        <w:fldChar w:fldCharType="end"/>
      </w:r>
      <w:r w:rsidRPr="00824D21">
        <w:t xml:space="preserve">) as of </w:t>
      </w:r>
      <w:r w:rsidR="000303F2" w:rsidRPr="004D387F">
        <w:rPr>
          <w:b/>
        </w:rPr>
        <w:t>1</w:t>
      </w:r>
      <w:r w:rsidR="00A65C49">
        <w:rPr>
          <w:b/>
        </w:rPr>
        <w:t xml:space="preserve"> Ju</w:t>
      </w:r>
      <w:r w:rsidR="000303F2">
        <w:rPr>
          <w:b/>
        </w:rPr>
        <w:t>ly</w:t>
      </w:r>
      <w:r w:rsidR="005C3B47" w:rsidRPr="00824D21">
        <w:rPr>
          <w:b/>
        </w:rPr>
        <w:t xml:space="preserve"> 2015</w:t>
      </w:r>
      <w:r w:rsidRPr="00824D21">
        <w:t>.</w:t>
      </w:r>
    </w:p>
    <w:p w:rsidR="00A049A3" w:rsidRPr="00824D21" w:rsidRDefault="00A049A3" w:rsidP="009E1D54">
      <w:pPr>
        <w:pStyle w:val="BodyText"/>
      </w:pPr>
      <w:r w:rsidRPr="00824D21">
        <w:t xml:space="preserve">The synopses </w:t>
      </w:r>
      <w:r w:rsidRPr="00824D21">
        <w:rPr>
          <w:b/>
          <w:bCs/>
        </w:rPr>
        <w:t>must</w:t>
      </w:r>
      <w:r w:rsidRPr="00824D21">
        <w:t xml:space="preserve"> be submitted through this system by </w:t>
      </w:r>
      <w:r w:rsidR="007003AC" w:rsidRPr="009D5CCF">
        <w:rPr>
          <w:b/>
          <w:bCs/>
          <w:color w:val="FF0000"/>
        </w:rPr>
        <w:t xml:space="preserve">30 </w:t>
      </w:r>
      <w:r w:rsidR="00AA6714" w:rsidRPr="009D5CCF">
        <w:rPr>
          <w:b/>
          <w:bCs/>
          <w:color w:val="FF0000"/>
        </w:rPr>
        <w:t>October</w:t>
      </w:r>
      <w:r w:rsidRPr="009D5CCF">
        <w:rPr>
          <w:b/>
          <w:bCs/>
          <w:color w:val="FF0000"/>
        </w:rPr>
        <w:t xml:space="preserve"> 2015</w:t>
      </w:r>
      <w:r w:rsidRPr="00824D21">
        <w:t>.</w:t>
      </w:r>
      <w:r w:rsidR="005320AF">
        <w:t xml:space="preserve"> </w:t>
      </w:r>
      <w:r w:rsidRPr="00824D21">
        <w:t>No other submission route will be accepted.</w:t>
      </w:r>
    </w:p>
    <w:p w:rsidR="005C3B47" w:rsidRPr="00824D21" w:rsidRDefault="005C3B47" w:rsidP="009E1D54">
      <w:pPr>
        <w:pStyle w:val="BodyText"/>
        <w:rPr>
          <w:rFonts w:cs="Arial"/>
          <w:szCs w:val="22"/>
          <w:u w:val="single"/>
        </w:rPr>
      </w:pPr>
      <w:r w:rsidRPr="00824D21">
        <w:t>It is the responsibility of the author</w:t>
      </w:r>
      <w:r w:rsidR="00CB7952" w:rsidRPr="00824D21">
        <w:t>s</w:t>
      </w:r>
      <w:r w:rsidRPr="00824D21">
        <w:t xml:space="preserve"> to ensure that the </w:t>
      </w:r>
      <w:r w:rsidR="00421F1A" w:rsidRPr="00824D21">
        <w:t xml:space="preserve">submitted </w:t>
      </w:r>
      <w:r w:rsidR="00CB7952" w:rsidRPr="00824D21">
        <w:t xml:space="preserve">synopses have </w:t>
      </w:r>
      <w:r w:rsidRPr="00824D21">
        <w:t>received any necessary clearance by their relevant government</w:t>
      </w:r>
      <w:r w:rsidR="00421F1A" w:rsidRPr="00824D21">
        <w:t>al</w:t>
      </w:r>
      <w:r w:rsidRPr="00824D21">
        <w:t xml:space="preserve"> authorities.</w:t>
      </w:r>
    </w:p>
    <w:p w:rsidR="00A049A3" w:rsidRPr="005320AF" w:rsidRDefault="00A049A3" w:rsidP="009E1D54">
      <w:pPr>
        <w:pStyle w:val="BodyText"/>
      </w:pPr>
      <w:r w:rsidRPr="00824D21">
        <w:t xml:space="preserve">In addition, authors must submit the following two forms to their appropriate governmental authority (see </w:t>
      </w:r>
      <w:r w:rsidR="00877B9B" w:rsidRPr="00824D21">
        <w:t>S</w:t>
      </w:r>
      <w:r w:rsidRPr="00824D21">
        <w:t xml:space="preserve">ection </w:t>
      </w:r>
      <w:r w:rsidR="00C965AF" w:rsidRPr="00824D21">
        <w:fldChar w:fldCharType="begin"/>
      </w:r>
      <w:r w:rsidR="00C965AF" w:rsidRPr="00824D21">
        <w:instrText xml:space="preserve"> REF _Ref393205984 \r \h </w:instrText>
      </w:r>
      <w:r w:rsidR="00F45BEB" w:rsidRPr="00824D21">
        <w:instrText xml:space="preserve"> \* MERGEFORMAT </w:instrText>
      </w:r>
      <w:r w:rsidR="00C965AF" w:rsidRPr="00824D21">
        <w:fldChar w:fldCharType="separate"/>
      </w:r>
      <w:r w:rsidR="002F5B7B">
        <w:t>F</w:t>
      </w:r>
      <w:r w:rsidR="00C965AF" w:rsidRPr="00824D21">
        <w:fldChar w:fldCharType="end"/>
      </w:r>
      <w:r w:rsidRPr="00824D21">
        <w:t>) for transmission to the IAEA. These forms must be received by the IAEA no</w:t>
      </w:r>
      <w:r w:rsidR="00C965AF" w:rsidRPr="00824D21">
        <w:t>t</w:t>
      </w:r>
      <w:r w:rsidRPr="00824D21">
        <w:t xml:space="preserve"> later than </w:t>
      </w:r>
      <w:r w:rsidR="005320AF" w:rsidRPr="005320AF">
        <w:rPr>
          <w:b/>
          <w:color w:val="FF0000"/>
        </w:rPr>
        <w:t xml:space="preserve">30 </w:t>
      </w:r>
      <w:r w:rsidR="00AA6714">
        <w:rPr>
          <w:b/>
          <w:color w:val="FF0000"/>
        </w:rPr>
        <w:t>October</w:t>
      </w:r>
      <w:r w:rsidR="003674AC">
        <w:rPr>
          <w:b/>
          <w:color w:val="FF0000"/>
        </w:rPr>
        <w:t xml:space="preserve"> 2</w:t>
      </w:r>
      <w:r w:rsidR="005320AF" w:rsidRPr="005320AF">
        <w:rPr>
          <w:b/>
          <w:color w:val="FF0000"/>
        </w:rPr>
        <w:t>01</w:t>
      </w:r>
      <w:r w:rsidR="00720339">
        <w:rPr>
          <w:b/>
          <w:color w:val="FF0000"/>
        </w:rPr>
        <w:t>5</w:t>
      </w:r>
      <w:r w:rsidR="005320AF" w:rsidRPr="005320AF">
        <w:rPr>
          <w:b/>
          <w:color w:val="FF0000"/>
        </w:rPr>
        <w:t>.</w:t>
      </w:r>
    </w:p>
    <w:p w:rsidR="00A049A3" w:rsidRPr="00824D21" w:rsidRDefault="00A049A3" w:rsidP="00D30B94">
      <w:pPr>
        <w:numPr>
          <w:ilvl w:val="0"/>
          <w:numId w:val="8"/>
        </w:numPr>
        <w:spacing w:after="170" w:line="280" w:lineRule="atLeast"/>
        <w:textAlignment w:val="auto"/>
        <w:rPr>
          <w:color w:val="000000"/>
          <w:szCs w:val="11"/>
        </w:rPr>
      </w:pPr>
      <w:r w:rsidRPr="00824D21">
        <w:rPr>
          <w:color w:val="000000"/>
          <w:szCs w:val="11"/>
        </w:rPr>
        <w:t>Participation Form (Form A)</w:t>
      </w:r>
    </w:p>
    <w:p w:rsidR="00A049A3" w:rsidRPr="00824D21" w:rsidRDefault="00A049A3" w:rsidP="00D30B94">
      <w:pPr>
        <w:numPr>
          <w:ilvl w:val="0"/>
          <w:numId w:val="8"/>
        </w:numPr>
        <w:spacing w:after="170" w:line="280" w:lineRule="atLeast"/>
        <w:ind w:left="714" w:hanging="357"/>
        <w:textAlignment w:val="auto"/>
        <w:rPr>
          <w:bCs/>
          <w:color w:val="000000"/>
        </w:rPr>
      </w:pPr>
      <w:r w:rsidRPr="00824D21">
        <w:rPr>
          <w:color w:val="000000"/>
          <w:szCs w:val="11"/>
        </w:rPr>
        <w:t>Form for Submission of a Paper (Form B)</w:t>
      </w:r>
    </w:p>
    <w:p w:rsidR="006D57B9" w:rsidRPr="00824D21" w:rsidRDefault="00A049A3" w:rsidP="009E1D54">
      <w:pPr>
        <w:pStyle w:val="BodyText"/>
      </w:pPr>
      <w:r w:rsidRPr="00824D21">
        <w:rPr>
          <w:b/>
          <w:bCs/>
          <w:color w:val="000000"/>
        </w:rPr>
        <w:t>IMPORTANT:</w:t>
      </w:r>
      <w:r w:rsidRPr="00824D21">
        <w:rPr>
          <w:bCs/>
          <w:color w:val="000000"/>
        </w:rPr>
        <w:t xml:space="preserve"> </w:t>
      </w:r>
      <w:r w:rsidRPr="00824D21">
        <w:t xml:space="preserve">The electronically received synopses will be considered by the </w:t>
      </w:r>
      <w:r w:rsidR="002430D7" w:rsidRPr="00824D21">
        <w:t xml:space="preserve">Technical </w:t>
      </w:r>
      <w:r w:rsidRPr="00824D21">
        <w:t xml:space="preserve">Programme Committee only if these two forms have been received by the IAEA through the established official channels (see Section </w:t>
      </w:r>
      <w:r w:rsidR="00C965AF" w:rsidRPr="00824D21">
        <w:fldChar w:fldCharType="begin"/>
      </w:r>
      <w:r w:rsidR="00C965AF" w:rsidRPr="00824D21">
        <w:instrText xml:space="preserve"> REF _Ref393205984 \r \h </w:instrText>
      </w:r>
      <w:r w:rsidR="00F45BEB" w:rsidRPr="00824D21">
        <w:instrText xml:space="preserve"> \* MERGEFORMAT </w:instrText>
      </w:r>
      <w:r w:rsidR="00C965AF" w:rsidRPr="00824D21">
        <w:fldChar w:fldCharType="separate"/>
      </w:r>
      <w:r w:rsidR="002F5B7B">
        <w:t>F</w:t>
      </w:r>
      <w:r w:rsidR="00C965AF" w:rsidRPr="00824D21">
        <w:fldChar w:fldCharType="end"/>
      </w:r>
      <w:r w:rsidRPr="00824D21">
        <w:t>).</w:t>
      </w:r>
    </w:p>
    <w:p w:rsidR="006D57B9" w:rsidRPr="008011BF" w:rsidRDefault="008F1F84" w:rsidP="0071020A">
      <w:pPr>
        <w:pStyle w:val="Heading2"/>
      </w:pPr>
      <w:r w:rsidRPr="008011BF">
        <w:lastRenderedPageBreak/>
        <w:t>E</w:t>
      </w:r>
      <w:r w:rsidR="006D57B9" w:rsidRPr="008011BF">
        <w:t>.2</w:t>
      </w:r>
      <w:r w:rsidR="006D57B9" w:rsidRPr="008011BF">
        <w:tab/>
        <w:t xml:space="preserve">Acceptance of </w:t>
      </w:r>
      <w:r w:rsidR="001959BE" w:rsidRPr="008011BF">
        <w:t>Synopses</w:t>
      </w:r>
    </w:p>
    <w:p w:rsidR="001959BE" w:rsidRPr="008011BF" w:rsidRDefault="001959BE" w:rsidP="00C965AF">
      <w:pPr>
        <w:pStyle w:val="BodyText"/>
      </w:pPr>
      <w:r w:rsidRPr="008011BF">
        <w:t xml:space="preserve">Given the number of synopses anticipated and the need to provide ample time for discussion, the number of papers that can be accepted for oral presentation is limited. Authors who prefer to present their papers as posters are requested to indicate this preference on </w:t>
      </w:r>
      <w:r w:rsidR="00C965AF" w:rsidRPr="008011BF">
        <w:t xml:space="preserve">Form </w:t>
      </w:r>
      <w:r w:rsidRPr="008011BF">
        <w:t>A.</w:t>
      </w:r>
    </w:p>
    <w:p w:rsidR="001959BE" w:rsidRPr="005320AF" w:rsidRDefault="001959BE" w:rsidP="00C965AF">
      <w:pPr>
        <w:pStyle w:val="BodyText"/>
        <w:rPr>
          <w:b/>
          <w:color w:val="FF0000"/>
        </w:rPr>
      </w:pPr>
      <w:r w:rsidRPr="008011BF">
        <w:rPr>
          <w:szCs w:val="22"/>
        </w:rPr>
        <w:t xml:space="preserve">Authors will be notified by </w:t>
      </w:r>
      <w:r w:rsidR="003674AC" w:rsidRPr="003674AC">
        <w:rPr>
          <w:b/>
          <w:color w:val="FF0000"/>
          <w:szCs w:val="22"/>
        </w:rPr>
        <w:t>23 November 2015</w:t>
      </w:r>
      <w:r w:rsidR="003674AC" w:rsidRPr="003674AC">
        <w:rPr>
          <w:color w:val="FF0000"/>
          <w:szCs w:val="22"/>
        </w:rPr>
        <w:t xml:space="preserve"> </w:t>
      </w:r>
      <w:r w:rsidR="00C965AF" w:rsidRPr="008011BF">
        <w:rPr>
          <w:szCs w:val="22"/>
        </w:rPr>
        <w:t xml:space="preserve">as to </w:t>
      </w:r>
      <w:r w:rsidRPr="008011BF">
        <w:rPr>
          <w:szCs w:val="22"/>
        </w:rPr>
        <w:t>whether their papers have been accepted for oral or poster presentation.</w:t>
      </w:r>
    </w:p>
    <w:p w:rsidR="001959BE" w:rsidRPr="008011BF" w:rsidRDefault="008F1F84" w:rsidP="008F1F84">
      <w:pPr>
        <w:pStyle w:val="Heading2"/>
      </w:pPr>
      <w:r w:rsidRPr="008011BF">
        <w:t>E</w:t>
      </w:r>
      <w:r w:rsidR="005C3B47" w:rsidRPr="008011BF">
        <w:t>.3</w:t>
      </w:r>
      <w:r w:rsidR="005C3B47" w:rsidRPr="008011BF">
        <w:tab/>
        <w:t>Submission of Full Papers</w:t>
      </w:r>
    </w:p>
    <w:p w:rsidR="008011BF" w:rsidRDefault="008011BF" w:rsidP="00D30B94">
      <w:pPr>
        <w:overflowPunct/>
        <w:spacing w:after="170" w:line="280" w:lineRule="atLeast"/>
        <w:jc w:val="both"/>
        <w:textAlignment w:val="auto"/>
        <w:rPr>
          <w:szCs w:val="22"/>
          <w:lang w:eastAsia="en-GB"/>
        </w:rPr>
      </w:pPr>
      <w:r w:rsidRPr="008011BF">
        <w:rPr>
          <w:szCs w:val="22"/>
          <w:lang w:eastAsia="en-GB"/>
        </w:rPr>
        <w:t>Only authors of papers selected for oral presentation are requested to submit a full paper. Full papers</w:t>
      </w:r>
      <w:r w:rsidR="009E1D54">
        <w:rPr>
          <w:szCs w:val="22"/>
          <w:lang w:eastAsia="en-GB"/>
        </w:rPr>
        <w:t xml:space="preserve"> </w:t>
      </w:r>
      <w:r w:rsidRPr="008011BF">
        <w:rPr>
          <w:szCs w:val="22"/>
          <w:lang w:eastAsia="en-GB"/>
        </w:rPr>
        <w:t xml:space="preserve">must be submitted through the </w:t>
      </w:r>
      <w:r w:rsidR="00BF1F49" w:rsidRPr="00824D21">
        <w:t>conference’s web browser-based file submission system</w:t>
      </w:r>
      <w:r w:rsidRPr="008011BF">
        <w:rPr>
          <w:szCs w:val="22"/>
          <w:lang w:eastAsia="en-GB"/>
        </w:rPr>
        <w:t>. Specifications for the layout</w:t>
      </w:r>
      <w:r w:rsidR="009E1D54">
        <w:rPr>
          <w:szCs w:val="22"/>
          <w:lang w:eastAsia="en-GB"/>
        </w:rPr>
        <w:t xml:space="preserve"> </w:t>
      </w:r>
      <w:r w:rsidRPr="008011BF">
        <w:rPr>
          <w:szCs w:val="22"/>
          <w:lang w:eastAsia="en-GB"/>
        </w:rPr>
        <w:t>and electronic format of the full papers will be made available on the conference web page. The</w:t>
      </w:r>
      <w:r w:rsidR="009E1D54">
        <w:rPr>
          <w:szCs w:val="22"/>
          <w:lang w:eastAsia="en-GB"/>
        </w:rPr>
        <w:t xml:space="preserve"> </w:t>
      </w:r>
      <w:r w:rsidRPr="008011BF">
        <w:rPr>
          <w:szCs w:val="22"/>
          <w:lang w:eastAsia="en-GB"/>
        </w:rPr>
        <w:t xml:space="preserve">deadline for electronic submission of the full papers as both PDF and Word files is </w:t>
      </w:r>
      <w:r w:rsidR="003674AC">
        <w:rPr>
          <w:b/>
          <w:color w:val="FF0000"/>
          <w:szCs w:val="22"/>
        </w:rPr>
        <w:t>8 January 2016.</w:t>
      </w:r>
    </w:p>
    <w:p w:rsidR="0023368A" w:rsidRPr="008011BF" w:rsidRDefault="008011BF" w:rsidP="00D30B94">
      <w:pPr>
        <w:overflowPunct/>
        <w:spacing w:after="170" w:line="280" w:lineRule="atLeast"/>
        <w:jc w:val="both"/>
        <w:textAlignment w:val="auto"/>
      </w:pPr>
      <w:r w:rsidRPr="008011BF">
        <w:rPr>
          <w:szCs w:val="22"/>
          <w:lang w:eastAsia="en-GB"/>
        </w:rPr>
        <w:t>IMPORTANT: The system for electronic submission of papers is the sole</w:t>
      </w:r>
      <w:r>
        <w:rPr>
          <w:szCs w:val="22"/>
          <w:lang w:eastAsia="en-GB"/>
        </w:rPr>
        <w:t xml:space="preserve"> </w:t>
      </w:r>
      <w:r w:rsidRPr="008011BF">
        <w:rPr>
          <w:szCs w:val="22"/>
          <w:lang w:eastAsia="en-GB"/>
        </w:rPr>
        <w:t xml:space="preserve">mechanism for submission of regular papers. Authors are encouraged to submit papers </w:t>
      </w:r>
      <w:r w:rsidRPr="00A930AD">
        <w:rPr>
          <w:b/>
          <w:bCs/>
          <w:szCs w:val="22"/>
          <w:lang w:eastAsia="en-GB"/>
        </w:rPr>
        <w:t>as early as possible</w:t>
      </w:r>
      <w:r>
        <w:rPr>
          <w:rFonts w:ascii="TimesNewRomanPSMT" w:hAnsi="TimesNewRomanPSMT" w:cs="TimesNewRomanPSMT"/>
          <w:szCs w:val="22"/>
          <w:lang w:eastAsia="en-GB"/>
        </w:rPr>
        <w:t xml:space="preserve">. </w:t>
      </w:r>
      <w:r w:rsidR="0023368A" w:rsidRPr="008011BF">
        <w:t xml:space="preserve">The </w:t>
      </w:r>
      <w:r w:rsidR="00A27BCE" w:rsidRPr="008011BF">
        <w:t xml:space="preserve">IAEA </w:t>
      </w:r>
      <w:r w:rsidR="0023368A" w:rsidRPr="008011BF">
        <w:t xml:space="preserve">reserves the right to exclude papers that do not comply with its quality standards and/or that do not apply to one of the topics outlined in Section </w:t>
      </w:r>
      <w:r w:rsidR="00C965AF" w:rsidRPr="008011BF">
        <w:fldChar w:fldCharType="begin"/>
      </w:r>
      <w:r w:rsidR="00C965AF" w:rsidRPr="008011BF">
        <w:instrText xml:space="preserve"> REF _Ref393205873 \r \h </w:instrText>
      </w:r>
      <w:r w:rsidR="00CB7952" w:rsidRPr="008011BF">
        <w:instrText xml:space="preserve"> \* MERGEFORMAT </w:instrText>
      </w:r>
      <w:r w:rsidR="00C965AF" w:rsidRPr="008011BF">
        <w:fldChar w:fldCharType="separate"/>
      </w:r>
      <w:r w:rsidR="002F5B7B">
        <w:t>C</w:t>
      </w:r>
      <w:r w:rsidR="00C965AF" w:rsidRPr="008011BF">
        <w:fldChar w:fldCharType="end"/>
      </w:r>
      <w:r w:rsidR="0023368A" w:rsidRPr="008011BF">
        <w:t xml:space="preserve"> above</w:t>
      </w:r>
      <w:r w:rsidR="00CB7952" w:rsidRPr="008011BF">
        <w:t xml:space="preserve"> and/or that</w:t>
      </w:r>
      <w:r w:rsidR="00CB7952" w:rsidRPr="008011BF">
        <w:rPr>
          <w:szCs w:val="22"/>
        </w:rPr>
        <w:t xml:space="preserve"> do not meet the expectations based on the information given in the extended synopsis.</w:t>
      </w:r>
    </w:p>
    <w:p w:rsidR="00CB7952" w:rsidRPr="008011BF" w:rsidRDefault="00CB7952" w:rsidP="00BF1F49">
      <w:pPr>
        <w:pStyle w:val="BodyText"/>
        <w:rPr>
          <w:rFonts w:cs="Arial"/>
          <w:szCs w:val="22"/>
          <w:u w:val="single"/>
        </w:rPr>
      </w:pPr>
      <w:r w:rsidRPr="008011BF">
        <w:t>It is the responsibility of the authors to ensure that the submitted papers have received any necessary clearance by their relevant governmental authorities.</w:t>
      </w:r>
    </w:p>
    <w:p w:rsidR="006D57B9" w:rsidRPr="008011BF" w:rsidRDefault="008F1F84" w:rsidP="008F1F84">
      <w:pPr>
        <w:pStyle w:val="Heading2"/>
      </w:pPr>
      <w:r w:rsidRPr="008011BF">
        <w:t>E</w:t>
      </w:r>
      <w:r w:rsidR="006D57B9" w:rsidRPr="008011BF">
        <w:t>.</w:t>
      </w:r>
      <w:r w:rsidR="005C3B47" w:rsidRPr="008011BF">
        <w:t>4</w:t>
      </w:r>
      <w:r w:rsidR="006D57B9" w:rsidRPr="008011BF">
        <w:tab/>
      </w:r>
      <w:r w:rsidR="0023368A" w:rsidRPr="008011BF">
        <w:t xml:space="preserve">Conference </w:t>
      </w:r>
      <w:r w:rsidR="006D57B9" w:rsidRPr="008011BF">
        <w:t>Proceedings</w:t>
      </w:r>
    </w:p>
    <w:p w:rsidR="00CA5882" w:rsidRPr="008011BF" w:rsidRDefault="006D57B9" w:rsidP="006D57B9">
      <w:pPr>
        <w:pStyle w:val="BodyText"/>
      </w:pPr>
      <w:r w:rsidRPr="008011BF">
        <w:t>The proceedings</w:t>
      </w:r>
      <w:bookmarkStart w:id="2" w:name="_Ref388282111"/>
      <w:r w:rsidRPr="008011BF">
        <w:t xml:space="preserve"> of the confe</w:t>
      </w:r>
      <w:bookmarkEnd w:id="2"/>
      <w:r w:rsidRPr="008011BF">
        <w:t>rence will be published by the IAEA and made available on its website as soon as possible after the conference</w:t>
      </w:r>
      <w:r w:rsidR="00CB7952" w:rsidRPr="008011BF">
        <w:t>.</w:t>
      </w:r>
    </w:p>
    <w:p w:rsidR="00750DF0" w:rsidRPr="008011BF" w:rsidRDefault="006D57B9" w:rsidP="009E1D54">
      <w:pPr>
        <w:pStyle w:val="Heading1"/>
      </w:pPr>
      <w:bookmarkStart w:id="3" w:name="_Ref393205984"/>
      <w:r w:rsidRPr="008011BF">
        <w:t>Participation</w:t>
      </w:r>
      <w:r w:rsidR="0023368A" w:rsidRPr="008011BF">
        <w:t xml:space="preserve"> and Registration</w:t>
      </w:r>
      <w:bookmarkEnd w:id="3"/>
    </w:p>
    <w:p w:rsidR="00467CB0" w:rsidRPr="00FD7590" w:rsidRDefault="00467CB0" w:rsidP="00467CB0">
      <w:pPr>
        <w:overflowPunct/>
        <w:autoSpaceDE/>
        <w:autoSpaceDN/>
        <w:adjustRightInd/>
        <w:spacing w:after="170" w:line="280" w:lineRule="atLeast"/>
        <w:jc w:val="both"/>
        <w:textAlignment w:val="auto"/>
      </w:pPr>
      <w:r w:rsidRPr="00FD7590">
        <w:t xml:space="preserve">The target audience of the conference </w:t>
      </w:r>
      <w:r>
        <w:t>comprises</w:t>
      </w:r>
      <w:r w:rsidRPr="00FD7590">
        <w:t xml:space="preserve"> </w:t>
      </w:r>
      <w:r>
        <w:t xml:space="preserve">representatives of </w:t>
      </w:r>
      <w:r w:rsidRPr="00FD7590">
        <w:t>nuclear organi</w:t>
      </w:r>
      <w:r>
        <w:t>z</w:t>
      </w:r>
      <w:r w:rsidRPr="00FD7590">
        <w:t>ations</w:t>
      </w:r>
      <w:r>
        <w:t xml:space="preserve"> worldwide</w:t>
      </w:r>
      <w:r w:rsidRPr="00FD7590">
        <w:t>, including operating organizations, regulatory bodies, governmental institutions, technical support organizations, vendors and other stakeholders.</w:t>
      </w:r>
    </w:p>
    <w:p w:rsidR="006D57B9" w:rsidRPr="0089569A" w:rsidRDefault="006D57B9" w:rsidP="00BF1F49">
      <w:pPr>
        <w:pStyle w:val="BodyText"/>
      </w:pPr>
      <w:r w:rsidRPr="008011BF">
        <w:t xml:space="preserve">All persons wishing to participate in the conference are requested to </w:t>
      </w:r>
      <w:r w:rsidRPr="008011BF">
        <w:rPr>
          <w:b/>
          <w:bCs/>
        </w:rPr>
        <w:t xml:space="preserve">register online in advance </w:t>
      </w:r>
      <w:r w:rsidRPr="008011BF">
        <w:rPr>
          <w:bCs/>
        </w:rPr>
        <w:t>through the conference web page</w:t>
      </w:r>
      <w:r w:rsidR="00C965AF" w:rsidRPr="008011BF">
        <w:rPr>
          <w:bCs/>
        </w:rPr>
        <w:t xml:space="preserve"> (see Section </w:t>
      </w:r>
      <w:r w:rsidR="00BF1F49">
        <w:rPr>
          <w:bCs/>
        </w:rPr>
        <w:fldChar w:fldCharType="begin"/>
      </w:r>
      <w:r w:rsidR="00BF1F49">
        <w:rPr>
          <w:bCs/>
        </w:rPr>
        <w:instrText xml:space="preserve"> REF _Ref389037002 \r \h </w:instrText>
      </w:r>
      <w:r w:rsidR="00BF1F49">
        <w:rPr>
          <w:bCs/>
        </w:rPr>
      </w:r>
      <w:r w:rsidR="00BF1F49">
        <w:rPr>
          <w:bCs/>
        </w:rPr>
        <w:fldChar w:fldCharType="separate"/>
      </w:r>
      <w:r w:rsidR="002F5B7B">
        <w:rPr>
          <w:bCs/>
        </w:rPr>
        <w:t>O</w:t>
      </w:r>
      <w:r w:rsidR="00BF1F49">
        <w:rPr>
          <w:bCs/>
        </w:rPr>
        <w:fldChar w:fldCharType="end"/>
      </w:r>
      <w:r w:rsidR="00C965AF" w:rsidRPr="008011BF">
        <w:rPr>
          <w:bCs/>
        </w:rPr>
        <w:t>)</w:t>
      </w:r>
      <w:r w:rsidRPr="008011BF">
        <w:t xml:space="preserve">. </w:t>
      </w:r>
      <w:r w:rsidRPr="008011BF">
        <w:rPr>
          <w:b/>
        </w:rPr>
        <w:t>In addition</w:t>
      </w:r>
      <w:r w:rsidRPr="0089569A">
        <w:t>, they are required to send a completed Participation Form (Form A) and, if applicable, the Form for Submission of a Paper (Form B) and the Grant Application Form (Form C) to their competent national authority (e.g. Ministry of Foreign Affairs or National Atomic Energy Authority), or to one of the organizations invited to participate, for subsequent electronic transmission to the IAEA (</w:t>
      </w:r>
      <w:hyperlink r:id="rId10" w:history="1">
        <w:r w:rsidR="00C965AF">
          <w:rPr>
            <w:rStyle w:val="Hyperlink"/>
          </w:rPr>
          <w:t>Official.Mail@iaea.org</w:t>
        </w:r>
      </w:hyperlink>
      <w:r w:rsidRPr="0089569A">
        <w:t>).</w:t>
      </w:r>
    </w:p>
    <w:p w:rsidR="006D57B9" w:rsidRPr="0089569A" w:rsidRDefault="006D57B9" w:rsidP="006D57B9">
      <w:pPr>
        <w:pStyle w:val="BodyText"/>
      </w:pPr>
      <w:r w:rsidRPr="0089569A">
        <w:lastRenderedPageBreak/>
        <w:t>A participant will be accepted only if the Participation Form is transmitted through the competent national authority of a Member State of the IAEA or by an organization invited to participate.</w:t>
      </w:r>
    </w:p>
    <w:p w:rsidR="005B6E72" w:rsidRPr="0089569A" w:rsidRDefault="006D57B9" w:rsidP="006D57B9">
      <w:pPr>
        <w:pStyle w:val="BodyText"/>
        <w:widowControl w:val="0"/>
        <w:overflowPunct w:val="0"/>
        <w:autoSpaceDE w:val="0"/>
        <w:autoSpaceDN w:val="0"/>
        <w:adjustRightInd w:val="0"/>
        <w:textAlignment w:val="baseline"/>
      </w:pPr>
      <w:r w:rsidRPr="0089569A">
        <w:t>Participants whose official designations have been received by the IAEA will receive from the IAEA further information approximately three months before the opening of the conference. This information will also be posted on the conference web page.</w:t>
      </w:r>
    </w:p>
    <w:p w:rsidR="00750DF0" w:rsidRPr="0089569A" w:rsidRDefault="006D57B9" w:rsidP="009E1D54">
      <w:pPr>
        <w:pStyle w:val="Heading1"/>
      </w:pPr>
      <w:r w:rsidRPr="0089569A">
        <w:t>Expenditures</w:t>
      </w:r>
      <w:r w:rsidR="0089569A" w:rsidRPr="0089569A">
        <w:t xml:space="preserve"> and Grants</w:t>
      </w:r>
    </w:p>
    <w:p w:rsidR="006D57B9" w:rsidRPr="0089569A" w:rsidRDefault="006D57B9" w:rsidP="006D57B9">
      <w:pPr>
        <w:pStyle w:val="BodyText"/>
      </w:pPr>
      <w:r w:rsidRPr="0089569A">
        <w:t>No registration fee is charged to participants.</w:t>
      </w:r>
    </w:p>
    <w:p w:rsidR="006D57B9" w:rsidRPr="0089569A" w:rsidRDefault="006D57B9" w:rsidP="006B34CB">
      <w:pPr>
        <w:pStyle w:val="BodyText"/>
        <w:rPr>
          <w:szCs w:val="22"/>
        </w:rPr>
      </w:pPr>
      <w:r w:rsidRPr="0089569A">
        <w:rPr>
          <w:szCs w:val="22"/>
        </w:rPr>
        <w:t xml:space="preserve">The IAEA is generally not in a position to bear the travel and other costs of participants in the conference. The IAEA has, however, limited funds at its disposal to help </w:t>
      </w:r>
      <w:r w:rsidR="006B34CB" w:rsidRPr="0089569A">
        <w:rPr>
          <w:szCs w:val="22"/>
        </w:rPr>
        <w:t xml:space="preserve">meet </w:t>
      </w:r>
      <w:r w:rsidRPr="0089569A">
        <w:rPr>
          <w:szCs w:val="22"/>
        </w:rPr>
        <w:t xml:space="preserve">the cost of attendance of </w:t>
      </w:r>
      <w:r w:rsidR="006B34CB" w:rsidRPr="0089569A">
        <w:rPr>
          <w:szCs w:val="22"/>
        </w:rPr>
        <w:t xml:space="preserve">certain </w:t>
      </w:r>
      <w:r w:rsidRPr="0089569A">
        <w:rPr>
          <w:szCs w:val="22"/>
        </w:rPr>
        <w:t>participants. Such assistance may be offered upon specific request to normally one participant per country provided that, in the IAEA’s view, the participant on whose behalf assistance is requested will make an important contribution to the conference.</w:t>
      </w:r>
    </w:p>
    <w:p w:rsidR="006D57B9" w:rsidRPr="0089569A" w:rsidRDefault="006D57B9" w:rsidP="006B34CB">
      <w:pPr>
        <w:pStyle w:val="BodyText"/>
        <w:rPr>
          <w:szCs w:val="22"/>
        </w:rPr>
      </w:pPr>
      <w:r w:rsidRPr="0089569A">
        <w:rPr>
          <w:szCs w:val="22"/>
        </w:rPr>
        <w:t xml:space="preserve">If </w:t>
      </w:r>
      <w:r w:rsidR="006B34CB" w:rsidRPr="0089569A">
        <w:rPr>
          <w:szCs w:val="22"/>
        </w:rPr>
        <w:t>G</w:t>
      </w:r>
      <w:r w:rsidRPr="0089569A">
        <w:rPr>
          <w:szCs w:val="22"/>
        </w:rPr>
        <w:t>overnments wish to apply for a grant on behalf of one of their specialists, they should address specific requests to the IAEA to this effect. Governments should ensure that applications for grants are:</w:t>
      </w:r>
    </w:p>
    <w:p w:rsidR="006D57B9" w:rsidRPr="0089569A" w:rsidRDefault="006D57B9" w:rsidP="00720339">
      <w:pPr>
        <w:pStyle w:val="BodyText"/>
        <w:ind w:left="1134" w:hanging="567"/>
        <w:rPr>
          <w:szCs w:val="22"/>
        </w:rPr>
      </w:pPr>
      <w:r w:rsidRPr="0089569A">
        <w:rPr>
          <w:szCs w:val="22"/>
        </w:rPr>
        <w:t>1.</w:t>
      </w:r>
      <w:r w:rsidRPr="0089569A">
        <w:rPr>
          <w:szCs w:val="22"/>
        </w:rPr>
        <w:tab/>
      </w:r>
      <w:r w:rsidRPr="00DE6ACF">
        <w:rPr>
          <w:szCs w:val="22"/>
        </w:rPr>
        <w:t>Submitted by</w:t>
      </w:r>
      <w:r w:rsidRPr="00DE6ACF">
        <w:rPr>
          <w:b/>
          <w:szCs w:val="22"/>
        </w:rPr>
        <w:t xml:space="preserve"> </w:t>
      </w:r>
      <w:r w:rsidR="005320AF" w:rsidRPr="005320AF">
        <w:rPr>
          <w:b/>
          <w:color w:val="FF0000"/>
        </w:rPr>
        <w:t>30 November 2015</w:t>
      </w:r>
      <w:r w:rsidR="003674AC">
        <w:rPr>
          <w:b/>
          <w:color w:val="FF0000"/>
        </w:rPr>
        <w:t>.</w:t>
      </w:r>
    </w:p>
    <w:p w:rsidR="006D57B9" w:rsidRPr="0089569A" w:rsidRDefault="006D57B9" w:rsidP="006D57B9">
      <w:pPr>
        <w:pStyle w:val="BodyText"/>
        <w:ind w:left="567"/>
        <w:rPr>
          <w:szCs w:val="22"/>
        </w:rPr>
      </w:pPr>
      <w:r w:rsidRPr="0089569A">
        <w:rPr>
          <w:szCs w:val="22"/>
        </w:rPr>
        <w:t>2.</w:t>
      </w:r>
      <w:r w:rsidRPr="0089569A">
        <w:rPr>
          <w:szCs w:val="22"/>
        </w:rPr>
        <w:tab/>
        <w:t>Accompanied by a completed and signed Grant Application Form (Form C); and</w:t>
      </w:r>
    </w:p>
    <w:p w:rsidR="006D57B9" w:rsidRPr="0089569A" w:rsidRDefault="006D57B9" w:rsidP="006D57B9">
      <w:pPr>
        <w:pStyle w:val="BodyText"/>
        <w:ind w:left="567"/>
        <w:rPr>
          <w:szCs w:val="22"/>
        </w:rPr>
      </w:pPr>
      <w:r w:rsidRPr="0089569A">
        <w:rPr>
          <w:szCs w:val="22"/>
        </w:rPr>
        <w:t>3.</w:t>
      </w:r>
      <w:r w:rsidRPr="0089569A">
        <w:rPr>
          <w:szCs w:val="22"/>
        </w:rPr>
        <w:tab/>
        <w:t>Accompanied by a completed Participation Form (Form A).</w:t>
      </w:r>
    </w:p>
    <w:p w:rsidR="006D57B9" w:rsidRPr="0089569A" w:rsidRDefault="006D57B9" w:rsidP="006D57B9">
      <w:pPr>
        <w:pStyle w:val="BodyText"/>
      </w:pPr>
      <w:r w:rsidRPr="0089569A">
        <w:t>Applications that do not comply with the above conditions cannot be considered.</w:t>
      </w:r>
    </w:p>
    <w:p w:rsidR="00BF68CA" w:rsidRPr="0089569A" w:rsidRDefault="006D57B9" w:rsidP="006D57B9">
      <w:pPr>
        <w:pStyle w:val="BodyText"/>
      </w:pPr>
      <w:r w:rsidRPr="0089569A">
        <w:t xml:space="preserve">Approved grants will be issued in the form of a lump sum payment that usually </w:t>
      </w:r>
      <w:r w:rsidRPr="0089569A">
        <w:rPr>
          <w:b/>
        </w:rPr>
        <w:t>covers only part of the cost of attendance</w:t>
      </w:r>
      <w:r w:rsidRPr="0089569A">
        <w:t>.</w:t>
      </w:r>
    </w:p>
    <w:p w:rsidR="00750DF0" w:rsidRPr="00DE6ACF" w:rsidRDefault="006D57B9" w:rsidP="009E1D54">
      <w:pPr>
        <w:pStyle w:val="Heading1"/>
      </w:pPr>
      <w:r w:rsidRPr="0089569A">
        <w:t xml:space="preserve">Distribution of </w:t>
      </w:r>
      <w:r w:rsidRPr="00DE6ACF">
        <w:t>Documents</w:t>
      </w:r>
    </w:p>
    <w:p w:rsidR="003332DA" w:rsidRPr="0089569A" w:rsidRDefault="006D57B9" w:rsidP="00BF1F49">
      <w:pPr>
        <w:pStyle w:val="BodyText"/>
        <w:spacing w:after="240"/>
        <w:rPr>
          <w:szCs w:val="22"/>
        </w:rPr>
      </w:pPr>
      <w:r w:rsidRPr="00DE6ACF">
        <w:t>A preliminary programme will be posted on the IAEA conference web page</w:t>
      </w:r>
      <w:r w:rsidR="00C965AF" w:rsidRPr="00DE6ACF">
        <w:t xml:space="preserve"> (see Section </w:t>
      </w:r>
      <w:r w:rsidR="00BF1F49">
        <w:fldChar w:fldCharType="begin"/>
      </w:r>
      <w:r w:rsidR="00BF1F49">
        <w:instrText xml:space="preserve"> REF _Ref389037002 \r \h </w:instrText>
      </w:r>
      <w:r w:rsidR="00BF1F49">
        <w:fldChar w:fldCharType="separate"/>
      </w:r>
      <w:r w:rsidR="002F5B7B">
        <w:t>O</w:t>
      </w:r>
      <w:r w:rsidR="00BF1F49">
        <w:fldChar w:fldCharType="end"/>
      </w:r>
      <w:r w:rsidR="00C965AF" w:rsidRPr="00DE6ACF">
        <w:t>)</w:t>
      </w:r>
      <w:r w:rsidRPr="00DE6ACF">
        <w:t xml:space="preserve"> </w:t>
      </w:r>
      <w:r w:rsidR="00C965AF" w:rsidRPr="00DE6ACF">
        <w:t>in advance of the event</w:t>
      </w:r>
      <w:r w:rsidRPr="00DE6ACF">
        <w:t>. The final programme and the electronic</w:t>
      </w:r>
      <w:r w:rsidR="005B6836" w:rsidRPr="00DE6ACF">
        <w:t xml:space="preserve"> </w:t>
      </w:r>
      <w:r w:rsidR="005B6836" w:rsidRPr="00DE6ACF">
        <w:rPr>
          <w:i/>
          <w:iCs/>
        </w:rPr>
        <w:t>Compilation</w:t>
      </w:r>
      <w:r w:rsidRPr="00DE6ACF">
        <w:rPr>
          <w:i/>
          <w:iCs/>
        </w:rPr>
        <w:t xml:space="preserve"> of </w:t>
      </w:r>
      <w:r w:rsidR="0089569A" w:rsidRPr="00DE6ACF">
        <w:rPr>
          <w:i/>
          <w:iCs/>
        </w:rPr>
        <w:t>Synopses</w:t>
      </w:r>
      <w:r w:rsidRPr="00DE6ACF">
        <w:t xml:space="preserve"> will be available free</w:t>
      </w:r>
      <w:r w:rsidRPr="0089569A">
        <w:t xml:space="preserve"> of charge upon registration at the conference.</w:t>
      </w:r>
    </w:p>
    <w:p w:rsidR="00E77634" w:rsidRPr="0089569A" w:rsidRDefault="006D57B9" w:rsidP="009E1D54">
      <w:pPr>
        <w:pStyle w:val="Heading1"/>
        <w:rPr>
          <w:lang w:eastAsia="en-GB"/>
        </w:rPr>
      </w:pPr>
      <w:r w:rsidRPr="0089569A">
        <w:rPr>
          <w:lang w:eastAsia="en-GB"/>
        </w:rPr>
        <w:t>Working Language</w:t>
      </w:r>
    </w:p>
    <w:p w:rsidR="006117D0" w:rsidRPr="0089569A" w:rsidRDefault="006D57B9" w:rsidP="006117D0">
      <w:pPr>
        <w:pStyle w:val="BodyTextMultiline"/>
        <w:numPr>
          <w:ilvl w:val="0"/>
          <w:numId w:val="0"/>
        </w:numPr>
      </w:pPr>
      <w:r w:rsidRPr="0089569A">
        <w:t>The working language of the conference will be English. All communications and papers must be sent to the IAEA in English.</w:t>
      </w:r>
    </w:p>
    <w:p w:rsidR="00750DF0" w:rsidRPr="0089569A" w:rsidRDefault="006D57B9" w:rsidP="009E1D54">
      <w:pPr>
        <w:pStyle w:val="Heading1"/>
      </w:pPr>
      <w:r w:rsidRPr="0089569A">
        <w:lastRenderedPageBreak/>
        <w:t>Conference Venue and Accommodation</w:t>
      </w:r>
    </w:p>
    <w:p w:rsidR="00E379C7" w:rsidRDefault="006D57B9" w:rsidP="00BF1F49">
      <w:pPr>
        <w:overflowPunct/>
        <w:spacing w:after="170" w:line="280" w:lineRule="atLeast"/>
        <w:jc w:val="both"/>
        <w:textAlignment w:val="auto"/>
        <w:rPr>
          <w:szCs w:val="22"/>
        </w:rPr>
      </w:pPr>
      <w:r w:rsidRPr="0089569A">
        <w:rPr>
          <w:szCs w:val="22"/>
        </w:rPr>
        <w:t xml:space="preserve">The conference will be held at the IAEA’s Headquarters in Vienna, Austria. Participants must make their own travel and accommodation arrangements. </w:t>
      </w:r>
      <w:r w:rsidRPr="00DE6ACF">
        <w:rPr>
          <w:szCs w:val="22"/>
        </w:rPr>
        <w:t>Hotels which are offering a reduced rate for conference participants will be listed on the conference web page</w:t>
      </w:r>
      <w:r w:rsidR="00C965AF" w:rsidRPr="00DE6ACF">
        <w:rPr>
          <w:szCs w:val="22"/>
        </w:rPr>
        <w:t xml:space="preserve"> (see Section </w:t>
      </w:r>
      <w:r w:rsidR="00BF1F49">
        <w:rPr>
          <w:szCs w:val="22"/>
        </w:rPr>
        <w:fldChar w:fldCharType="begin"/>
      </w:r>
      <w:r w:rsidR="00BF1F49">
        <w:rPr>
          <w:szCs w:val="22"/>
        </w:rPr>
        <w:instrText xml:space="preserve"> REF _Ref389037002 \r \h </w:instrText>
      </w:r>
      <w:r w:rsidR="00BF1F49">
        <w:rPr>
          <w:szCs w:val="22"/>
        </w:rPr>
      </w:r>
      <w:r w:rsidR="00BF1F49">
        <w:rPr>
          <w:szCs w:val="22"/>
        </w:rPr>
        <w:fldChar w:fldCharType="separate"/>
      </w:r>
      <w:r w:rsidR="002F5B7B">
        <w:rPr>
          <w:szCs w:val="22"/>
        </w:rPr>
        <w:t>O</w:t>
      </w:r>
      <w:r w:rsidR="00BF1F49">
        <w:rPr>
          <w:szCs w:val="22"/>
        </w:rPr>
        <w:fldChar w:fldCharType="end"/>
      </w:r>
      <w:r w:rsidR="00C965AF" w:rsidRPr="00DE6ACF">
        <w:rPr>
          <w:szCs w:val="22"/>
        </w:rPr>
        <w:t>)</w:t>
      </w:r>
      <w:r w:rsidRPr="00DE6ACF">
        <w:rPr>
          <w:szCs w:val="22"/>
        </w:rPr>
        <w:t>. Please note that the IAEA is not in a position to assist participants with hotel bookings, nor can the IAEA assume responsibility</w:t>
      </w:r>
      <w:r w:rsidRPr="0089569A">
        <w:rPr>
          <w:szCs w:val="22"/>
        </w:rPr>
        <w:t xml:space="preserve"> for paying cancellation fees or for rebooking and no</w:t>
      </w:r>
      <w:r w:rsidR="00BF1F49">
        <w:rPr>
          <w:szCs w:val="22"/>
        </w:rPr>
        <w:t>-</w:t>
      </w:r>
      <w:r w:rsidRPr="0089569A">
        <w:rPr>
          <w:szCs w:val="22"/>
        </w:rPr>
        <w:t>shows.</w:t>
      </w:r>
    </w:p>
    <w:p w:rsidR="00273372" w:rsidRDefault="00273372" w:rsidP="009E1D54">
      <w:pPr>
        <w:pStyle w:val="Heading1"/>
      </w:pPr>
      <w:r w:rsidRPr="00BB2B0C">
        <w:t>Exhibit</w:t>
      </w:r>
      <w:r>
        <w:t>i</w:t>
      </w:r>
      <w:r w:rsidRPr="00BB2B0C">
        <w:t>ons</w:t>
      </w:r>
    </w:p>
    <w:p w:rsidR="00273372" w:rsidRPr="00BB2B0C" w:rsidRDefault="00273372" w:rsidP="00BB2B0C">
      <w:pPr>
        <w:pStyle w:val="BodyTextMultiline"/>
        <w:numPr>
          <w:ilvl w:val="0"/>
          <w:numId w:val="0"/>
        </w:numPr>
        <w:tabs>
          <w:tab w:val="left" w:pos="720"/>
        </w:tabs>
        <w:rPr>
          <w:lang w:eastAsia="en-GB"/>
        </w:rPr>
      </w:pPr>
      <w:r>
        <w:rPr>
          <w:lang w:eastAsia="en-GB"/>
        </w:rPr>
        <w:t xml:space="preserve">A limited amount of space will be available for commercial vendors’ displays/exhibits during the conference. Interested parties should contact the Scientific Secretariat by email </w:t>
      </w:r>
      <w:r w:rsidRPr="00DE6ACF">
        <w:rPr>
          <w:lang w:eastAsia="en-GB"/>
        </w:rPr>
        <w:t>(</w:t>
      </w:r>
      <w:hyperlink r:id="rId11" w:history="1">
        <w:r w:rsidR="00DE6ACF" w:rsidRPr="00DE6ACF">
          <w:rPr>
            <w:rStyle w:val="Hyperlink"/>
            <w:lang w:eastAsia="en-GB"/>
          </w:rPr>
          <w:t>Safety</w:t>
        </w:r>
        <w:r w:rsidR="00D30B94">
          <w:rPr>
            <w:rStyle w:val="Hyperlink"/>
            <w:lang w:eastAsia="en-GB"/>
          </w:rPr>
          <w:t>C</w:t>
        </w:r>
        <w:r w:rsidR="00DE6ACF" w:rsidRPr="00DE6ACF">
          <w:rPr>
            <w:rStyle w:val="Hyperlink"/>
            <w:lang w:eastAsia="en-GB"/>
          </w:rPr>
          <w:t>ulture2016@iaea.org</w:t>
        </w:r>
      </w:hyperlink>
      <w:r w:rsidRPr="00DE6ACF">
        <w:rPr>
          <w:lang w:eastAsia="en-GB"/>
        </w:rPr>
        <w:t xml:space="preserve">) before </w:t>
      </w:r>
      <w:r w:rsidR="005320AF" w:rsidRPr="005320AF">
        <w:rPr>
          <w:b/>
          <w:color w:val="FF0000"/>
          <w:lang w:eastAsia="en-GB"/>
        </w:rPr>
        <w:t>30 November 2015</w:t>
      </w:r>
      <w:r w:rsidR="00720339">
        <w:rPr>
          <w:b/>
          <w:color w:val="FF0000"/>
          <w:lang w:eastAsia="en-GB"/>
        </w:rPr>
        <w:t>.</w:t>
      </w:r>
    </w:p>
    <w:p w:rsidR="005E28D8" w:rsidRPr="0089569A" w:rsidRDefault="005E28D8" w:rsidP="009E1D54">
      <w:pPr>
        <w:pStyle w:val="Heading1"/>
      </w:pPr>
      <w:r w:rsidRPr="0089569A">
        <w:t>V</w:t>
      </w:r>
      <w:r w:rsidR="006D57B9" w:rsidRPr="0089569A">
        <w:t>isas</w:t>
      </w:r>
    </w:p>
    <w:p w:rsidR="008F3152" w:rsidRPr="0089569A" w:rsidRDefault="006D57B9" w:rsidP="008F3152">
      <w:pPr>
        <w:overflowPunct/>
        <w:spacing w:after="170" w:line="280" w:lineRule="atLeast"/>
        <w:jc w:val="both"/>
        <w:textAlignment w:val="auto"/>
        <w:rPr>
          <w:b/>
          <w:bCs/>
          <w:color w:val="000000"/>
          <w:szCs w:val="22"/>
          <w:lang w:eastAsia="en-GB"/>
        </w:rPr>
      </w:pPr>
      <w:r w:rsidRPr="0089569A">
        <w:t xml:space="preserve">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w:t>
      </w:r>
      <w:r w:rsidRPr="0089569A">
        <w:rPr>
          <w:szCs w:val="22"/>
          <w:lang w:eastAsia="en-GB"/>
        </w:rPr>
        <w:t>authority of a Schengen Partner State representing Austria in the country in question.</w:t>
      </w:r>
    </w:p>
    <w:p w:rsidR="00750DF0" w:rsidRPr="00F77EE9" w:rsidRDefault="006D57B9" w:rsidP="009E1D54">
      <w:pPr>
        <w:pStyle w:val="Heading1"/>
      </w:pPr>
      <w:r w:rsidRPr="00F77EE9">
        <w:t>Key Deadlines</w:t>
      </w:r>
    </w:p>
    <w:p w:rsidR="007C56BD" w:rsidRDefault="00682D7E" w:rsidP="007C56BD">
      <w:pPr>
        <w:pStyle w:val="BodyText"/>
        <w:rPr>
          <w:b/>
          <w:color w:val="FF0000"/>
        </w:rPr>
      </w:pPr>
      <w:r w:rsidRPr="007631AF">
        <w:t>Electronic submission of the synopsis (including submission of Form</w:t>
      </w:r>
      <w:r w:rsidR="00BF1F49">
        <w:t>s</w:t>
      </w:r>
      <w:r w:rsidRPr="007631AF">
        <w:t xml:space="preserve"> A and B):</w:t>
      </w:r>
      <w:r w:rsidRPr="007631AF">
        <w:tab/>
      </w:r>
      <w:r w:rsidR="00720339" w:rsidRPr="005320AF">
        <w:rPr>
          <w:b/>
          <w:color w:val="FF0000"/>
        </w:rPr>
        <w:t>30 October 201</w:t>
      </w:r>
      <w:r w:rsidR="00720339">
        <w:rPr>
          <w:b/>
          <w:color w:val="FF0000"/>
        </w:rPr>
        <w:t>5</w:t>
      </w:r>
    </w:p>
    <w:p w:rsidR="006D57B9" w:rsidRPr="007631AF" w:rsidRDefault="006D57B9" w:rsidP="007C56BD">
      <w:pPr>
        <w:pStyle w:val="BodyText"/>
      </w:pPr>
      <w:r w:rsidRPr="007631AF">
        <w:t xml:space="preserve">Submission of </w:t>
      </w:r>
      <w:r w:rsidR="00DA17CA" w:rsidRPr="007631AF">
        <w:t>g</w:t>
      </w:r>
      <w:r w:rsidRPr="007631AF">
        <w:t xml:space="preserve">rant </w:t>
      </w:r>
      <w:r w:rsidR="00DA17CA" w:rsidRPr="007631AF">
        <w:t>a</w:t>
      </w:r>
      <w:r w:rsidRPr="007631AF">
        <w:t xml:space="preserve">pplication </w:t>
      </w:r>
      <w:r w:rsidR="00CB7952" w:rsidRPr="007631AF">
        <w:t xml:space="preserve">(including submission of </w:t>
      </w:r>
      <w:r w:rsidRPr="007631AF">
        <w:t>Form</w:t>
      </w:r>
      <w:r w:rsidR="00BF1F49">
        <w:t>s</w:t>
      </w:r>
      <w:r w:rsidRPr="007631AF">
        <w:t xml:space="preserve"> </w:t>
      </w:r>
      <w:r w:rsidR="00CB7952" w:rsidRPr="007631AF">
        <w:t>A and C)</w:t>
      </w:r>
      <w:r w:rsidRPr="007631AF">
        <w:t>:</w:t>
      </w:r>
      <w:r w:rsidR="00CB7952" w:rsidRPr="007631AF">
        <w:tab/>
      </w:r>
      <w:r w:rsidRPr="007631AF">
        <w:tab/>
      </w:r>
      <w:r w:rsidR="003674AC">
        <w:rPr>
          <w:b/>
          <w:color w:val="FF0000"/>
        </w:rPr>
        <w:t xml:space="preserve">30 </w:t>
      </w:r>
      <w:r w:rsidR="005320AF" w:rsidRPr="005320AF">
        <w:rPr>
          <w:b/>
          <w:color w:val="FF0000"/>
        </w:rPr>
        <w:t>November 2015</w:t>
      </w:r>
    </w:p>
    <w:p w:rsidR="005320AF" w:rsidRPr="005320AF" w:rsidRDefault="006D57B9" w:rsidP="00D30B94">
      <w:pPr>
        <w:pStyle w:val="BodyText"/>
        <w:rPr>
          <w:b/>
        </w:rPr>
      </w:pPr>
      <w:r w:rsidRPr="007631AF">
        <w:t>Notification of acceptance of papers:</w:t>
      </w:r>
      <w:r w:rsidRPr="007631AF">
        <w:tab/>
      </w:r>
      <w:r w:rsidRPr="007631AF">
        <w:tab/>
      </w:r>
      <w:r w:rsidR="00CB7952" w:rsidRPr="007631AF">
        <w:tab/>
      </w:r>
      <w:r w:rsidR="00CB7952" w:rsidRPr="007631AF">
        <w:tab/>
      </w:r>
      <w:r w:rsidRPr="007631AF">
        <w:tab/>
      </w:r>
      <w:r w:rsidRPr="007631AF">
        <w:tab/>
      </w:r>
      <w:r w:rsidRPr="007631AF">
        <w:tab/>
      </w:r>
      <w:r w:rsidRPr="007631AF">
        <w:tab/>
      </w:r>
      <w:r w:rsidR="00EE3CCA">
        <w:rPr>
          <w:b/>
          <w:color w:val="FF0000"/>
        </w:rPr>
        <w:t>23</w:t>
      </w:r>
      <w:r w:rsidR="005320AF" w:rsidRPr="005320AF">
        <w:rPr>
          <w:b/>
          <w:color w:val="FF0000"/>
        </w:rPr>
        <w:t xml:space="preserve"> November 2015</w:t>
      </w:r>
    </w:p>
    <w:p w:rsidR="005320AF" w:rsidRPr="005320AF" w:rsidRDefault="004766E3" w:rsidP="005320AF">
      <w:pPr>
        <w:pStyle w:val="BodyText"/>
        <w:rPr>
          <w:b/>
        </w:rPr>
      </w:pPr>
      <w:r w:rsidRPr="007631AF">
        <w:t>Electronic s</w:t>
      </w:r>
      <w:r w:rsidR="006D57B9" w:rsidRPr="007631AF">
        <w:t>ubmission of accepted full paper</w:t>
      </w:r>
      <w:r w:rsidRPr="007631AF">
        <w:t>s</w:t>
      </w:r>
      <w:r w:rsidR="006D57B9" w:rsidRPr="007631AF">
        <w:t>:</w:t>
      </w:r>
      <w:r w:rsidR="006D57B9" w:rsidRPr="007631AF">
        <w:tab/>
      </w:r>
      <w:r w:rsidR="00CB7952" w:rsidRPr="007631AF">
        <w:tab/>
      </w:r>
      <w:r w:rsidR="00CB7952" w:rsidRPr="007631AF">
        <w:tab/>
      </w:r>
      <w:r w:rsidR="00CB7952" w:rsidRPr="007631AF">
        <w:tab/>
      </w:r>
      <w:r w:rsidR="006D57B9" w:rsidRPr="007631AF">
        <w:tab/>
      </w:r>
      <w:r w:rsidR="006D57B9" w:rsidRPr="007631AF">
        <w:tab/>
      </w:r>
      <w:r w:rsidR="005320AF" w:rsidRPr="005320AF">
        <w:rPr>
          <w:b/>
          <w:color w:val="FF0000"/>
        </w:rPr>
        <w:t>8 January 2016</w:t>
      </w:r>
    </w:p>
    <w:p w:rsidR="005320AF" w:rsidRPr="007631AF" w:rsidRDefault="005320AF" w:rsidP="00D30B94">
      <w:pPr>
        <w:pStyle w:val="BodyText"/>
        <w:rPr>
          <w:b/>
        </w:rPr>
      </w:pPr>
    </w:p>
    <w:p w:rsidR="00657734" w:rsidRPr="007631AF" w:rsidRDefault="006D57B9" w:rsidP="009E1D54">
      <w:pPr>
        <w:pStyle w:val="Heading1"/>
        <w:rPr>
          <w:lang w:eastAsia="en-GB"/>
        </w:rPr>
      </w:pPr>
      <w:r w:rsidRPr="007631AF">
        <w:rPr>
          <w:lang w:eastAsia="en-GB"/>
        </w:rPr>
        <w:lastRenderedPageBreak/>
        <w:t>Conference Secretariat</w:t>
      </w:r>
    </w:p>
    <w:p w:rsidR="006D57B9" w:rsidRPr="00F77EE9" w:rsidRDefault="006D57B9" w:rsidP="009E1D54">
      <w:pPr>
        <w:pStyle w:val="BodyText"/>
        <w:keepNext/>
        <w:keepLines/>
        <w:rPr>
          <w:b/>
        </w:rPr>
      </w:pPr>
      <w:r w:rsidRPr="00F77EE9">
        <w:rPr>
          <w:b/>
        </w:rPr>
        <w:t>General contact details of the Conference Secretariat:</w:t>
      </w:r>
    </w:p>
    <w:p w:rsidR="006D57B9" w:rsidRPr="00F77EE9" w:rsidRDefault="006D57B9" w:rsidP="009E1D54">
      <w:pPr>
        <w:pStyle w:val="BodyText"/>
        <w:keepNext/>
        <w:keepLines/>
      </w:pPr>
      <w:r w:rsidRPr="00D54902">
        <w:rPr>
          <w:rFonts w:eastAsia="MS Mincho"/>
          <w:b/>
          <w:szCs w:val="22"/>
        </w:rPr>
        <w:t>International Atomic Energy Agency</w:t>
      </w:r>
      <w:r w:rsidRPr="00F77EE9">
        <w:br/>
      </w:r>
      <w:r w:rsidRPr="00F77EE9">
        <w:rPr>
          <w:rFonts w:eastAsia="MS Mincho"/>
          <w:szCs w:val="22"/>
        </w:rPr>
        <w:t>Vienna International Centre</w:t>
      </w:r>
      <w:r w:rsidRPr="00F77EE9">
        <w:rPr>
          <w:rFonts w:eastAsia="MS Mincho"/>
          <w:szCs w:val="22"/>
        </w:rPr>
        <w:br/>
        <w:t>PO Box 100</w:t>
      </w:r>
      <w:r w:rsidRPr="00F77EE9">
        <w:br/>
      </w:r>
      <w:r w:rsidRPr="00F77EE9">
        <w:rPr>
          <w:rFonts w:eastAsia="MS Mincho"/>
          <w:szCs w:val="22"/>
        </w:rPr>
        <w:t>1400 VIENNA</w:t>
      </w:r>
      <w:r w:rsidRPr="00F77EE9">
        <w:rPr>
          <w:rFonts w:eastAsia="MS Mincho"/>
          <w:szCs w:val="22"/>
        </w:rPr>
        <w:br/>
        <w:t>AUSTRIA</w:t>
      </w:r>
      <w:r w:rsidRPr="00F77EE9">
        <w:br/>
      </w:r>
      <w:r w:rsidRPr="00F77EE9">
        <w:rPr>
          <w:rFonts w:eastAsia="MS Mincho"/>
          <w:szCs w:val="22"/>
          <w:lang w:eastAsia="ja-JP"/>
        </w:rPr>
        <w:t>Tel.: +43 1 2600</w:t>
      </w:r>
      <w:r w:rsidRPr="00F77EE9">
        <w:br/>
      </w:r>
      <w:r w:rsidRPr="00F77EE9">
        <w:rPr>
          <w:rFonts w:eastAsia="MS Mincho"/>
          <w:szCs w:val="22"/>
          <w:lang w:eastAsia="ja-JP"/>
        </w:rPr>
        <w:t>Fax: +43 1 2600 2007</w:t>
      </w:r>
      <w:r w:rsidRPr="00F77EE9">
        <w:br/>
      </w:r>
      <w:r w:rsidRPr="00F77EE9">
        <w:rPr>
          <w:rFonts w:eastAsia="MS Mincho"/>
          <w:szCs w:val="22"/>
          <w:lang w:eastAsia="ja-JP"/>
        </w:rPr>
        <w:t xml:space="preserve">Email: </w:t>
      </w:r>
      <w:hyperlink r:id="rId12" w:history="1">
        <w:r w:rsidR="00C965AF">
          <w:rPr>
            <w:rStyle w:val="Hyperlink"/>
            <w:rFonts w:eastAsia="Batang"/>
            <w:szCs w:val="22"/>
            <w:lang w:eastAsia="ko-KR"/>
          </w:rPr>
          <w:t>Official.Mail@iaea.org</w:t>
        </w:r>
      </w:hyperlink>
    </w:p>
    <w:p w:rsidR="006D57B9" w:rsidRPr="00F77EE9" w:rsidRDefault="006D57B9" w:rsidP="009E1D54">
      <w:pPr>
        <w:pStyle w:val="BodyTextMultiline"/>
        <w:numPr>
          <w:ilvl w:val="0"/>
          <w:numId w:val="0"/>
        </w:numPr>
        <w:rPr>
          <w:lang w:eastAsia="en-GB"/>
        </w:rPr>
      </w:pPr>
    </w:p>
    <w:p w:rsidR="00750DF0" w:rsidRDefault="00C7512B" w:rsidP="00D30B94">
      <w:pPr>
        <w:keepNext/>
        <w:keepLines/>
        <w:overflowPunct/>
        <w:spacing w:after="170" w:line="280" w:lineRule="atLeast"/>
        <w:jc w:val="both"/>
        <w:textAlignment w:val="auto"/>
        <w:rPr>
          <w:b/>
          <w:bCs/>
          <w:color w:val="000000"/>
          <w:szCs w:val="22"/>
          <w:lang w:eastAsia="en-GB"/>
        </w:rPr>
      </w:pPr>
      <w:r w:rsidRPr="00F77EE9">
        <w:rPr>
          <w:b/>
          <w:bCs/>
          <w:color w:val="000000"/>
          <w:szCs w:val="22"/>
          <w:lang w:eastAsia="en-GB"/>
        </w:rPr>
        <w:t xml:space="preserve">Scientific </w:t>
      </w:r>
      <w:r w:rsidR="00F77EE9" w:rsidRPr="00F77EE9">
        <w:rPr>
          <w:b/>
          <w:bCs/>
          <w:color w:val="000000"/>
          <w:szCs w:val="22"/>
          <w:lang w:eastAsia="en-GB"/>
        </w:rPr>
        <w:t>Secretariat</w:t>
      </w:r>
      <w:r w:rsidR="007C12D0" w:rsidRPr="00F77EE9">
        <w:rPr>
          <w:b/>
          <w:bCs/>
          <w:color w:val="000000"/>
          <w:szCs w:val="22"/>
          <w:lang w:eastAsia="en-GB"/>
        </w:rPr>
        <w:t xml:space="preserve"> </w:t>
      </w:r>
      <w:r w:rsidR="006D57B9" w:rsidRPr="00F77EE9">
        <w:rPr>
          <w:b/>
          <w:bCs/>
          <w:color w:val="000000"/>
          <w:szCs w:val="22"/>
          <w:lang w:eastAsia="en-GB"/>
        </w:rPr>
        <w:t>of the conference:</w:t>
      </w:r>
    </w:p>
    <w:p w:rsidR="00C7512B" w:rsidRPr="00E80106" w:rsidRDefault="00F45BEB" w:rsidP="00531D37">
      <w:pPr>
        <w:pStyle w:val="BodyText"/>
        <w:contextualSpacing/>
      </w:pPr>
      <w:r w:rsidRPr="00E80106">
        <w:rPr>
          <w:b/>
        </w:rPr>
        <w:t>Ms Helen Rycraft</w:t>
      </w:r>
    </w:p>
    <w:p w:rsidR="00F77EE9" w:rsidRPr="00682D7E" w:rsidRDefault="00F45BEB" w:rsidP="00531D37">
      <w:pPr>
        <w:pStyle w:val="BodyText"/>
        <w:contextualSpacing/>
      </w:pPr>
      <w:r>
        <w:t xml:space="preserve">Senior </w:t>
      </w:r>
      <w:r w:rsidR="00D91264">
        <w:t>Safety Officer (Safety Culture)</w:t>
      </w:r>
    </w:p>
    <w:p w:rsidR="00C7512B" w:rsidRDefault="00D91264" w:rsidP="00531D37">
      <w:pPr>
        <w:pStyle w:val="BodyText"/>
        <w:contextualSpacing/>
      </w:pPr>
      <w:r>
        <w:t>Division of Nuclear Installation Safety</w:t>
      </w:r>
    </w:p>
    <w:p w:rsidR="00BF1F49" w:rsidRPr="00682D7E" w:rsidRDefault="00BF1F49" w:rsidP="00531D37">
      <w:pPr>
        <w:pStyle w:val="BodyText"/>
        <w:contextualSpacing/>
      </w:pPr>
      <w:r>
        <w:t>Department of Nuclear Safety and Security</w:t>
      </w:r>
    </w:p>
    <w:p w:rsidR="00750DF0" w:rsidRPr="00682D7E" w:rsidRDefault="00750DF0" w:rsidP="00531D37">
      <w:pPr>
        <w:pStyle w:val="BodyText"/>
        <w:contextualSpacing/>
      </w:pPr>
      <w:r w:rsidRPr="00682D7E">
        <w:t>Tel.: +43 1 2600</w:t>
      </w:r>
      <w:r w:rsidR="006D57B9" w:rsidRPr="00682D7E">
        <w:t xml:space="preserve"> </w:t>
      </w:r>
      <w:r w:rsidR="00F77EE9" w:rsidRPr="00682D7E">
        <w:t>22</w:t>
      </w:r>
      <w:r w:rsidR="00D91264">
        <w:t>029</w:t>
      </w:r>
    </w:p>
    <w:p w:rsidR="00BF1F49" w:rsidRPr="00E80106" w:rsidRDefault="00BF1F49" w:rsidP="00531D37">
      <w:pPr>
        <w:pStyle w:val="BodyText"/>
        <w:contextualSpacing/>
      </w:pPr>
      <w:r>
        <w:t xml:space="preserve">Email: </w:t>
      </w:r>
      <w:hyperlink r:id="rId13" w:history="1">
        <w:r w:rsidR="00D30B94" w:rsidRPr="00E80106">
          <w:rPr>
            <w:rStyle w:val="Hyperlink"/>
          </w:rPr>
          <w:t>SafetyCulture2016@iaea.org</w:t>
        </w:r>
      </w:hyperlink>
    </w:p>
    <w:p w:rsidR="00682D7E" w:rsidRPr="00682D7E" w:rsidRDefault="00682D7E" w:rsidP="00531D37">
      <w:pPr>
        <w:pStyle w:val="BodyText"/>
      </w:pPr>
    </w:p>
    <w:p w:rsidR="008F1F84" w:rsidRPr="00682D7E" w:rsidRDefault="008F1F84" w:rsidP="00531D37">
      <w:pPr>
        <w:pStyle w:val="BodyText"/>
        <w:contextualSpacing/>
        <w:rPr>
          <w:b/>
        </w:rPr>
      </w:pPr>
      <w:r w:rsidRPr="00682D7E">
        <w:rPr>
          <w:b/>
        </w:rPr>
        <w:t>M</w:t>
      </w:r>
      <w:r w:rsidR="00D91264">
        <w:rPr>
          <w:b/>
        </w:rPr>
        <w:t>s</w:t>
      </w:r>
      <w:r w:rsidRPr="00682D7E">
        <w:rPr>
          <w:b/>
        </w:rPr>
        <w:t xml:space="preserve"> </w:t>
      </w:r>
      <w:r w:rsidR="00D91264">
        <w:rPr>
          <w:b/>
        </w:rPr>
        <w:t>Monica Haage</w:t>
      </w:r>
    </w:p>
    <w:p w:rsidR="008F1F84" w:rsidRPr="00682D7E" w:rsidRDefault="00D91264" w:rsidP="00531D37">
      <w:pPr>
        <w:pStyle w:val="BodyText"/>
        <w:contextualSpacing/>
      </w:pPr>
      <w:r>
        <w:t>Safety Officer</w:t>
      </w:r>
      <w:r w:rsidR="00BF1F49">
        <w:t xml:space="preserve"> (Safety Culture)</w:t>
      </w:r>
    </w:p>
    <w:p w:rsidR="008F1F84" w:rsidRDefault="00D91264" w:rsidP="00531D37">
      <w:pPr>
        <w:pStyle w:val="BodyText"/>
        <w:contextualSpacing/>
      </w:pPr>
      <w:r>
        <w:t>Division of Nuclear Installation Safety</w:t>
      </w:r>
    </w:p>
    <w:p w:rsidR="00BF1F49" w:rsidRPr="00682D7E" w:rsidRDefault="00BF1F49" w:rsidP="00BF1F49">
      <w:pPr>
        <w:pStyle w:val="BodyText"/>
        <w:contextualSpacing/>
      </w:pPr>
      <w:r>
        <w:t>Department of Nuclear Safety and Security</w:t>
      </w:r>
    </w:p>
    <w:p w:rsidR="008F1F84" w:rsidRDefault="008F1F84" w:rsidP="00531D37">
      <w:pPr>
        <w:pStyle w:val="BodyText"/>
        <w:contextualSpacing/>
      </w:pPr>
      <w:r w:rsidRPr="00682D7E">
        <w:t>Tel.: +43 1 2600 2</w:t>
      </w:r>
      <w:r w:rsidR="00D91264">
        <w:t>2551</w:t>
      </w:r>
    </w:p>
    <w:p w:rsidR="00BF1F49" w:rsidRPr="00E80106" w:rsidRDefault="00BF1F49" w:rsidP="00531D37">
      <w:pPr>
        <w:pStyle w:val="BodyText"/>
        <w:contextualSpacing/>
      </w:pPr>
      <w:r>
        <w:t xml:space="preserve">Email: </w:t>
      </w:r>
      <w:hyperlink r:id="rId14" w:history="1">
        <w:r w:rsidR="00D42321" w:rsidRPr="00E80106">
          <w:rPr>
            <w:rStyle w:val="Hyperlink"/>
          </w:rPr>
          <w:t>SafetyCulture2016@iaea.org</w:t>
        </w:r>
      </w:hyperlink>
    </w:p>
    <w:p w:rsidR="00DA17CA" w:rsidRPr="00F77EE9" w:rsidRDefault="00DA17CA" w:rsidP="009E1D54">
      <w:pPr>
        <w:pStyle w:val="BodyTextMultiline"/>
        <w:numPr>
          <w:ilvl w:val="0"/>
          <w:numId w:val="0"/>
        </w:numPr>
        <w:rPr>
          <w:lang w:eastAsia="en-GB"/>
        </w:rPr>
      </w:pPr>
    </w:p>
    <w:p w:rsidR="00C7512B" w:rsidRPr="008F1F84" w:rsidRDefault="00C7512B" w:rsidP="00D30B94">
      <w:pPr>
        <w:keepNext/>
        <w:keepLines/>
        <w:overflowPunct/>
        <w:spacing w:after="170" w:line="280" w:lineRule="atLeast"/>
        <w:jc w:val="both"/>
        <w:textAlignment w:val="auto"/>
        <w:rPr>
          <w:b/>
          <w:bCs/>
          <w:szCs w:val="22"/>
          <w:lang w:eastAsia="en-GB"/>
        </w:rPr>
      </w:pPr>
      <w:r w:rsidRPr="008F1F84">
        <w:rPr>
          <w:b/>
          <w:bCs/>
          <w:szCs w:val="22"/>
        </w:rPr>
        <w:t>Administrati</w:t>
      </w:r>
      <w:r w:rsidR="006D57B9" w:rsidRPr="008F1F84">
        <w:rPr>
          <w:b/>
          <w:bCs/>
          <w:szCs w:val="22"/>
        </w:rPr>
        <w:t>on and organization</w:t>
      </w:r>
      <w:r w:rsidRPr="008F1F84">
        <w:rPr>
          <w:b/>
          <w:bCs/>
          <w:szCs w:val="22"/>
          <w:lang w:eastAsia="en-GB"/>
        </w:rPr>
        <w:t>:</w:t>
      </w:r>
    </w:p>
    <w:p w:rsidR="00C7512B" w:rsidRPr="00682D7E" w:rsidRDefault="00D91264" w:rsidP="00D30B94">
      <w:pPr>
        <w:pStyle w:val="BodyText"/>
        <w:contextualSpacing/>
        <w:rPr>
          <w:b/>
        </w:rPr>
      </w:pPr>
      <w:r>
        <w:rPr>
          <w:b/>
        </w:rPr>
        <w:t>Ms Julie Zellinger</w:t>
      </w:r>
    </w:p>
    <w:p w:rsidR="00C7512B" w:rsidRPr="008F1F84" w:rsidRDefault="006D57B9" w:rsidP="00D30B94">
      <w:pPr>
        <w:pStyle w:val="BodyText"/>
        <w:contextualSpacing/>
      </w:pPr>
      <w:r w:rsidRPr="008F1F84">
        <w:t>Conference Services Section</w:t>
      </w:r>
    </w:p>
    <w:p w:rsidR="006D57B9" w:rsidRPr="008F1F84" w:rsidRDefault="006D57B9" w:rsidP="00D30B94">
      <w:pPr>
        <w:pStyle w:val="BodyText"/>
        <w:contextualSpacing/>
      </w:pPr>
      <w:r w:rsidRPr="008F1F84">
        <w:t>Division of Conference and Document Services</w:t>
      </w:r>
    </w:p>
    <w:p w:rsidR="00C7512B" w:rsidRPr="00682D7E" w:rsidRDefault="006D57B9" w:rsidP="00D30B94">
      <w:pPr>
        <w:pStyle w:val="BodyText"/>
        <w:contextualSpacing/>
      </w:pPr>
      <w:r w:rsidRPr="008F1F84">
        <w:t>Department of Management</w:t>
      </w:r>
    </w:p>
    <w:p w:rsidR="00C7512B" w:rsidRPr="00682D7E" w:rsidRDefault="006D57B9" w:rsidP="00D30B94">
      <w:pPr>
        <w:pStyle w:val="BodyText"/>
        <w:contextualSpacing/>
      </w:pPr>
      <w:r w:rsidRPr="00060C39">
        <w:t>IAEA-CN-</w:t>
      </w:r>
      <w:r w:rsidR="00D91264">
        <w:t>237</w:t>
      </w:r>
    </w:p>
    <w:p w:rsidR="00C7512B" w:rsidRPr="00060C39" w:rsidRDefault="00C7512B" w:rsidP="00D30B94">
      <w:pPr>
        <w:pStyle w:val="BodyText"/>
        <w:contextualSpacing/>
        <w:rPr>
          <w:lang w:val="fr-FR"/>
        </w:rPr>
      </w:pPr>
      <w:r w:rsidRPr="00060C39">
        <w:rPr>
          <w:lang w:val="fr-FR"/>
        </w:rPr>
        <w:t xml:space="preserve">Tel.: +43 1 2600 </w:t>
      </w:r>
      <w:r w:rsidR="00D91264">
        <w:rPr>
          <w:lang w:val="fr-FR"/>
        </w:rPr>
        <w:t>21321</w:t>
      </w:r>
    </w:p>
    <w:p w:rsidR="00C7512B" w:rsidRPr="00060C39" w:rsidRDefault="006D57B9" w:rsidP="00D30B94">
      <w:pPr>
        <w:pStyle w:val="BodyText"/>
        <w:contextualSpacing/>
        <w:rPr>
          <w:lang w:val="fr-FR"/>
        </w:rPr>
      </w:pPr>
      <w:r w:rsidRPr="00060C39">
        <w:rPr>
          <w:lang w:val="fr-FR"/>
        </w:rPr>
        <w:t xml:space="preserve">Email: </w:t>
      </w:r>
      <w:hyperlink r:id="rId15" w:history="1">
        <w:r w:rsidR="009D7B44" w:rsidRPr="00E67FE8">
          <w:rPr>
            <w:rStyle w:val="Hyperlink"/>
            <w:lang w:val="fr-FR"/>
          </w:rPr>
          <w:t>J.</w:t>
        </w:r>
      </w:hyperlink>
      <w:r w:rsidR="00D91264">
        <w:rPr>
          <w:rStyle w:val="Hyperlink"/>
          <w:lang w:val="fr-FR"/>
        </w:rPr>
        <w:t>Zellinger@iaea.org</w:t>
      </w:r>
    </w:p>
    <w:p w:rsidR="00750DF0" w:rsidRPr="008F1F84" w:rsidRDefault="00750DF0" w:rsidP="00D30B94">
      <w:pPr>
        <w:overflowPunct/>
        <w:spacing w:after="170" w:line="280" w:lineRule="atLeast"/>
        <w:jc w:val="both"/>
        <w:textAlignment w:val="auto"/>
        <w:rPr>
          <w:color w:val="000000"/>
          <w:szCs w:val="22"/>
          <w:lang w:eastAsia="en-GB"/>
        </w:rPr>
      </w:pPr>
      <w:r w:rsidRPr="008F1F84">
        <w:rPr>
          <w:color w:val="000000"/>
          <w:szCs w:val="22"/>
          <w:lang w:eastAsia="en-GB"/>
        </w:rPr>
        <w:t>Subsequent correspondence on scientific matters</w:t>
      </w:r>
      <w:r w:rsidR="00CC6750" w:rsidRPr="008F1F84">
        <w:rPr>
          <w:color w:val="000000"/>
          <w:szCs w:val="22"/>
          <w:lang w:eastAsia="en-GB"/>
        </w:rPr>
        <w:t xml:space="preserve"> </w:t>
      </w:r>
      <w:r w:rsidRPr="008F1F84">
        <w:rPr>
          <w:color w:val="000000"/>
          <w:szCs w:val="22"/>
          <w:lang w:eastAsia="en-GB"/>
        </w:rPr>
        <w:t xml:space="preserve">should be sent to the </w:t>
      </w:r>
      <w:bookmarkStart w:id="4" w:name="_Ref372051245"/>
      <w:r w:rsidRPr="008F1F84">
        <w:rPr>
          <w:color w:val="000000"/>
          <w:szCs w:val="22"/>
          <w:lang w:eastAsia="en-GB"/>
        </w:rPr>
        <w:t>Scientific Secretar</w:t>
      </w:r>
      <w:bookmarkEnd w:id="4"/>
      <w:r w:rsidR="008F1F84">
        <w:rPr>
          <w:color w:val="000000"/>
          <w:szCs w:val="22"/>
          <w:lang w:eastAsia="en-GB"/>
        </w:rPr>
        <w:t>iat</w:t>
      </w:r>
      <w:r w:rsidR="006D57B9" w:rsidRPr="008F1F84">
        <w:rPr>
          <w:color w:val="000000"/>
          <w:szCs w:val="22"/>
          <w:lang w:eastAsia="en-GB"/>
        </w:rPr>
        <w:t xml:space="preserve"> of the</w:t>
      </w:r>
      <w:r w:rsidRPr="008F1F84">
        <w:rPr>
          <w:color w:val="000000"/>
          <w:szCs w:val="22"/>
          <w:lang w:eastAsia="en-GB"/>
        </w:rPr>
        <w:t xml:space="preserve"> </w:t>
      </w:r>
      <w:r w:rsidR="006D57B9" w:rsidRPr="008F1F84">
        <w:rPr>
          <w:color w:val="000000"/>
          <w:szCs w:val="22"/>
          <w:lang w:eastAsia="en-GB"/>
        </w:rPr>
        <w:t xml:space="preserve">conference </w:t>
      </w:r>
      <w:r w:rsidRPr="008F1F84">
        <w:rPr>
          <w:color w:val="000000"/>
          <w:szCs w:val="22"/>
          <w:lang w:eastAsia="en-GB"/>
        </w:rPr>
        <w:t>and</w:t>
      </w:r>
      <w:r w:rsidR="00E379C7" w:rsidRPr="008F1F84">
        <w:rPr>
          <w:color w:val="000000"/>
          <w:szCs w:val="22"/>
          <w:lang w:eastAsia="en-GB"/>
        </w:rPr>
        <w:t xml:space="preserve"> </w:t>
      </w:r>
      <w:r w:rsidR="00CC6750" w:rsidRPr="008F1F84">
        <w:rPr>
          <w:color w:val="000000"/>
          <w:szCs w:val="22"/>
          <w:lang w:eastAsia="en-GB"/>
        </w:rPr>
        <w:t xml:space="preserve">correspondence on </w:t>
      </w:r>
      <w:r w:rsidR="00F87858" w:rsidRPr="008F1F84">
        <w:rPr>
          <w:color w:val="000000"/>
          <w:szCs w:val="22"/>
          <w:lang w:eastAsia="en-GB"/>
        </w:rPr>
        <w:t>administrative</w:t>
      </w:r>
      <w:r w:rsidRPr="008F1F84">
        <w:rPr>
          <w:color w:val="000000"/>
          <w:szCs w:val="22"/>
          <w:lang w:eastAsia="en-GB"/>
        </w:rPr>
        <w:t xml:space="preserve"> matters </w:t>
      </w:r>
      <w:r w:rsidR="00CC6750" w:rsidRPr="008F1F84">
        <w:rPr>
          <w:color w:val="000000"/>
          <w:szCs w:val="22"/>
          <w:lang w:eastAsia="en-GB"/>
        </w:rPr>
        <w:t xml:space="preserve">to the </w:t>
      </w:r>
      <w:r w:rsidR="00F87858" w:rsidRPr="008F1F84">
        <w:rPr>
          <w:color w:val="000000"/>
          <w:szCs w:val="22"/>
          <w:lang w:eastAsia="en-GB"/>
        </w:rPr>
        <w:t>IAEA Conference Services Section</w:t>
      </w:r>
      <w:r w:rsidR="00260293" w:rsidRPr="008F1F84">
        <w:rPr>
          <w:color w:val="000000"/>
          <w:szCs w:val="22"/>
          <w:lang w:eastAsia="en-GB"/>
        </w:rPr>
        <w:t>.</w:t>
      </w:r>
    </w:p>
    <w:p w:rsidR="00CC6750" w:rsidRPr="008F1F84" w:rsidRDefault="006D57B9" w:rsidP="009E1D54">
      <w:pPr>
        <w:pStyle w:val="Heading1"/>
        <w:rPr>
          <w:lang w:eastAsia="en-GB"/>
        </w:rPr>
      </w:pPr>
      <w:bookmarkStart w:id="5" w:name="_Ref389037002"/>
      <w:r w:rsidRPr="008F1F84">
        <w:rPr>
          <w:lang w:eastAsia="en-GB"/>
        </w:rPr>
        <w:lastRenderedPageBreak/>
        <w:t>Conference</w:t>
      </w:r>
      <w:r w:rsidR="00CC6750" w:rsidRPr="008F1F84">
        <w:rPr>
          <w:lang w:eastAsia="en-GB"/>
        </w:rPr>
        <w:t xml:space="preserve"> Web Page</w:t>
      </w:r>
      <w:bookmarkEnd w:id="5"/>
    </w:p>
    <w:p w:rsidR="006D57B9" w:rsidRDefault="006D57B9" w:rsidP="009E1D54">
      <w:pPr>
        <w:pStyle w:val="BodyText"/>
      </w:pPr>
      <w:r w:rsidRPr="008F1F84">
        <w:t>Please visit the IAEA conference web page regularly for new information regarding this conference:</w:t>
      </w:r>
    </w:p>
    <w:p w:rsidR="00144993" w:rsidRDefault="002A0DC6" w:rsidP="00144993">
      <w:pPr>
        <w:pStyle w:val="BodyText"/>
      </w:pPr>
      <w:hyperlink r:id="rId16" w:history="1">
        <w:r w:rsidR="00144993" w:rsidRPr="00A90BFB">
          <w:rPr>
            <w:rStyle w:val="Hyperlink"/>
          </w:rPr>
          <w:t>http://www-pub.iaea.org/iaeameetings/50800/International-Conference-on-Human-and-Organizational-Aspects-of-Assuring-Nuclear-Safety-Exploring-30-Years-of-Safety-Culture</w:t>
        </w:r>
      </w:hyperlink>
    </w:p>
    <w:p w:rsidR="00D91264" w:rsidRPr="008F1F84" w:rsidRDefault="00D91264" w:rsidP="009E1D54">
      <w:pPr>
        <w:pStyle w:val="BodyText"/>
      </w:pPr>
    </w:p>
    <w:sectPr w:rsidR="00D91264" w:rsidRPr="008F1F84" w:rsidSect="009E26FF">
      <w:headerReference w:type="even" r:id="rId17"/>
      <w:headerReference w:type="default" r:id="rId18"/>
      <w:footerReference w:type="even" r:id="rId19"/>
      <w:headerReference w:type="first" r:id="rId2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23" w:rsidRDefault="00663323">
      <w:r>
        <w:separator/>
      </w:r>
    </w:p>
  </w:endnote>
  <w:endnote w:type="continuationSeparator" w:id="0">
    <w:p w:rsidR="00663323" w:rsidRDefault="0066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18" w:rsidRDefault="00B94E18">
    <w:pPr>
      <w:pStyle w:val="zyxClassification1"/>
    </w:pPr>
  </w:p>
  <w:p w:rsidR="00B94E18" w:rsidRDefault="00B94E18">
    <w:pPr>
      <w:pStyle w:val="zyxClassification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23" w:rsidRDefault="00663323">
      <w:r>
        <w:t>___________________________________________________________________________</w:t>
      </w:r>
    </w:p>
  </w:footnote>
  <w:footnote w:type="continuationSeparator" w:id="0">
    <w:p w:rsidR="00663323" w:rsidRDefault="00663323">
      <w:r>
        <w:t>___________________________________________________________________________</w:t>
      </w:r>
    </w:p>
  </w:footnote>
  <w:footnote w:type="continuationNotice" w:id="1">
    <w:p w:rsidR="00663323" w:rsidRDefault="00663323"/>
  </w:footnote>
  <w:footnote w:id="2">
    <w:p w:rsidR="00B94E18" w:rsidRPr="00DC032D" w:rsidRDefault="00B94E18" w:rsidP="00DC032D">
      <w:pPr>
        <w:pStyle w:val="FootnoteText"/>
        <w:ind w:left="0"/>
      </w:pPr>
      <w:r>
        <w:rPr>
          <w:rStyle w:val="FootnoteReference"/>
        </w:rPr>
        <w:footnoteRef/>
      </w:r>
      <w:r>
        <w:t xml:space="preserve"> See the </w:t>
      </w:r>
      <w:r w:rsidRPr="007F4BF5">
        <w:rPr>
          <w:i/>
          <w:iCs/>
        </w:rPr>
        <w:t>IAEA Report on Human and Organizational Factors in Nuclear Safety in the Light of the Accident at the Fukushima Nuclear Power Plant</w:t>
      </w:r>
      <w:r>
        <w:t xml:space="preserve"> (IAEA, Vienna, 2014).</w:t>
      </w:r>
    </w:p>
  </w:footnote>
  <w:footnote w:id="3">
    <w:p w:rsidR="00B94E18" w:rsidRPr="00EC7C30" w:rsidRDefault="00B94E18" w:rsidP="007F4BF5">
      <w:pPr>
        <w:overflowPunct/>
        <w:jc w:val="both"/>
        <w:textAlignment w:val="auto"/>
        <w:rPr>
          <w:sz w:val="18"/>
          <w:szCs w:val="18"/>
          <w:lang w:val="en"/>
        </w:rPr>
      </w:pPr>
      <w:r w:rsidRPr="007F4BF5">
        <w:rPr>
          <w:rStyle w:val="FootnoteReference"/>
          <w:sz w:val="18"/>
          <w:szCs w:val="18"/>
        </w:rPr>
        <w:footnoteRef/>
      </w:r>
      <w:r w:rsidRPr="007F4BF5">
        <w:rPr>
          <w:sz w:val="18"/>
          <w:szCs w:val="18"/>
        </w:rPr>
        <w:t xml:space="preserve"> See</w:t>
      </w:r>
      <w:r>
        <w:rPr>
          <w:sz w:val="18"/>
          <w:szCs w:val="18"/>
        </w:rPr>
        <w:t xml:space="preserve"> the Safety Requirements publications </w:t>
      </w:r>
      <w:r w:rsidRPr="007F4BF5">
        <w:rPr>
          <w:i/>
          <w:iCs/>
          <w:sz w:val="18"/>
          <w:szCs w:val="18"/>
          <w:lang w:val="en"/>
        </w:rPr>
        <w:t>Governmental, Legal and Regulatory Framework for Safety</w:t>
      </w:r>
      <w:r w:rsidRPr="00EC7C30">
        <w:rPr>
          <w:sz w:val="18"/>
          <w:szCs w:val="18"/>
          <w:lang w:val="en"/>
        </w:rPr>
        <w:t xml:space="preserve"> </w:t>
      </w:r>
      <w:r>
        <w:rPr>
          <w:sz w:val="18"/>
          <w:szCs w:val="18"/>
          <w:lang w:val="en"/>
        </w:rPr>
        <w:t xml:space="preserve">(IAEA Safety Standards Series </w:t>
      </w:r>
      <w:r w:rsidRPr="00EC7C30">
        <w:rPr>
          <w:sz w:val="18"/>
          <w:szCs w:val="18"/>
          <w:lang w:val="en"/>
        </w:rPr>
        <w:t>No. GS</w:t>
      </w:r>
      <w:r>
        <w:rPr>
          <w:sz w:val="18"/>
          <w:szCs w:val="18"/>
          <w:lang w:val="en"/>
        </w:rPr>
        <w:t>R</w:t>
      </w:r>
      <w:r w:rsidRPr="00EC7C30">
        <w:rPr>
          <w:sz w:val="18"/>
          <w:szCs w:val="18"/>
          <w:lang w:val="en"/>
        </w:rPr>
        <w:t xml:space="preserve"> Part 1</w:t>
      </w:r>
      <w:r>
        <w:rPr>
          <w:sz w:val="18"/>
          <w:szCs w:val="18"/>
          <w:lang w:val="en"/>
        </w:rPr>
        <w:t>, Vienna, 2010) and</w:t>
      </w:r>
      <w:r w:rsidRPr="00EC7C30">
        <w:rPr>
          <w:sz w:val="18"/>
          <w:szCs w:val="18"/>
          <w:lang w:val="en"/>
        </w:rPr>
        <w:t xml:space="preserve"> </w:t>
      </w:r>
      <w:r w:rsidRPr="007F4BF5">
        <w:rPr>
          <w:i/>
          <w:iCs/>
          <w:sz w:val="18"/>
          <w:szCs w:val="18"/>
          <w:lang w:val="en"/>
        </w:rPr>
        <w:t>The Management System for Facilities and Activities</w:t>
      </w:r>
      <w:r w:rsidRPr="00EC7C30">
        <w:rPr>
          <w:sz w:val="18"/>
          <w:szCs w:val="18"/>
          <w:lang w:val="en"/>
        </w:rPr>
        <w:t xml:space="preserve"> (</w:t>
      </w:r>
      <w:r>
        <w:rPr>
          <w:sz w:val="18"/>
          <w:szCs w:val="18"/>
          <w:lang w:val="en"/>
        </w:rPr>
        <w:t xml:space="preserve">IAEA </w:t>
      </w:r>
      <w:r w:rsidRPr="00EC7C30">
        <w:rPr>
          <w:sz w:val="18"/>
          <w:szCs w:val="18"/>
          <w:lang w:val="en"/>
        </w:rPr>
        <w:t>Safety Standard</w:t>
      </w:r>
      <w:r>
        <w:rPr>
          <w:sz w:val="18"/>
          <w:szCs w:val="18"/>
          <w:lang w:val="en"/>
        </w:rPr>
        <w:t>s</w:t>
      </w:r>
      <w:r w:rsidRPr="00EC7C30">
        <w:rPr>
          <w:sz w:val="18"/>
          <w:szCs w:val="18"/>
          <w:lang w:val="en"/>
        </w:rPr>
        <w:t xml:space="preserve"> Series No. GS-R-3,</w:t>
      </w:r>
      <w:r>
        <w:rPr>
          <w:sz w:val="18"/>
          <w:szCs w:val="18"/>
          <w:lang w:val="en"/>
        </w:rPr>
        <w:t xml:space="preserve"> Vienna,</w:t>
      </w:r>
      <w:r w:rsidRPr="00EC7C30">
        <w:rPr>
          <w:sz w:val="18"/>
          <w:szCs w:val="18"/>
          <w:lang w:val="en"/>
        </w:rPr>
        <w:t xml:space="preserve"> 2006)</w:t>
      </w:r>
      <w:r>
        <w:rPr>
          <w:sz w:val="18"/>
          <w:szCs w:val="18"/>
          <w:lang w:val="en"/>
        </w:rPr>
        <w:t>,</w:t>
      </w:r>
      <w:r w:rsidRPr="00EC7C30">
        <w:rPr>
          <w:sz w:val="18"/>
          <w:szCs w:val="18"/>
          <w:lang w:val="en"/>
        </w:rPr>
        <w:t xml:space="preserve"> </w:t>
      </w:r>
      <w:r>
        <w:rPr>
          <w:sz w:val="18"/>
          <w:szCs w:val="18"/>
          <w:lang w:val="en"/>
        </w:rPr>
        <w:t>as well as</w:t>
      </w:r>
      <w:r w:rsidRPr="00EC7C30">
        <w:rPr>
          <w:sz w:val="18"/>
          <w:szCs w:val="18"/>
          <w:lang w:val="en"/>
        </w:rPr>
        <w:t xml:space="preserve"> the Safety Guides </w:t>
      </w:r>
      <w:r w:rsidRPr="007F4BF5">
        <w:rPr>
          <w:i/>
          <w:iCs/>
          <w:sz w:val="18"/>
          <w:szCs w:val="18"/>
          <w:lang w:val="en"/>
        </w:rPr>
        <w:t>Application of the Management System for Facilities and Activities</w:t>
      </w:r>
      <w:r w:rsidRPr="00EC7C30">
        <w:rPr>
          <w:sz w:val="18"/>
          <w:szCs w:val="18"/>
          <w:lang w:val="en"/>
        </w:rPr>
        <w:t xml:space="preserve"> </w:t>
      </w:r>
      <w:r>
        <w:rPr>
          <w:sz w:val="18"/>
          <w:szCs w:val="18"/>
          <w:lang w:val="en"/>
        </w:rPr>
        <w:t xml:space="preserve">(IAEA </w:t>
      </w:r>
      <w:r w:rsidRPr="00EC7C30">
        <w:rPr>
          <w:sz w:val="18"/>
          <w:szCs w:val="18"/>
          <w:lang w:val="en"/>
        </w:rPr>
        <w:t>Safety Standard</w:t>
      </w:r>
      <w:r>
        <w:rPr>
          <w:sz w:val="18"/>
          <w:szCs w:val="18"/>
          <w:lang w:val="en"/>
        </w:rPr>
        <w:t>s</w:t>
      </w:r>
      <w:r w:rsidRPr="00EC7C30">
        <w:rPr>
          <w:sz w:val="18"/>
          <w:szCs w:val="18"/>
          <w:lang w:val="en"/>
        </w:rPr>
        <w:t xml:space="preserve"> Series No. GS-G-3.1, </w:t>
      </w:r>
      <w:r>
        <w:rPr>
          <w:sz w:val="18"/>
          <w:szCs w:val="18"/>
          <w:lang w:val="en"/>
        </w:rPr>
        <w:t xml:space="preserve">Vienna, </w:t>
      </w:r>
      <w:r w:rsidRPr="00EC7C30">
        <w:rPr>
          <w:sz w:val="18"/>
          <w:szCs w:val="18"/>
          <w:lang w:val="en"/>
        </w:rPr>
        <w:t xml:space="preserve">2006) and </w:t>
      </w:r>
      <w:r w:rsidRPr="007F4BF5">
        <w:rPr>
          <w:i/>
          <w:iCs/>
          <w:sz w:val="18"/>
          <w:szCs w:val="18"/>
          <w:lang w:val="en"/>
        </w:rPr>
        <w:t>The Management System for Nuclear Installations</w:t>
      </w:r>
      <w:r w:rsidRPr="00EC7C30">
        <w:rPr>
          <w:sz w:val="18"/>
          <w:szCs w:val="18"/>
          <w:lang w:val="en"/>
        </w:rPr>
        <w:t xml:space="preserve"> (</w:t>
      </w:r>
      <w:r>
        <w:rPr>
          <w:sz w:val="18"/>
          <w:szCs w:val="18"/>
          <w:lang w:val="en"/>
        </w:rPr>
        <w:t xml:space="preserve">IAEA </w:t>
      </w:r>
      <w:r w:rsidRPr="00EC7C30">
        <w:rPr>
          <w:sz w:val="18"/>
          <w:szCs w:val="18"/>
          <w:lang w:val="en"/>
        </w:rPr>
        <w:t>Safety Standard</w:t>
      </w:r>
      <w:r>
        <w:rPr>
          <w:sz w:val="18"/>
          <w:szCs w:val="18"/>
          <w:lang w:val="en"/>
        </w:rPr>
        <w:t>s</w:t>
      </w:r>
      <w:r w:rsidRPr="00EC7C30">
        <w:rPr>
          <w:sz w:val="18"/>
          <w:szCs w:val="18"/>
          <w:lang w:val="en"/>
        </w:rPr>
        <w:t xml:space="preserve"> Series No. GS-G-3.5, </w:t>
      </w:r>
      <w:r>
        <w:rPr>
          <w:sz w:val="18"/>
          <w:szCs w:val="18"/>
          <w:lang w:val="en"/>
        </w:rPr>
        <w:t xml:space="preserve">Vienna, </w:t>
      </w:r>
      <w:r w:rsidRPr="00EC7C30">
        <w:rPr>
          <w:sz w:val="18"/>
          <w:szCs w:val="18"/>
          <w:lang w:val="en"/>
        </w:rPr>
        <w:t>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18" w:rsidRDefault="00B94E18">
    <w:pPr>
      <w:pStyle w:val="Header"/>
      <w:spacing w:after="0"/>
      <w:rPr>
        <w:sz w:val="8"/>
      </w:rPr>
    </w:pPr>
    <w:r>
      <w:br/>
      <w:t xml:space="preserve">Page </w:t>
    </w:r>
    <w:r>
      <w:fldChar w:fldCharType="begin"/>
    </w:r>
    <w:r>
      <w:instrText xml:space="preserve"> PAGE </w:instrText>
    </w:r>
    <w:r>
      <w:fldChar w:fldCharType="separate"/>
    </w:r>
    <w:r w:rsidR="002A0DC6">
      <w:rPr>
        <w:noProof/>
      </w:rPr>
      <w:t>2</w:t>
    </w:r>
    <w:r>
      <w:fldChar w:fldCharType="end"/>
    </w:r>
    <w:r>
      <w:br/>
    </w:r>
  </w:p>
  <w:p w:rsidR="00B94E18" w:rsidRDefault="00B94E18">
    <w:pPr>
      <w:pStyle w:val="zyxClassification1"/>
    </w:pPr>
  </w:p>
  <w:p w:rsidR="00B94E18" w:rsidRDefault="00B94E18">
    <w:pPr>
      <w:pStyle w:val="zyxClassification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18" w:rsidRPr="003332DA" w:rsidRDefault="00B94E18" w:rsidP="003332DA">
    <w:pPr>
      <w:pStyle w:val="Header"/>
      <w:spacing w:after="0"/>
      <w:jc w:val="right"/>
      <w:rPr>
        <w:sz w:val="8"/>
        <w:szCs w:val="8"/>
      </w:rPr>
    </w:pPr>
    <w:r>
      <w:br/>
      <w:t xml:space="preserve">Page </w:t>
    </w:r>
    <w:r>
      <w:fldChar w:fldCharType="begin"/>
    </w:r>
    <w:r>
      <w:instrText xml:space="preserve"> PAGE </w:instrText>
    </w:r>
    <w:r>
      <w:fldChar w:fldCharType="separate"/>
    </w:r>
    <w:r w:rsidR="002A0DC6">
      <w:rPr>
        <w:noProof/>
      </w:rPr>
      <w:t>3</w:t>
    </w:r>
    <w:r>
      <w:fldChar w:fldCharType="end"/>
    </w:r>
    <w:r>
      <w:br/>
    </w:r>
  </w:p>
  <w:p w:rsidR="00B94E18" w:rsidRDefault="00B94E18">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B94E18">
      <w:trPr>
        <w:cantSplit/>
        <w:trHeight w:val="716"/>
      </w:trPr>
      <w:tc>
        <w:tcPr>
          <w:tcW w:w="979" w:type="dxa"/>
          <w:vMerge w:val="restart"/>
        </w:tcPr>
        <w:p w:rsidR="00B94E18" w:rsidRDefault="00B94E18">
          <w:pPr>
            <w:spacing w:before="180"/>
            <w:ind w:left="17"/>
          </w:pPr>
        </w:p>
      </w:tc>
      <w:tc>
        <w:tcPr>
          <w:tcW w:w="3638" w:type="dxa"/>
          <w:vAlign w:val="bottom"/>
        </w:tcPr>
        <w:p w:rsidR="00B94E18" w:rsidRDefault="00B94E18">
          <w:pPr>
            <w:spacing w:after="20"/>
          </w:pPr>
        </w:p>
      </w:tc>
      <w:tc>
        <w:tcPr>
          <w:tcW w:w="5702" w:type="dxa"/>
          <w:vMerge w:val="restart"/>
          <w:tcMar>
            <w:right w:w="193" w:type="dxa"/>
          </w:tcMar>
        </w:tcPr>
        <w:p w:rsidR="00B94E18" w:rsidRDefault="00B94E18">
          <w:pPr>
            <w:pStyle w:val="zyxConfidBlack"/>
            <w:framePr w:wrap="auto" w:vAnchor="margin" w:hAnchor="text" w:xAlign="left" w:yAlign="inline"/>
            <w:suppressOverlap w:val="0"/>
          </w:pPr>
          <w:bookmarkStart w:id="6" w:name="DOC_bkmClassification1"/>
        </w:p>
        <w:bookmarkEnd w:id="6"/>
        <w:p w:rsidR="00B94E18" w:rsidRDefault="00B94E18">
          <w:pPr>
            <w:pStyle w:val="zyxConfid2Red"/>
          </w:pPr>
        </w:p>
      </w:tc>
    </w:tr>
    <w:tr w:rsidR="00B94E18">
      <w:trPr>
        <w:cantSplit/>
        <w:trHeight w:val="167"/>
      </w:trPr>
      <w:tc>
        <w:tcPr>
          <w:tcW w:w="979" w:type="dxa"/>
          <w:vMerge/>
        </w:tcPr>
        <w:p w:rsidR="00B94E18" w:rsidRDefault="00B94E18">
          <w:pPr>
            <w:spacing w:before="57"/>
          </w:pPr>
        </w:p>
      </w:tc>
      <w:tc>
        <w:tcPr>
          <w:tcW w:w="3638" w:type="dxa"/>
          <w:vAlign w:val="bottom"/>
        </w:tcPr>
        <w:p w:rsidR="00B94E18" w:rsidRDefault="00B94E18">
          <w:pPr>
            <w:pStyle w:val="Heading9"/>
            <w:spacing w:before="0" w:after="10"/>
          </w:pPr>
        </w:p>
      </w:tc>
      <w:tc>
        <w:tcPr>
          <w:tcW w:w="5702" w:type="dxa"/>
          <w:vMerge/>
          <w:vAlign w:val="bottom"/>
        </w:tcPr>
        <w:p w:rsidR="00B94E18" w:rsidRDefault="00B94E18">
          <w:pPr>
            <w:pStyle w:val="Heading9"/>
            <w:spacing w:before="0" w:after="10"/>
          </w:pPr>
        </w:p>
      </w:tc>
    </w:tr>
  </w:tbl>
  <w:p w:rsidR="00B94E18" w:rsidRDefault="00B94E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79C"/>
    <w:multiLevelType w:val="hybridMultilevel"/>
    <w:tmpl w:val="8C40005E"/>
    <w:lvl w:ilvl="0" w:tplc="DE145710">
      <w:start w:val="1"/>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5BC0DB7"/>
    <w:multiLevelType w:val="hybridMultilevel"/>
    <w:tmpl w:val="A9F6F106"/>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3">
    <w:nsid w:val="1D4518C9"/>
    <w:multiLevelType w:val="hybridMultilevel"/>
    <w:tmpl w:val="FA24BE6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nsid w:val="1D59063E"/>
    <w:multiLevelType w:val="hybridMultilevel"/>
    <w:tmpl w:val="5BEAA6F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CF14F4"/>
    <w:multiLevelType w:val="hybridMultilevel"/>
    <w:tmpl w:val="3710E29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start w:val="1"/>
      <w:numFmt w:val="bullet"/>
      <w:lvlText w:val=""/>
      <w:lvlJc w:val="left"/>
      <w:pPr>
        <w:tabs>
          <w:tab w:val="num" w:pos="1440"/>
        </w:tabs>
        <w:ind w:left="1440" w:hanging="360"/>
      </w:pPr>
      <w:rPr>
        <w:rFonts w:ascii="Wingdings" w:hAnsi="Wingdings" w:hint="default"/>
        <w:sz w:val="20"/>
      </w:rPr>
    </w:lvl>
    <w:lvl w:ilvl="2" w:tplc="0A9C6B90">
      <w:start w:val="1"/>
      <w:numFmt w:val="bullet"/>
      <w:lvlText w:val=""/>
      <w:lvlJc w:val="left"/>
      <w:pPr>
        <w:tabs>
          <w:tab w:val="num" w:pos="2160"/>
        </w:tabs>
        <w:ind w:left="2160" w:hanging="360"/>
      </w:pPr>
      <w:rPr>
        <w:rFonts w:ascii="Wingdings" w:hAnsi="Wingdings" w:hint="default"/>
        <w:sz w:val="20"/>
      </w:rPr>
    </w:lvl>
    <w:lvl w:ilvl="3" w:tplc="E190FCB8">
      <w:start w:val="1"/>
      <w:numFmt w:val="bullet"/>
      <w:lvlText w:val=""/>
      <w:lvlJc w:val="left"/>
      <w:pPr>
        <w:tabs>
          <w:tab w:val="num" w:pos="2880"/>
        </w:tabs>
        <w:ind w:left="2880" w:hanging="360"/>
      </w:pPr>
      <w:rPr>
        <w:rFonts w:ascii="Wingdings" w:hAnsi="Wingdings" w:hint="default"/>
        <w:sz w:val="20"/>
      </w:rPr>
    </w:lvl>
    <w:lvl w:ilvl="4" w:tplc="B48029F8">
      <w:start w:val="1"/>
      <w:numFmt w:val="bullet"/>
      <w:lvlText w:val=""/>
      <w:lvlJc w:val="left"/>
      <w:pPr>
        <w:tabs>
          <w:tab w:val="num" w:pos="3600"/>
        </w:tabs>
        <w:ind w:left="3600" w:hanging="360"/>
      </w:pPr>
      <w:rPr>
        <w:rFonts w:ascii="Wingdings" w:hAnsi="Wingdings" w:hint="default"/>
        <w:sz w:val="20"/>
      </w:rPr>
    </w:lvl>
    <w:lvl w:ilvl="5" w:tplc="5A389DC8">
      <w:start w:val="1"/>
      <w:numFmt w:val="bullet"/>
      <w:lvlText w:val=""/>
      <w:lvlJc w:val="left"/>
      <w:pPr>
        <w:tabs>
          <w:tab w:val="num" w:pos="4320"/>
        </w:tabs>
        <w:ind w:left="4320" w:hanging="360"/>
      </w:pPr>
      <w:rPr>
        <w:rFonts w:ascii="Wingdings" w:hAnsi="Wingdings" w:hint="default"/>
        <w:sz w:val="20"/>
      </w:rPr>
    </w:lvl>
    <w:lvl w:ilvl="6" w:tplc="71A8A79A">
      <w:start w:val="1"/>
      <w:numFmt w:val="bullet"/>
      <w:lvlText w:val=""/>
      <w:lvlJc w:val="left"/>
      <w:pPr>
        <w:tabs>
          <w:tab w:val="num" w:pos="5040"/>
        </w:tabs>
        <w:ind w:left="5040" w:hanging="360"/>
      </w:pPr>
      <w:rPr>
        <w:rFonts w:ascii="Wingdings" w:hAnsi="Wingdings" w:hint="default"/>
        <w:sz w:val="20"/>
      </w:rPr>
    </w:lvl>
    <w:lvl w:ilvl="7" w:tplc="5F943F0E">
      <w:start w:val="1"/>
      <w:numFmt w:val="bullet"/>
      <w:lvlText w:val=""/>
      <w:lvlJc w:val="left"/>
      <w:pPr>
        <w:tabs>
          <w:tab w:val="num" w:pos="5760"/>
        </w:tabs>
        <w:ind w:left="5760" w:hanging="360"/>
      </w:pPr>
      <w:rPr>
        <w:rFonts w:ascii="Wingdings" w:hAnsi="Wingdings" w:hint="default"/>
        <w:sz w:val="20"/>
      </w:rPr>
    </w:lvl>
    <w:lvl w:ilvl="8" w:tplc="852EB582">
      <w:start w:val="1"/>
      <w:numFmt w:val="bullet"/>
      <w:lvlText w:val=""/>
      <w:lvlJc w:val="left"/>
      <w:pPr>
        <w:tabs>
          <w:tab w:val="num" w:pos="6480"/>
        </w:tabs>
        <w:ind w:left="6480" w:hanging="360"/>
      </w:pPr>
      <w:rPr>
        <w:rFonts w:ascii="Wingdings" w:hAnsi="Wingdings" w:hint="default"/>
        <w:sz w:val="20"/>
      </w:rPr>
    </w:lvl>
  </w:abstractNum>
  <w:abstractNum w:abstractNumId="8">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731731A"/>
    <w:multiLevelType w:val="hybridMultilevel"/>
    <w:tmpl w:val="D6BA2E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7D14389E"/>
    <w:multiLevelType w:val="hybridMultilevel"/>
    <w:tmpl w:val="F1FE3FDA"/>
    <w:lvl w:ilvl="0" w:tplc="EF88F624">
      <w:start w:val="1"/>
      <w:numFmt w:val="upperLetter"/>
      <w:pStyle w:val="Heading1"/>
      <w:lvlText w:val="%1."/>
      <w:lvlJc w:val="left"/>
      <w:pPr>
        <w:ind w:left="3479"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307446"/>
    <w:multiLevelType w:val="hybridMultilevel"/>
    <w:tmpl w:val="C670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0"/>
  </w:num>
  <w:num w:numId="5">
    <w:abstractNumId w:val="12"/>
  </w:num>
  <w:num w:numId="6">
    <w:abstractNumId w:val="1"/>
  </w:num>
  <w:num w:numId="7">
    <w:abstractNumId w:val="14"/>
  </w:num>
  <w:num w:numId="8">
    <w:abstractNumId w:val="7"/>
  </w:num>
  <w:num w:numId="9">
    <w:abstractNumId w:val="2"/>
  </w:num>
  <w:num w:numId="10">
    <w:abstractNumId w:val="0"/>
  </w:num>
  <w:num w:numId="11">
    <w:abstractNumId w:val="4"/>
  </w:num>
  <w:num w:numId="12">
    <w:abstractNumId w:val="6"/>
  </w:num>
  <w:num w:numId="13">
    <w:abstractNumId w:val="3"/>
  </w:num>
  <w:num w:numId="14">
    <w:abstractNumId w:val="13"/>
  </w:num>
  <w:num w:numId="1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229AB"/>
    <w:rsid w:val="0002432D"/>
    <w:rsid w:val="000303F2"/>
    <w:rsid w:val="00031A8E"/>
    <w:rsid w:val="0003331E"/>
    <w:rsid w:val="00041335"/>
    <w:rsid w:val="00051557"/>
    <w:rsid w:val="00060C39"/>
    <w:rsid w:val="00071E48"/>
    <w:rsid w:val="00075D74"/>
    <w:rsid w:val="000843D2"/>
    <w:rsid w:val="00092459"/>
    <w:rsid w:val="000A53DB"/>
    <w:rsid w:val="000B369E"/>
    <w:rsid w:val="000C0370"/>
    <w:rsid w:val="000C0BF5"/>
    <w:rsid w:val="000D4073"/>
    <w:rsid w:val="000D4173"/>
    <w:rsid w:val="000E4286"/>
    <w:rsid w:val="000F033E"/>
    <w:rsid w:val="000F04C2"/>
    <w:rsid w:val="000F0519"/>
    <w:rsid w:val="000F3EDC"/>
    <w:rsid w:val="000F7E94"/>
    <w:rsid w:val="00100998"/>
    <w:rsid w:val="00104CAE"/>
    <w:rsid w:val="00110398"/>
    <w:rsid w:val="00110DC6"/>
    <w:rsid w:val="001114C8"/>
    <w:rsid w:val="0011636E"/>
    <w:rsid w:val="00125555"/>
    <w:rsid w:val="0013076F"/>
    <w:rsid w:val="001340CF"/>
    <w:rsid w:val="00144993"/>
    <w:rsid w:val="00145460"/>
    <w:rsid w:val="00145F23"/>
    <w:rsid w:val="0015429A"/>
    <w:rsid w:val="00165B45"/>
    <w:rsid w:val="001959BE"/>
    <w:rsid w:val="00197E11"/>
    <w:rsid w:val="001A14C1"/>
    <w:rsid w:val="001B20E0"/>
    <w:rsid w:val="001B7D6F"/>
    <w:rsid w:val="001C15FC"/>
    <w:rsid w:val="001E46AE"/>
    <w:rsid w:val="001F3F28"/>
    <w:rsid w:val="00202948"/>
    <w:rsid w:val="00206AA4"/>
    <w:rsid w:val="00216ED3"/>
    <w:rsid w:val="00231DAC"/>
    <w:rsid w:val="0023368A"/>
    <w:rsid w:val="002430D7"/>
    <w:rsid w:val="00243701"/>
    <w:rsid w:val="00256D66"/>
    <w:rsid w:val="00260293"/>
    <w:rsid w:val="00261564"/>
    <w:rsid w:val="0026679E"/>
    <w:rsid w:val="00273372"/>
    <w:rsid w:val="00273F3D"/>
    <w:rsid w:val="00274790"/>
    <w:rsid w:val="00275F15"/>
    <w:rsid w:val="00276559"/>
    <w:rsid w:val="00280868"/>
    <w:rsid w:val="00287CAB"/>
    <w:rsid w:val="002944CA"/>
    <w:rsid w:val="002A0DC6"/>
    <w:rsid w:val="002A3CD4"/>
    <w:rsid w:val="002A5D8A"/>
    <w:rsid w:val="002B58D4"/>
    <w:rsid w:val="002C099B"/>
    <w:rsid w:val="002C1277"/>
    <w:rsid w:val="002C3F6D"/>
    <w:rsid w:val="002E120D"/>
    <w:rsid w:val="002F18ED"/>
    <w:rsid w:val="002F5B7B"/>
    <w:rsid w:val="0030395F"/>
    <w:rsid w:val="00314351"/>
    <w:rsid w:val="0031580D"/>
    <w:rsid w:val="00322985"/>
    <w:rsid w:val="00324123"/>
    <w:rsid w:val="003332DA"/>
    <w:rsid w:val="00333966"/>
    <w:rsid w:val="00337B52"/>
    <w:rsid w:val="00362111"/>
    <w:rsid w:val="003674AC"/>
    <w:rsid w:val="00385647"/>
    <w:rsid w:val="00387DA0"/>
    <w:rsid w:val="003A4CFD"/>
    <w:rsid w:val="003A7F54"/>
    <w:rsid w:val="003B0083"/>
    <w:rsid w:val="003B1DED"/>
    <w:rsid w:val="003B43E2"/>
    <w:rsid w:val="003C6C01"/>
    <w:rsid w:val="003D255A"/>
    <w:rsid w:val="003F29DB"/>
    <w:rsid w:val="003F51F4"/>
    <w:rsid w:val="0040319F"/>
    <w:rsid w:val="00407833"/>
    <w:rsid w:val="00421F1A"/>
    <w:rsid w:val="004266F7"/>
    <w:rsid w:val="00432D88"/>
    <w:rsid w:val="0043708B"/>
    <w:rsid w:val="004415ED"/>
    <w:rsid w:val="00467CB0"/>
    <w:rsid w:val="004766E3"/>
    <w:rsid w:val="00485194"/>
    <w:rsid w:val="004A246A"/>
    <w:rsid w:val="004D387F"/>
    <w:rsid w:val="004E663A"/>
    <w:rsid w:val="004E6B98"/>
    <w:rsid w:val="005002E1"/>
    <w:rsid w:val="00506377"/>
    <w:rsid w:val="005065F0"/>
    <w:rsid w:val="005250F7"/>
    <w:rsid w:val="00526BEB"/>
    <w:rsid w:val="00531D37"/>
    <w:rsid w:val="005320AF"/>
    <w:rsid w:val="00540B0E"/>
    <w:rsid w:val="00544156"/>
    <w:rsid w:val="005530B7"/>
    <w:rsid w:val="00561441"/>
    <w:rsid w:val="00573C87"/>
    <w:rsid w:val="00580C57"/>
    <w:rsid w:val="00584FD2"/>
    <w:rsid w:val="0059573F"/>
    <w:rsid w:val="00595DCB"/>
    <w:rsid w:val="005B5382"/>
    <w:rsid w:val="005B6836"/>
    <w:rsid w:val="005B6E72"/>
    <w:rsid w:val="005C2869"/>
    <w:rsid w:val="005C2D92"/>
    <w:rsid w:val="005C3B47"/>
    <w:rsid w:val="005C5353"/>
    <w:rsid w:val="005D6BF1"/>
    <w:rsid w:val="005E28D8"/>
    <w:rsid w:val="005E29CC"/>
    <w:rsid w:val="005E4066"/>
    <w:rsid w:val="005E4431"/>
    <w:rsid w:val="005E4703"/>
    <w:rsid w:val="0060008F"/>
    <w:rsid w:val="006117D0"/>
    <w:rsid w:val="0062181D"/>
    <w:rsid w:val="0062541E"/>
    <w:rsid w:val="0063750C"/>
    <w:rsid w:val="00657734"/>
    <w:rsid w:val="006617F7"/>
    <w:rsid w:val="00663323"/>
    <w:rsid w:val="00664F9E"/>
    <w:rsid w:val="006678D2"/>
    <w:rsid w:val="006720EC"/>
    <w:rsid w:val="006727C1"/>
    <w:rsid w:val="00677520"/>
    <w:rsid w:val="00682D7E"/>
    <w:rsid w:val="0068628A"/>
    <w:rsid w:val="006A26C5"/>
    <w:rsid w:val="006B13F0"/>
    <w:rsid w:val="006B3216"/>
    <w:rsid w:val="006B34CB"/>
    <w:rsid w:val="006B59F8"/>
    <w:rsid w:val="006C059C"/>
    <w:rsid w:val="006C46BA"/>
    <w:rsid w:val="006D16CA"/>
    <w:rsid w:val="006D57B9"/>
    <w:rsid w:val="006E31B7"/>
    <w:rsid w:val="006E544F"/>
    <w:rsid w:val="006F4FE7"/>
    <w:rsid w:val="006F6FB5"/>
    <w:rsid w:val="007003AC"/>
    <w:rsid w:val="0071020A"/>
    <w:rsid w:val="00720339"/>
    <w:rsid w:val="00722CBA"/>
    <w:rsid w:val="0072693A"/>
    <w:rsid w:val="00734358"/>
    <w:rsid w:val="00737C1A"/>
    <w:rsid w:val="00740220"/>
    <w:rsid w:val="00741925"/>
    <w:rsid w:val="00742BF1"/>
    <w:rsid w:val="00742F46"/>
    <w:rsid w:val="007445DA"/>
    <w:rsid w:val="00750DF0"/>
    <w:rsid w:val="007631AF"/>
    <w:rsid w:val="007717BA"/>
    <w:rsid w:val="00772C14"/>
    <w:rsid w:val="007A12C6"/>
    <w:rsid w:val="007B4B47"/>
    <w:rsid w:val="007C12D0"/>
    <w:rsid w:val="007C56BD"/>
    <w:rsid w:val="007D5941"/>
    <w:rsid w:val="007E12C6"/>
    <w:rsid w:val="007E5015"/>
    <w:rsid w:val="007E59E8"/>
    <w:rsid w:val="007F4886"/>
    <w:rsid w:val="007F4BF5"/>
    <w:rsid w:val="008011BF"/>
    <w:rsid w:val="00802EC4"/>
    <w:rsid w:val="00804062"/>
    <w:rsid w:val="008124CA"/>
    <w:rsid w:val="008128ED"/>
    <w:rsid w:val="008163EF"/>
    <w:rsid w:val="0082277D"/>
    <w:rsid w:val="00824D21"/>
    <w:rsid w:val="0084477E"/>
    <w:rsid w:val="008529C1"/>
    <w:rsid w:val="008710E2"/>
    <w:rsid w:val="00877B9B"/>
    <w:rsid w:val="008907DE"/>
    <w:rsid w:val="0089241A"/>
    <w:rsid w:val="0089569A"/>
    <w:rsid w:val="00897F1A"/>
    <w:rsid w:val="008A374A"/>
    <w:rsid w:val="008B22A2"/>
    <w:rsid w:val="008D3425"/>
    <w:rsid w:val="008E679B"/>
    <w:rsid w:val="008F1F84"/>
    <w:rsid w:val="008F3152"/>
    <w:rsid w:val="008F4504"/>
    <w:rsid w:val="00905746"/>
    <w:rsid w:val="00920A69"/>
    <w:rsid w:val="00920B19"/>
    <w:rsid w:val="00966101"/>
    <w:rsid w:val="0097467F"/>
    <w:rsid w:val="00976995"/>
    <w:rsid w:val="009943FA"/>
    <w:rsid w:val="0099722C"/>
    <w:rsid w:val="009A5F7F"/>
    <w:rsid w:val="009C0BF2"/>
    <w:rsid w:val="009C5C92"/>
    <w:rsid w:val="009D0295"/>
    <w:rsid w:val="009D0B86"/>
    <w:rsid w:val="009D5CCF"/>
    <w:rsid w:val="009D7B44"/>
    <w:rsid w:val="009E1D54"/>
    <w:rsid w:val="009E26FF"/>
    <w:rsid w:val="00A044BB"/>
    <w:rsid w:val="00A049A3"/>
    <w:rsid w:val="00A163F7"/>
    <w:rsid w:val="00A27BCE"/>
    <w:rsid w:val="00A30109"/>
    <w:rsid w:val="00A301D9"/>
    <w:rsid w:val="00A4103B"/>
    <w:rsid w:val="00A45204"/>
    <w:rsid w:val="00A65C49"/>
    <w:rsid w:val="00A745EC"/>
    <w:rsid w:val="00A756D2"/>
    <w:rsid w:val="00A8012A"/>
    <w:rsid w:val="00A85935"/>
    <w:rsid w:val="00A86115"/>
    <w:rsid w:val="00A930AD"/>
    <w:rsid w:val="00A93B13"/>
    <w:rsid w:val="00A9569A"/>
    <w:rsid w:val="00AA6714"/>
    <w:rsid w:val="00AB1CE0"/>
    <w:rsid w:val="00AD2F36"/>
    <w:rsid w:val="00AE262E"/>
    <w:rsid w:val="00AE5A14"/>
    <w:rsid w:val="00AF76A8"/>
    <w:rsid w:val="00B0037F"/>
    <w:rsid w:val="00B05CCC"/>
    <w:rsid w:val="00B11CE6"/>
    <w:rsid w:val="00B27A03"/>
    <w:rsid w:val="00B330C0"/>
    <w:rsid w:val="00B41854"/>
    <w:rsid w:val="00B50B3B"/>
    <w:rsid w:val="00B521CB"/>
    <w:rsid w:val="00B633E5"/>
    <w:rsid w:val="00B64059"/>
    <w:rsid w:val="00B77990"/>
    <w:rsid w:val="00B81415"/>
    <w:rsid w:val="00B94E18"/>
    <w:rsid w:val="00BA1810"/>
    <w:rsid w:val="00BA4EE9"/>
    <w:rsid w:val="00BA7389"/>
    <w:rsid w:val="00BB2B0C"/>
    <w:rsid w:val="00BC1B1C"/>
    <w:rsid w:val="00BC3718"/>
    <w:rsid w:val="00BC3A14"/>
    <w:rsid w:val="00BD1400"/>
    <w:rsid w:val="00BE1B6B"/>
    <w:rsid w:val="00BE2A76"/>
    <w:rsid w:val="00BE6246"/>
    <w:rsid w:val="00BF037B"/>
    <w:rsid w:val="00BF1F49"/>
    <w:rsid w:val="00BF24BF"/>
    <w:rsid w:val="00BF68CA"/>
    <w:rsid w:val="00C03100"/>
    <w:rsid w:val="00C21AC1"/>
    <w:rsid w:val="00C228C6"/>
    <w:rsid w:val="00C369F2"/>
    <w:rsid w:val="00C56926"/>
    <w:rsid w:val="00C57127"/>
    <w:rsid w:val="00C623B3"/>
    <w:rsid w:val="00C7512B"/>
    <w:rsid w:val="00C80297"/>
    <w:rsid w:val="00C965AF"/>
    <w:rsid w:val="00CA05E6"/>
    <w:rsid w:val="00CA4203"/>
    <w:rsid w:val="00CA5882"/>
    <w:rsid w:val="00CB7952"/>
    <w:rsid w:val="00CC6750"/>
    <w:rsid w:val="00CD25AE"/>
    <w:rsid w:val="00CE5A52"/>
    <w:rsid w:val="00CF7C63"/>
    <w:rsid w:val="00D034FD"/>
    <w:rsid w:val="00D052E1"/>
    <w:rsid w:val="00D15603"/>
    <w:rsid w:val="00D23DDF"/>
    <w:rsid w:val="00D24EE5"/>
    <w:rsid w:val="00D30B94"/>
    <w:rsid w:val="00D41E84"/>
    <w:rsid w:val="00D42321"/>
    <w:rsid w:val="00D43A44"/>
    <w:rsid w:val="00D54902"/>
    <w:rsid w:val="00D626A1"/>
    <w:rsid w:val="00D90716"/>
    <w:rsid w:val="00D91264"/>
    <w:rsid w:val="00D95D12"/>
    <w:rsid w:val="00DA17CA"/>
    <w:rsid w:val="00DA2E8E"/>
    <w:rsid w:val="00DA46CA"/>
    <w:rsid w:val="00DC032D"/>
    <w:rsid w:val="00DC1755"/>
    <w:rsid w:val="00DC4155"/>
    <w:rsid w:val="00DD0331"/>
    <w:rsid w:val="00DD5F8C"/>
    <w:rsid w:val="00DE2924"/>
    <w:rsid w:val="00DE6ACF"/>
    <w:rsid w:val="00DE6B24"/>
    <w:rsid w:val="00DF1EAD"/>
    <w:rsid w:val="00DF3B09"/>
    <w:rsid w:val="00E11535"/>
    <w:rsid w:val="00E12FF2"/>
    <w:rsid w:val="00E20E70"/>
    <w:rsid w:val="00E23813"/>
    <w:rsid w:val="00E24E0A"/>
    <w:rsid w:val="00E379C7"/>
    <w:rsid w:val="00E37C91"/>
    <w:rsid w:val="00E45C01"/>
    <w:rsid w:val="00E54B23"/>
    <w:rsid w:val="00E54BF7"/>
    <w:rsid w:val="00E6304B"/>
    <w:rsid w:val="00E633E6"/>
    <w:rsid w:val="00E65547"/>
    <w:rsid w:val="00E7421C"/>
    <w:rsid w:val="00E745F2"/>
    <w:rsid w:val="00E75F70"/>
    <w:rsid w:val="00E77634"/>
    <w:rsid w:val="00E80106"/>
    <w:rsid w:val="00E9635F"/>
    <w:rsid w:val="00EA3DFF"/>
    <w:rsid w:val="00EA43FA"/>
    <w:rsid w:val="00EC7C30"/>
    <w:rsid w:val="00ED01C1"/>
    <w:rsid w:val="00EE3CCA"/>
    <w:rsid w:val="00EE75B5"/>
    <w:rsid w:val="00EF150D"/>
    <w:rsid w:val="00F1752C"/>
    <w:rsid w:val="00F1761D"/>
    <w:rsid w:val="00F342E2"/>
    <w:rsid w:val="00F3641A"/>
    <w:rsid w:val="00F4545E"/>
    <w:rsid w:val="00F45BEB"/>
    <w:rsid w:val="00F500D4"/>
    <w:rsid w:val="00F7035C"/>
    <w:rsid w:val="00F77EE9"/>
    <w:rsid w:val="00F87858"/>
    <w:rsid w:val="00F932BB"/>
    <w:rsid w:val="00F952CC"/>
    <w:rsid w:val="00FA2003"/>
    <w:rsid w:val="00FA5220"/>
    <w:rsid w:val="00FB0BF2"/>
    <w:rsid w:val="00FD4511"/>
    <w:rsid w:val="00FD7628"/>
    <w:rsid w:val="00FD78C4"/>
    <w:rsid w:val="00FE0197"/>
    <w:rsid w:val="00FE1A6A"/>
    <w:rsid w:val="00FE20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footnote text" w:uiPriority="0"/>
    <w:lsdException w:name="annotation text" w:uiPriority="0"/>
    <w:lsdException w:name="header" w:uiPriority="0"/>
    <w:lsdException w:name="footer" w:uiPriority="99"/>
    <w:lsdException w:name="caption" w:uiPriority="0"/>
    <w:lsdException w:name="footnote reference" w:uiPriority="0"/>
    <w:lsdException w:name="annotation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9E1D54"/>
    <w:pPr>
      <w:keepNext/>
      <w:keepLines/>
      <w:widowControl w:val="0"/>
      <w:numPr>
        <w:numId w:val="7"/>
      </w:numPr>
      <w:spacing w:before="851" w:after="390" w:line="360" w:lineRule="exact"/>
      <w:ind w:left="0" w:firstLine="0"/>
      <w:outlineLvl w:val="0"/>
    </w:pPr>
    <w:rPr>
      <w:rFonts w:eastAsia="Times New Roman"/>
      <w:b/>
      <w:sz w:val="32"/>
      <w:lang w:eastAsia="en-US"/>
    </w:rPr>
  </w:style>
  <w:style w:type="paragraph" w:styleId="Heading2">
    <w:name w:val="heading 2"/>
    <w:next w:val="BodyTextMultiline"/>
    <w:qFormat/>
    <w:rsid w:val="008F4504"/>
    <w:pPr>
      <w:keepNext/>
      <w:keepLines/>
      <w:widowControl w:val="0"/>
      <w:spacing w:before="480" w:after="200" w:line="320" w:lineRule="exact"/>
      <w:outlineLvl w:val="1"/>
    </w:pPr>
    <w:rPr>
      <w:b/>
      <w:sz w:val="28"/>
      <w:lang w:eastAsia="en-US"/>
    </w:rPr>
  </w:style>
  <w:style w:type="paragraph" w:styleId="Heading3">
    <w:name w:val="heading 3"/>
    <w:next w:val="BodyTextMultiline"/>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Italics Quote,Corps de texte1"/>
    <w:link w:val="BodyTextChar"/>
    <w:qForma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link w:val="FootnoteTextChar"/>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qFormat/>
    <w:pPr>
      <w:numPr>
        <w:numId w:val="3"/>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4"/>
      </w:numPr>
      <w:ind w:right="1134"/>
      <w:jc w:val="both"/>
    </w:pPr>
    <w:rPr>
      <w:sz w:val="22"/>
      <w:lang w:eastAsia="en-US"/>
    </w:rPr>
  </w:style>
  <w:style w:type="paragraph" w:customStyle="1" w:styleId="ListNumbered">
    <w:name w:val="List Numbered"/>
    <w:qFormat/>
    <w:pPr>
      <w:numPr>
        <w:numId w:val="5"/>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6"/>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34"/>
    <w:qFormat/>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rsid w:val="00CA05E6"/>
    <w:rPr>
      <w:sz w:val="16"/>
      <w:szCs w:val="16"/>
    </w:rPr>
  </w:style>
  <w:style w:type="paragraph" w:styleId="CommentText">
    <w:name w:val="annotation text"/>
    <w:basedOn w:val="Normal"/>
    <w:link w:val="CommentTextChar"/>
    <w:rsid w:val="00CA05E6"/>
    <w:rPr>
      <w:sz w:val="20"/>
    </w:rPr>
  </w:style>
  <w:style w:type="character" w:customStyle="1" w:styleId="CommentTextChar">
    <w:name w:val="Comment Text Char"/>
    <w:basedOn w:val="DefaultParagraphFont"/>
    <w:link w:val="CommentText"/>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9E1D54"/>
    <w:rPr>
      <w:rFonts w:eastAsia="Times New Roman"/>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Italics Quote Char,Corps de texte1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paragraph" w:styleId="Index1">
    <w:name w:val="index 1"/>
    <w:basedOn w:val="Normal"/>
    <w:next w:val="Normal"/>
    <w:autoRedefine/>
    <w:rsid w:val="000C0370"/>
    <w:pPr>
      <w:overflowPunct/>
      <w:autoSpaceDE/>
      <w:autoSpaceDN/>
      <w:adjustRightInd/>
      <w:spacing w:line="276" w:lineRule="auto"/>
      <w:jc w:val="both"/>
      <w:textAlignment w:val="auto"/>
    </w:pPr>
    <w:rPr>
      <w:rFonts w:eastAsia="Batang"/>
      <w:sz w:val="24"/>
      <w:szCs w:val="24"/>
      <w:lang w:val="en-US" w:eastAsia="en-GB"/>
    </w:rPr>
  </w:style>
  <w:style w:type="character" w:customStyle="1" w:styleId="FootnoteTextChar">
    <w:name w:val="Footnote Text Char"/>
    <w:link w:val="FootnoteText"/>
    <w:rsid w:val="000C0370"/>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footnote text" w:uiPriority="0"/>
    <w:lsdException w:name="annotation text" w:uiPriority="0"/>
    <w:lsdException w:name="header" w:uiPriority="0"/>
    <w:lsdException w:name="footer" w:uiPriority="99"/>
    <w:lsdException w:name="caption" w:uiPriority="0"/>
    <w:lsdException w:name="footnote reference" w:uiPriority="0"/>
    <w:lsdException w:name="annotation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9E1D54"/>
    <w:pPr>
      <w:keepNext/>
      <w:keepLines/>
      <w:widowControl w:val="0"/>
      <w:numPr>
        <w:numId w:val="7"/>
      </w:numPr>
      <w:spacing w:before="851" w:after="390" w:line="360" w:lineRule="exact"/>
      <w:ind w:left="0" w:firstLine="0"/>
      <w:outlineLvl w:val="0"/>
    </w:pPr>
    <w:rPr>
      <w:rFonts w:eastAsia="Times New Roman"/>
      <w:b/>
      <w:sz w:val="32"/>
      <w:lang w:eastAsia="en-US"/>
    </w:rPr>
  </w:style>
  <w:style w:type="paragraph" w:styleId="Heading2">
    <w:name w:val="heading 2"/>
    <w:next w:val="BodyTextMultiline"/>
    <w:qFormat/>
    <w:rsid w:val="008F4504"/>
    <w:pPr>
      <w:keepNext/>
      <w:keepLines/>
      <w:widowControl w:val="0"/>
      <w:spacing w:before="480" w:after="200" w:line="320" w:lineRule="exact"/>
      <w:outlineLvl w:val="1"/>
    </w:pPr>
    <w:rPr>
      <w:b/>
      <w:sz w:val="28"/>
      <w:lang w:eastAsia="en-US"/>
    </w:rPr>
  </w:style>
  <w:style w:type="paragraph" w:styleId="Heading3">
    <w:name w:val="heading 3"/>
    <w:next w:val="BodyTextMultiline"/>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Italics Quote,Corps de texte1"/>
    <w:link w:val="BodyTextChar"/>
    <w:qForma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link w:val="FootnoteTextChar"/>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qFormat/>
    <w:pPr>
      <w:numPr>
        <w:numId w:val="3"/>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4"/>
      </w:numPr>
      <w:ind w:right="1134"/>
      <w:jc w:val="both"/>
    </w:pPr>
    <w:rPr>
      <w:sz w:val="22"/>
      <w:lang w:eastAsia="en-US"/>
    </w:rPr>
  </w:style>
  <w:style w:type="paragraph" w:customStyle="1" w:styleId="ListNumbered">
    <w:name w:val="List Numbered"/>
    <w:qFormat/>
    <w:pPr>
      <w:numPr>
        <w:numId w:val="5"/>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6"/>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34"/>
    <w:qFormat/>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rsid w:val="00CA05E6"/>
    <w:rPr>
      <w:sz w:val="16"/>
      <w:szCs w:val="16"/>
    </w:rPr>
  </w:style>
  <w:style w:type="paragraph" w:styleId="CommentText">
    <w:name w:val="annotation text"/>
    <w:basedOn w:val="Normal"/>
    <w:link w:val="CommentTextChar"/>
    <w:rsid w:val="00CA05E6"/>
    <w:rPr>
      <w:sz w:val="20"/>
    </w:rPr>
  </w:style>
  <w:style w:type="character" w:customStyle="1" w:styleId="CommentTextChar">
    <w:name w:val="Comment Text Char"/>
    <w:basedOn w:val="DefaultParagraphFont"/>
    <w:link w:val="CommentText"/>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9E1D54"/>
    <w:rPr>
      <w:rFonts w:eastAsia="Times New Roman"/>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Italics Quote Char,Corps de texte1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paragraph" w:styleId="Index1">
    <w:name w:val="index 1"/>
    <w:basedOn w:val="Normal"/>
    <w:next w:val="Normal"/>
    <w:autoRedefine/>
    <w:rsid w:val="000C0370"/>
    <w:pPr>
      <w:overflowPunct/>
      <w:autoSpaceDE/>
      <w:autoSpaceDN/>
      <w:adjustRightInd/>
      <w:spacing w:line="276" w:lineRule="auto"/>
      <w:jc w:val="both"/>
      <w:textAlignment w:val="auto"/>
    </w:pPr>
    <w:rPr>
      <w:rFonts w:eastAsia="Batang"/>
      <w:sz w:val="24"/>
      <w:szCs w:val="24"/>
      <w:lang w:val="en-US" w:eastAsia="en-GB"/>
    </w:rPr>
  </w:style>
  <w:style w:type="character" w:customStyle="1" w:styleId="FootnoteTextChar">
    <w:name w:val="Footnote Text Char"/>
    <w:link w:val="FootnoteText"/>
    <w:rsid w:val="000C0370"/>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 w:id="886181434">
      <w:bodyDiv w:val="1"/>
      <w:marLeft w:val="0"/>
      <w:marRight w:val="0"/>
      <w:marTop w:val="0"/>
      <w:marBottom w:val="0"/>
      <w:divBdr>
        <w:top w:val="none" w:sz="0" w:space="0" w:color="auto"/>
        <w:left w:val="none" w:sz="0" w:space="0" w:color="auto"/>
        <w:bottom w:val="none" w:sz="0" w:space="0" w:color="auto"/>
        <w:right w:val="none" w:sz="0" w:space="0" w:color="auto"/>
      </w:divBdr>
    </w:div>
    <w:div w:id="902179086">
      <w:bodyDiv w:val="1"/>
      <w:marLeft w:val="0"/>
      <w:marRight w:val="0"/>
      <w:marTop w:val="0"/>
      <w:marBottom w:val="0"/>
      <w:divBdr>
        <w:top w:val="none" w:sz="0" w:space="0" w:color="auto"/>
        <w:left w:val="none" w:sz="0" w:space="0" w:color="auto"/>
        <w:bottom w:val="none" w:sz="0" w:space="0" w:color="auto"/>
        <w:right w:val="none" w:sz="0" w:space="0" w:color="auto"/>
      </w:divBdr>
    </w:div>
    <w:div w:id="1303274334">
      <w:bodyDiv w:val="1"/>
      <w:marLeft w:val="0"/>
      <w:marRight w:val="0"/>
      <w:marTop w:val="0"/>
      <w:marBottom w:val="0"/>
      <w:divBdr>
        <w:top w:val="none" w:sz="0" w:space="0" w:color="auto"/>
        <w:left w:val="none" w:sz="0" w:space="0" w:color="auto"/>
        <w:bottom w:val="none" w:sz="0" w:space="0" w:color="auto"/>
        <w:right w:val="none" w:sz="0" w:space="0" w:color="auto"/>
      </w:divBdr>
    </w:div>
    <w:div w:id="1312173211">
      <w:bodyDiv w:val="1"/>
      <w:marLeft w:val="0"/>
      <w:marRight w:val="0"/>
      <w:marTop w:val="0"/>
      <w:marBottom w:val="0"/>
      <w:divBdr>
        <w:top w:val="none" w:sz="0" w:space="0" w:color="auto"/>
        <w:left w:val="none" w:sz="0" w:space="0" w:color="auto"/>
        <w:bottom w:val="none" w:sz="0" w:space="0" w:color="auto"/>
        <w:right w:val="none" w:sz="0" w:space="0" w:color="auto"/>
      </w:divBdr>
    </w:div>
    <w:div w:id="1413744400">
      <w:bodyDiv w:val="1"/>
      <w:marLeft w:val="0"/>
      <w:marRight w:val="0"/>
      <w:marTop w:val="0"/>
      <w:marBottom w:val="0"/>
      <w:divBdr>
        <w:top w:val="none" w:sz="0" w:space="0" w:color="auto"/>
        <w:left w:val="none" w:sz="0" w:space="0" w:color="auto"/>
        <w:bottom w:val="none" w:sz="0" w:space="0" w:color="auto"/>
        <w:right w:val="none" w:sz="0" w:space="0" w:color="auto"/>
      </w:divBdr>
    </w:div>
    <w:div w:id="1515535652">
      <w:bodyDiv w:val="1"/>
      <w:marLeft w:val="0"/>
      <w:marRight w:val="0"/>
      <w:marTop w:val="0"/>
      <w:marBottom w:val="0"/>
      <w:divBdr>
        <w:top w:val="none" w:sz="0" w:space="0" w:color="auto"/>
        <w:left w:val="none" w:sz="0" w:space="0" w:color="auto"/>
        <w:bottom w:val="none" w:sz="0" w:space="0" w:color="auto"/>
        <w:right w:val="none" w:sz="0" w:space="0" w:color="auto"/>
      </w:divBdr>
    </w:div>
    <w:div w:id="1531259586">
      <w:bodyDiv w:val="1"/>
      <w:marLeft w:val="0"/>
      <w:marRight w:val="0"/>
      <w:marTop w:val="0"/>
      <w:marBottom w:val="0"/>
      <w:divBdr>
        <w:top w:val="none" w:sz="0" w:space="0" w:color="auto"/>
        <w:left w:val="none" w:sz="0" w:space="0" w:color="auto"/>
        <w:bottom w:val="none" w:sz="0" w:space="0" w:color="auto"/>
        <w:right w:val="none" w:sz="0" w:space="0" w:color="auto"/>
      </w:divBdr>
    </w:div>
    <w:div w:id="20662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fetyCulture2016@iaea.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ub.iaea.org/iaeameetings/50800/International-Conference-on-Human-and-Organizational-Aspects-of-Assuring-Nuclear-Safety-Exploring-30-Years-of-Safety-Cultur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tyculture2016@iaea.org" TargetMode="External"/><Relationship Id="rId5" Type="http://schemas.openxmlformats.org/officeDocument/2006/relationships/settings" Target="settings.xml"/><Relationship Id="rId15" Type="http://schemas.openxmlformats.org/officeDocument/2006/relationships/hyperlink" Target="mailto:J." TargetMode="External"/><Relationship Id="rId10" Type="http://schemas.openxmlformats.org/officeDocument/2006/relationships/hyperlink" Target="mailto:official.mail@iaea.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SafetyCulture2016@iaea.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506E-C5F9-4A34-8FAE-1E8DA863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10</Pages>
  <Words>2747</Words>
  <Characters>15658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TURBEK, Zoltan</dc:creator>
  <cp:lastModifiedBy>SHAJU KATTIPPURAKKAL, Joseph</cp:lastModifiedBy>
  <cp:revision>2</cp:revision>
  <cp:lastPrinted>2015-11-10T09:59:00Z</cp:lastPrinted>
  <dcterms:created xsi:type="dcterms:W3CDTF">2015-11-16T10:34:00Z</dcterms:created>
  <dcterms:modified xsi:type="dcterms:W3CDTF">2015-11-16T10:34:00Z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