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30" w:rsidRPr="00421E57" w:rsidRDefault="00F86B30" w:rsidP="00F86B30">
      <w:pPr>
        <w:overflowPunct/>
        <w:autoSpaceDE/>
        <w:autoSpaceDN/>
        <w:adjustRightInd/>
        <w:spacing w:after="0" w:line="280" w:lineRule="atLeast"/>
        <w:jc w:val="center"/>
        <w:textAlignment w:val="auto"/>
        <w:rPr>
          <w:bCs/>
          <w:noProof w:val="0"/>
          <w:sz w:val="36"/>
          <w:lang w:val="en-US"/>
        </w:rPr>
      </w:pPr>
      <w:bookmarkStart w:id="0" w:name="_GoBack"/>
      <w:bookmarkEnd w:id="0"/>
      <w:r w:rsidRPr="00421E57">
        <w:rPr>
          <w:bCs/>
          <w:noProof w:val="0"/>
          <w:sz w:val="36"/>
          <w:lang w:val="en-US"/>
        </w:rPr>
        <w:t>International Experts</w:t>
      </w:r>
      <w:r w:rsidR="001322B6" w:rsidRPr="00421E57">
        <w:rPr>
          <w:bCs/>
          <w:noProof w:val="0"/>
          <w:sz w:val="36"/>
          <w:lang w:val="en-US"/>
        </w:rPr>
        <w:t>’</w:t>
      </w:r>
      <w:r w:rsidRPr="00421E57">
        <w:rPr>
          <w:bCs/>
          <w:noProof w:val="0"/>
          <w:sz w:val="36"/>
          <w:lang w:val="en-US"/>
        </w:rPr>
        <w:t xml:space="preserve"> Meeting on</w:t>
      </w:r>
    </w:p>
    <w:p w:rsidR="00F86B30" w:rsidRPr="00421E57" w:rsidRDefault="008D068F" w:rsidP="00F86B30">
      <w:pPr>
        <w:overflowPunct/>
        <w:autoSpaceDE/>
        <w:autoSpaceDN/>
        <w:adjustRightInd/>
        <w:spacing w:after="0" w:line="280" w:lineRule="atLeast"/>
        <w:jc w:val="center"/>
        <w:textAlignment w:val="auto"/>
        <w:rPr>
          <w:bCs/>
          <w:noProof w:val="0"/>
          <w:sz w:val="36"/>
          <w:lang w:val="en-US"/>
        </w:rPr>
      </w:pPr>
      <w:r w:rsidRPr="00421E57">
        <w:rPr>
          <w:bCs/>
          <w:noProof w:val="0"/>
          <w:sz w:val="36"/>
          <w:lang w:val="en-US"/>
        </w:rPr>
        <w:t>Assessment</w:t>
      </w:r>
      <w:r w:rsidR="001322B6" w:rsidRPr="00421E57">
        <w:rPr>
          <w:bCs/>
          <w:noProof w:val="0"/>
          <w:sz w:val="36"/>
          <w:lang w:val="en-US"/>
        </w:rPr>
        <w:t xml:space="preserve"> and Prognosis in Response to a Nuclear or Radiological Emergency </w:t>
      </w:r>
    </w:p>
    <w:p w:rsidR="0025487A" w:rsidRPr="00421E57" w:rsidRDefault="001322B6" w:rsidP="00095786">
      <w:pPr>
        <w:overflowPunct/>
        <w:autoSpaceDE/>
        <w:autoSpaceDN/>
        <w:adjustRightInd/>
        <w:spacing w:before="240" w:after="0" w:line="280" w:lineRule="atLeast"/>
        <w:jc w:val="center"/>
        <w:textAlignment w:val="auto"/>
        <w:rPr>
          <w:bCs/>
          <w:noProof w:val="0"/>
        </w:rPr>
      </w:pPr>
      <w:r w:rsidRPr="00421E57">
        <w:rPr>
          <w:bCs/>
          <w:noProof w:val="0"/>
        </w:rPr>
        <w:t>20-24 April</w:t>
      </w:r>
      <w:r w:rsidR="00F86B30" w:rsidRPr="00421E57">
        <w:rPr>
          <w:bCs/>
          <w:noProof w:val="0"/>
        </w:rPr>
        <w:t xml:space="preserve"> 2015</w:t>
      </w:r>
    </w:p>
    <w:p w:rsidR="00735D2B" w:rsidRPr="00421E57" w:rsidRDefault="00735D2B" w:rsidP="00735D2B">
      <w:pPr>
        <w:overflowPunct/>
        <w:autoSpaceDE/>
        <w:autoSpaceDN/>
        <w:adjustRightInd/>
        <w:spacing w:after="170" w:line="280" w:lineRule="atLeast"/>
        <w:jc w:val="center"/>
        <w:textAlignment w:val="auto"/>
        <w:rPr>
          <w:bCs/>
          <w:noProof w:val="0"/>
        </w:rPr>
      </w:pPr>
      <w:r w:rsidRPr="00421E57">
        <w:rPr>
          <w:bCs/>
          <w:noProof w:val="0"/>
        </w:rPr>
        <w:t>Vienna, Austria</w:t>
      </w:r>
    </w:p>
    <w:p w:rsidR="00735D2B" w:rsidRPr="00421E57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  <w:sz w:val="24"/>
          <w:szCs w:val="24"/>
          <w:u w:val="single"/>
        </w:rPr>
      </w:pPr>
      <w:r w:rsidRPr="00421E57">
        <w:rPr>
          <w:b/>
          <w:noProof w:val="0"/>
          <w:sz w:val="24"/>
          <w:szCs w:val="24"/>
          <w:u w:val="single"/>
        </w:rPr>
        <w:t>Extended Synopsis Submission Instructions</w:t>
      </w:r>
    </w:p>
    <w:p w:rsidR="00735D2B" w:rsidRPr="00421E57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</w:rPr>
      </w:pPr>
    </w:p>
    <w:p w:rsidR="00735D2B" w:rsidRPr="00421E57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421E57">
        <w:rPr>
          <w:b/>
          <w:noProof w:val="0"/>
        </w:rPr>
        <w:t xml:space="preserve">Submission deadline: </w:t>
      </w:r>
      <w:r w:rsidRPr="00421E57">
        <w:rPr>
          <w:b/>
          <w:noProof w:val="0"/>
        </w:rPr>
        <w:tab/>
      </w:r>
      <w:r w:rsidR="001322B6" w:rsidRPr="00421E57">
        <w:rPr>
          <w:b/>
          <w:noProof w:val="0"/>
        </w:rPr>
        <w:t>15 February 2015</w:t>
      </w:r>
    </w:p>
    <w:p w:rsidR="00735D2B" w:rsidRPr="00421E57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421E57">
        <w:rPr>
          <w:b/>
          <w:noProof w:val="0"/>
        </w:rPr>
        <w:t>Submission e-mail:</w:t>
      </w:r>
      <w:r w:rsidRPr="00421E57">
        <w:rPr>
          <w:b/>
          <w:noProof w:val="0"/>
        </w:rPr>
        <w:tab/>
      </w:r>
      <w:r w:rsidR="001322B6" w:rsidRPr="00421E57">
        <w:rPr>
          <w:noProof w:val="0"/>
          <w:szCs w:val="22"/>
        </w:rPr>
        <w:t xml:space="preserve"> IEM9@iaea.org</w:t>
      </w:r>
    </w:p>
    <w:p w:rsidR="0025487A" w:rsidRPr="00421E57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Cs/>
          <w:noProof w:val="0"/>
        </w:rPr>
      </w:pPr>
      <w:r w:rsidRPr="00421E57">
        <w:rPr>
          <w:b/>
          <w:noProof w:val="0"/>
        </w:rPr>
        <w:t xml:space="preserve">Submission subject: </w:t>
      </w:r>
      <w:r w:rsidRPr="00421E57">
        <w:rPr>
          <w:b/>
          <w:noProof w:val="0"/>
        </w:rPr>
        <w:tab/>
      </w:r>
      <w:r w:rsidR="0025487A" w:rsidRPr="00421E57">
        <w:rPr>
          <w:noProof w:val="0"/>
        </w:rPr>
        <w:t xml:space="preserve">IEM </w:t>
      </w:r>
      <w:r w:rsidR="001322B6" w:rsidRPr="00421E57">
        <w:rPr>
          <w:noProof w:val="0"/>
        </w:rPr>
        <w:t>9</w:t>
      </w:r>
      <w:r w:rsidRPr="00421E57">
        <w:rPr>
          <w:bCs/>
          <w:noProof w:val="0"/>
        </w:rPr>
        <w:t xml:space="preserve"> CN-2</w:t>
      </w:r>
      <w:r w:rsidR="001322B6" w:rsidRPr="00421E57">
        <w:rPr>
          <w:bCs/>
          <w:noProof w:val="0"/>
        </w:rPr>
        <w:t>56</w:t>
      </w:r>
      <w:r w:rsidR="0025487A" w:rsidRPr="00421E57">
        <w:rPr>
          <w:bCs/>
          <w:noProof w:val="0"/>
        </w:rPr>
        <w:t xml:space="preserve"> Synopsis</w:t>
      </w:r>
      <w:r w:rsidRPr="00421E57">
        <w:rPr>
          <w:bCs/>
          <w:noProof w:val="0"/>
        </w:rPr>
        <w:t xml:space="preserve"> </w:t>
      </w:r>
    </w:p>
    <w:p w:rsidR="00E01851" w:rsidRPr="00421E57" w:rsidRDefault="00421E57" w:rsidP="00E01851">
      <w:pPr>
        <w:overflowPunct/>
        <w:autoSpaceDE/>
        <w:autoSpaceDN/>
        <w:adjustRightInd/>
        <w:spacing w:after="0"/>
        <w:jc w:val="left"/>
        <w:textAlignment w:val="auto"/>
        <w:rPr>
          <w:noProof w:val="0"/>
          <w:sz w:val="18"/>
          <w:szCs w:val="18"/>
          <w:u w:val="single"/>
        </w:rPr>
      </w:pPr>
      <w:r>
        <w:rPr>
          <w:b/>
          <w:bCs/>
          <w:noProof w:val="0"/>
        </w:rPr>
        <w:br/>
      </w:r>
      <w:r w:rsidR="00735D2B" w:rsidRPr="00421E57">
        <w:rPr>
          <w:b/>
          <w:bCs/>
          <w:noProof w:val="0"/>
          <w:sz w:val="18"/>
          <w:szCs w:val="18"/>
        </w:rPr>
        <w:t xml:space="preserve">Note: </w:t>
      </w:r>
      <w:r w:rsidR="00735D2B" w:rsidRPr="00421E57">
        <w:rPr>
          <w:noProof w:val="0"/>
          <w:sz w:val="18"/>
          <w:szCs w:val="18"/>
        </w:rPr>
        <w:t>Form</w:t>
      </w:r>
      <w:r w:rsidR="00095786" w:rsidRPr="00421E57">
        <w:rPr>
          <w:noProof w:val="0"/>
          <w:sz w:val="18"/>
          <w:szCs w:val="18"/>
        </w:rPr>
        <w:t>s</w:t>
      </w:r>
      <w:r w:rsidR="00735D2B" w:rsidRPr="00421E57">
        <w:rPr>
          <w:noProof w:val="0"/>
          <w:sz w:val="18"/>
          <w:szCs w:val="18"/>
        </w:rPr>
        <w:t xml:space="preserve"> </w:t>
      </w:r>
      <w:r w:rsidR="00095786" w:rsidRPr="00421E57">
        <w:rPr>
          <w:noProof w:val="0"/>
          <w:sz w:val="18"/>
          <w:szCs w:val="18"/>
        </w:rPr>
        <w:t xml:space="preserve">A and </w:t>
      </w:r>
      <w:r w:rsidR="00735D2B" w:rsidRPr="00421E57">
        <w:rPr>
          <w:noProof w:val="0"/>
          <w:sz w:val="18"/>
          <w:szCs w:val="18"/>
        </w:rPr>
        <w:t xml:space="preserve">B (and </w:t>
      </w:r>
      <w:r w:rsidR="00095786" w:rsidRPr="00421E57">
        <w:rPr>
          <w:noProof w:val="0"/>
          <w:sz w:val="18"/>
          <w:szCs w:val="18"/>
        </w:rPr>
        <w:t xml:space="preserve">Form </w:t>
      </w:r>
      <w:r w:rsidR="00735D2B" w:rsidRPr="00421E57">
        <w:rPr>
          <w:noProof w:val="0"/>
          <w:sz w:val="18"/>
          <w:szCs w:val="18"/>
        </w:rPr>
        <w:t xml:space="preserve">C, if applicable) are also due by </w:t>
      </w:r>
      <w:r w:rsidR="001322B6" w:rsidRPr="00421E57">
        <w:rPr>
          <w:b/>
          <w:bCs/>
          <w:noProof w:val="0"/>
          <w:sz w:val="18"/>
          <w:szCs w:val="18"/>
        </w:rPr>
        <w:t>15 February 2015</w:t>
      </w:r>
      <w:r w:rsidR="00F86B30" w:rsidRPr="00421E57">
        <w:rPr>
          <w:b/>
          <w:bCs/>
          <w:noProof w:val="0"/>
          <w:sz w:val="18"/>
          <w:szCs w:val="18"/>
        </w:rPr>
        <w:t xml:space="preserve"> </w:t>
      </w:r>
      <w:r w:rsidR="00735D2B" w:rsidRPr="00421E57">
        <w:rPr>
          <w:noProof w:val="0"/>
          <w:sz w:val="18"/>
          <w:szCs w:val="18"/>
        </w:rPr>
        <w:t>through</w:t>
      </w:r>
      <w:r w:rsidR="00095786" w:rsidRPr="00421E57">
        <w:rPr>
          <w:noProof w:val="0"/>
          <w:sz w:val="18"/>
          <w:szCs w:val="18"/>
        </w:rPr>
        <w:t xml:space="preserve"> </w:t>
      </w:r>
      <w:r w:rsidR="00735D2B" w:rsidRPr="00421E57">
        <w:rPr>
          <w:noProof w:val="0"/>
          <w:sz w:val="18"/>
          <w:szCs w:val="18"/>
        </w:rPr>
        <w:t>official channels</w:t>
      </w:r>
      <w:r w:rsidR="00A21F96" w:rsidRPr="00421E57">
        <w:rPr>
          <w:noProof w:val="0"/>
          <w:sz w:val="18"/>
          <w:szCs w:val="18"/>
        </w:rPr>
        <w:t xml:space="preserve"> (</w:t>
      </w:r>
      <w:r w:rsidR="00E01851" w:rsidRPr="00421E57">
        <w:rPr>
          <w:noProof w:val="0"/>
          <w:sz w:val="18"/>
          <w:szCs w:val="18"/>
        </w:rPr>
        <w:t>in most cases this is</w:t>
      </w:r>
      <w:r w:rsidR="00A21F96" w:rsidRPr="00421E57">
        <w:rPr>
          <w:noProof w:val="0"/>
          <w:sz w:val="18"/>
          <w:szCs w:val="18"/>
        </w:rPr>
        <w:t xml:space="preserve"> the</w:t>
      </w:r>
      <w:r w:rsidR="00E01851" w:rsidRPr="00421E57">
        <w:rPr>
          <w:noProof w:val="0"/>
          <w:sz w:val="18"/>
          <w:szCs w:val="18"/>
        </w:rPr>
        <w:t xml:space="preserve"> Member States’ Ministry of Foreign Affairs</w:t>
      </w:r>
      <w:r w:rsidRPr="00421E57">
        <w:rPr>
          <w:noProof w:val="0"/>
          <w:sz w:val="18"/>
          <w:szCs w:val="18"/>
        </w:rPr>
        <w:t>, the  National Atomic Energy Authority</w:t>
      </w:r>
      <w:r w:rsidR="00E01851" w:rsidRPr="00421E57">
        <w:rPr>
          <w:noProof w:val="0"/>
          <w:sz w:val="18"/>
          <w:szCs w:val="18"/>
        </w:rPr>
        <w:t xml:space="preserve"> or</w:t>
      </w:r>
      <w:r w:rsidR="00A21F96" w:rsidRPr="00421E57">
        <w:rPr>
          <w:noProof w:val="0"/>
          <w:sz w:val="18"/>
          <w:szCs w:val="18"/>
        </w:rPr>
        <w:t xml:space="preserve"> Permanent Mission)</w:t>
      </w:r>
      <w:r w:rsidR="00735D2B" w:rsidRPr="00421E57">
        <w:rPr>
          <w:noProof w:val="0"/>
          <w:sz w:val="18"/>
          <w:szCs w:val="18"/>
        </w:rPr>
        <w:t xml:space="preserve">. </w:t>
      </w:r>
      <w:r w:rsidR="00E01851" w:rsidRPr="00421E57">
        <w:rPr>
          <w:noProof w:val="0"/>
          <w:sz w:val="18"/>
          <w:szCs w:val="18"/>
        </w:rPr>
        <w:t xml:space="preserve">The Forms are available from the conference web page: </w:t>
      </w:r>
      <w:hyperlink r:id="rId8" w:history="1">
        <w:r w:rsidR="00E01851" w:rsidRPr="00421E57">
          <w:rPr>
            <w:rStyle w:val="Hyperlink"/>
            <w:noProof w:val="0"/>
            <w:color w:val="0070C0"/>
            <w:sz w:val="18"/>
            <w:szCs w:val="18"/>
          </w:rPr>
          <w:t>http://www-pub.iaea.org/iaeameetings/50718/IEM9</w:t>
        </w:r>
      </w:hyperlink>
      <w:r w:rsidR="00E01851" w:rsidRPr="00421E57">
        <w:rPr>
          <w:noProof w:val="0"/>
          <w:sz w:val="18"/>
          <w:szCs w:val="18"/>
        </w:rPr>
        <w:t>.</w:t>
      </w:r>
    </w:p>
    <w:p w:rsidR="00735D2B" w:rsidRPr="00421E57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</w:rPr>
      </w:pPr>
    </w:p>
    <w:p w:rsidR="00735D2B" w:rsidRPr="00421E57" w:rsidRDefault="00735D2B" w:rsidP="00095786">
      <w:pPr>
        <w:overflowPunct/>
        <w:autoSpaceDE/>
        <w:autoSpaceDN/>
        <w:adjustRightInd/>
        <w:jc w:val="left"/>
        <w:textAlignment w:val="auto"/>
        <w:rPr>
          <w:b/>
          <w:noProof w:val="0"/>
        </w:rPr>
      </w:pPr>
      <w:r w:rsidRPr="00421E57">
        <w:rPr>
          <w:b/>
          <w:noProof w:val="0"/>
        </w:rPr>
        <w:t>Information related to the presenting author (please fill in accordingly):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644"/>
      </w:tblGrid>
      <w:tr w:rsidR="00421E57" w:rsidRPr="00421E57" w:rsidTr="00502E1E">
        <w:tc>
          <w:tcPr>
            <w:tcW w:w="3936" w:type="dxa"/>
          </w:tcPr>
          <w:p w:rsidR="00735D2B" w:rsidRPr="00421E57" w:rsidRDefault="00735D2B" w:rsidP="00735D2B">
            <w:pPr>
              <w:spacing w:after="0"/>
              <w:jc w:val="left"/>
              <w:rPr>
                <w:bCs/>
                <w:noProof w:val="0"/>
                <w:u w:val="single"/>
              </w:rPr>
            </w:pPr>
            <w:r w:rsidRPr="00421E57">
              <w:rPr>
                <w:bCs/>
                <w:noProof w:val="0"/>
              </w:rPr>
              <w:t xml:space="preserve">Title of abstract </w:t>
            </w:r>
          </w:p>
          <w:p w:rsidR="00735D2B" w:rsidRPr="00421E57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</w:p>
        </w:tc>
        <w:tc>
          <w:tcPr>
            <w:tcW w:w="4644" w:type="dxa"/>
          </w:tcPr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421E57" w:rsidRPr="00421E57" w:rsidTr="00502E1E">
        <w:tc>
          <w:tcPr>
            <w:tcW w:w="3936" w:type="dxa"/>
          </w:tcPr>
          <w:p w:rsidR="00735D2B" w:rsidRPr="00421E57" w:rsidRDefault="00735D2B" w:rsidP="00735D2B">
            <w:pPr>
              <w:spacing w:after="0"/>
              <w:jc w:val="left"/>
              <w:rPr>
                <w:bCs/>
                <w:noProof w:val="0"/>
                <w:u w:val="single"/>
              </w:rPr>
            </w:pPr>
            <w:r w:rsidRPr="00421E57">
              <w:rPr>
                <w:bCs/>
                <w:noProof w:val="0"/>
              </w:rPr>
              <w:t xml:space="preserve">Name and Surname </w:t>
            </w:r>
          </w:p>
          <w:p w:rsidR="00735D2B" w:rsidRPr="00421E57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</w:p>
        </w:tc>
        <w:tc>
          <w:tcPr>
            <w:tcW w:w="4644" w:type="dxa"/>
          </w:tcPr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421E57" w:rsidRPr="00421E57" w:rsidTr="00502E1E">
        <w:tc>
          <w:tcPr>
            <w:tcW w:w="3936" w:type="dxa"/>
          </w:tcPr>
          <w:p w:rsidR="00735D2B" w:rsidRPr="00421E57" w:rsidRDefault="00735D2B" w:rsidP="00735D2B">
            <w:pPr>
              <w:spacing w:after="0"/>
              <w:jc w:val="left"/>
              <w:rPr>
                <w:bCs/>
                <w:noProof w:val="0"/>
                <w:u w:val="single"/>
              </w:rPr>
            </w:pPr>
            <w:r w:rsidRPr="00421E57">
              <w:rPr>
                <w:bCs/>
                <w:noProof w:val="0"/>
              </w:rPr>
              <w:t>Position and Title</w:t>
            </w:r>
          </w:p>
          <w:p w:rsidR="00735D2B" w:rsidRPr="00421E57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</w:p>
        </w:tc>
        <w:tc>
          <w:tcPr>
            <w:tcW w:w="4644" w:type="dxa"/>
          </w:tcPr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421E57" w:rsidRPr="00421E57" w:rsidTr="00502E1E">
        <w:tc>
          <w:tcPr>
            <w:tcW w:w="3936" w:type="dxa"/>
          </w:tcPr>
          <w:p w:rsidR="00735D2B" w:rsidRPr="00421E57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421E57">
              <w:rPr>
                <w:bCs/>
                <w:noProof w:val="0"/>
              </w:rPr>
              <w:t>Institution, Department, Section/Unit</w:t>
            </w:r>
          </w:p>
        </w:tc>
        <w:tc>
          <w:tcPr>
            <w:tcW w:w="4644" w:type="dxa"/>
          </w:tcPr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421E57" w:rsidRPr="00421E57" w:rsidTr="00502E1E">
        <w:tc>
          <w:tcPr>
            <w:tcW w:w="3936" w:type="dxa"/>
          </w:tcPr>
          <w:p w:rsidR="00735D2B" w:rsidRPr="00421E57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421E57">
              <w:rPr>
                <w:bCs/>
                <w:noProof w:val="0"/>
              </w:rPr>
              <w:t>Full postal address</w:t>
            </w:r>
          </w:p>
        </w:tc>
        <w:tc>
          <w:tcPr>
            <w:tcW w:w="4644" w:type="dxa"/>
          </w:tcPr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421E57" w:rsidRPr="00421E57" w:rsidTr="00502E1E">
        <w:tc>
          <w:tcPr>
            <w:tcW w:w="3936" w:type="dxa"/>
          </w:tcPr>
          <w:p w:rsidR="00735D2B" w:rsidRPr="00421E57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421E57">
              <w:rPr>
                <w:bCs/>
                <w:noProof w:val="0"/>
              </w:rPr>
              <w:t>E-mail address &amp; phone number</w:t>
            </w:r>
          </w:p>
        </w:tc>
        <w:tc>
          <w:tcPr>
            <w:tcW w:w="4644" w:type="dxa"/>
          </w:tcPr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421E57" w:rsidTr="00502E1E">
        <w:tc>
          <w:tcPr>
            <w:tcW w:w="8580" w:type="dxa"/>
            <w:gridSpan w:val="2"/>
          </w:tcPr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  <w:r w:rsidRPr="00421E57">
              <w:rPr>
                <w:bCs/>
                <w:i/>
                <w:iCs/>
                <w:noProof w:val="0"/>
              </w:rPr>
              <w:t>Short CV of the presenting author (100 words maximum):</w:t>
            </w:r>
          </w:p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421E57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</w:tbl>
    <w:p w:rsidR="00735D2B" w:rsidRPr="00421E57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</w:p>
    <w:p w:rsidR="00195200" w:rsidRPr="00421E57" w:rsidRDefault="00195200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421E57">
        <w:rPr>
          <w:b/>
          <w:noProof w:val="0"/>
        </w:rPr>
        <w:br w:type="page"/>
      </w:r>
    </w:p>
    <w:p w:rsidR="00735D2B" w:rsidRPr="00421E57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421E57">
        <w:rPr>
          <w:b/>
          <w:noProof w:val="0"/>
        </w:rPr>
        <w:lastRenderedPageBreak/>
        <w:t>The synopsis should be considered in the following topical area(s) (please mark accordingly):</w:t>
      </w:r>
    </w:p>
    <w:p w:rsidR="00B25DC3" w:rsidRPr="00421E57" w:rsidRDefault="00B25DC3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</w:p>
    <w:tbl>
      <w:tblPr>
        <w:tblW w:w="8232" w:type="dxa"/>
        <w:tblInd w:w="98" w:type="dxa"/>
        <w:tblLook w:val="0000" w:firstRow="0" w:lastRow="0" w:firstColumn="0" w:lastColumn="0" w:noHBand="0" w:noVBand="0"/>
      </w:tblPr>
      <w:tblGrid>
        <w:gridCol w:w="320"/>
        <w:gridCol w:w="236"/>
        <w:gridCol w:w="7676"/>
      </w:tblGrid>
      <w:tr w:rsidR="00421E57" w:rsidRPr="00421E57" w:rsidTr="0025487A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2B" w:rsidRPr="00421E57" w:rsidRDefault="00735D2B" w:rsidP="00735D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  <w:p w:rsidR="00275A16" w:rsidRPr="00421E57" w:rsidRDefault="00275A16" w:rsidP="00735D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D2B" w:rsidRPr="00421E57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D2B" w:rsidRPr="00421E57" w:rsidRDefault="00735D2B" w:rsidP="003D0D9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  <w:position w:val="-6"/>
              </w:rPr>
            </w:pPr>
            <w:r w:rsidRPr="00421E57">
              <w:rPr>
                <w:bCs/>
                <w:noProof w:val="0"/>
                <w:position w:val="-6"/>
              </w:rPr>
              <w:t xml:space="preserve">1: </w:t>
            </w:r>
            <w:r w:rsidR="003D0D96" w:rsidRPr="00421E57">
              <w:rPr>
                <w:bCs/>
                <w:noProof w:val="0"/>
                <w:position w:val="-6"/>
              </w:rPr>
              <w:t>Assessment and prognosis during a nuclear emergency</w:t>
            </w:r>
          </w:p>
        </w:tc>
      </w:tr>
      <w:tr w:rsidR="00421E57" w:rsidRPr="00421E57" w:rsidTr="00F86B30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D2B" w:rsidRPr="00421E57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D2B" w:rsidRPr="00421E57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D2B" w:rsidRPr="00421E57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noProof w:val="0"/>
                <w:sz w:val="20"/>
                <w:lang w:eastAsia="en-GB"/>
              </w:rPr>
            </w:pPr>
          </w:p>
        </w:tc>
      </w:tr>
      <w:tr w:rsidR="00421E57" w:rsidRPr="00421E57" w:rsidTr="00F86B30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2B" w:rsidRPr="00421E57" w:rsidRDefault="00735D2B" w:rsidP="00735D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  <w:p w:rsidR="00275A16" w:rsidRPr="00421E57" w:rsidRDefault="00275A16" w:rsidP="00735D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35D2B" w:rsidRPr="00421E57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shd w:val="clear" w:color="auto" w:fill="auto"/>
            <w:noWrap/>
            <w:vAlign w:val="bottom"/>
          </w:tcPr>
          <w:p w:rsidR="00F86B30" w:rsidRPr="00421E57" w:rsidRDefault="00735D2B" w:rsidP="000B5A7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</w:rPr>
            </w:pPr>
            <w:r w:rsidRPr="00421E57">
              <w:rPr>
                <w:bCs/>
                <w:noProof w:val="0"/>
              </w:rPr>
              <w:t xml:space="preserve">2: </w:t>
            </w:r>
            <w:r w:rsidR="003D0D96" w:rsidRPr="00421E57">
              <w:rPr>
                <w:bCs/>
                <w:noProof w:val="0"/>
              </w:rPr>
              <w:t>Assessment and prognosis during a radiological emergency</w:t>
            </w:r>
          </w:p>
        </w:tc>
      </w:tr>
      <w:tr w:rsidR="00421E57" w:rsidRPr="00421E57" w:rsidTr="00F86B30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6B30" w:rsidRPr="00421E57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B30" w:rsidRPr="00421E57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6B30" w:rsidRPr="00421E57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noProof w:val="0"/>
                <w:sz w:val="20"/>
                <w:lang w:eastAsia="en-GB"/>
              </w:rPr>
            </w:pPr>
          </w:p>
        </w:tc>
      </w:tr>
      <w:tr w:rsidR="00421E57" w:rsidRPr="00421E57" w:rsidTr="000B5A73">
        <w:trPr>
          <w:trHeight w:val="33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B30" w:rsidRPr="00421E57" w:rsidRDefault="00F86B30" w:rsidP="00986CB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86B30" w:rsidRPr="00421E57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shd w:val="clear" w:color="auto" w:fill="auto"/>
            <w:noWrap/>
            <w:vAlign w:val="bottom"/>
          </w:tcPr>
          <w:p w:rsidR="003D0D96" w:rsidRPr="00421E57" w:rsidRDefault="00F86B30" w:rsidP="003D0D9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</w:rPr>
            </w:pPr>
            <w:r w:rsidRPr="00421E57">
              <w:rPr>
                <w:bCs/>
                <w:noProof w:val="0"/>
              </w:rPr>
              <w:t xml:space="preserve">3: </w:t>
            </w:r>
            <w:r w:rsidR="003D0D96" w:rsidRPr="00421E57">
              <w:rPr>
                <w:bCs/>
                <w:noProof w:val="0"/>
              </w:rPr>
              <w:t>Assessment of a nuclear or radiological emergency resulting from a nuclear</w:t>
            </w:r>
          </w:p>
          <w:p w:rsidR="00F86B30" w:rsidRPr="00421E57" w:rsidRDefault="003D0D96" w:rsidP="003D0D9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</w:rPr>
            </w:pPr>
            <w:r w:rsidRPr="00421E57">
              <w:rPr>
                <w:bCs/>
                <w:noProof w:val="0"/>
              </w:rPr>
              <w:t>security event</w:t>
            </w:r>
          </w:p>
        </w:tc>
      </w:tr>
      <w:tr w:rsidR="00421E57" w:rsidRPr="00421E57" w:rsidTr="00986CB1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6B30" w:rsidRPr="00421E57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B30" w:rsidRPr="00421E57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6B30" w:rsidRPr="00421E57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noProof w:val="0"/>
                <w:sz w:val="20"/>
                <w:lang w:eastAsia="en-GB"/>
              </w:rPr>
            </w:pPr>
          </w:p>
        </w:tc>
      </w:tr>
      <w:tr w:rsidR="00421E57" w:rsidRPr="00421E57" w:rsidTr="000B5A73">
        <w:trPr>
          <w:trHeight w:val="41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B30" w:rsidRPr="00421E57" w:rsidRDefault="00F86B30" w:rsidP="00986CB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86B30" w:rsidRPr="00421E57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shd w:val="clear" w:color="auto" w:fill="auto"/>
            <w:noWrap/>
            <w:vAlign w:val="bottom"/>
          </w:tcPr>
          <w:p w:rsidR="003D0D96" w:rsidRPr="00421E57" w:rsidRDefault="00F86B30" w:rsidP="003D0D9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</w:rPr>
            </w:pPr>
            <w:r w:rsidRPr="00421E57">
              <w:rPr>
                <w:bCs/>
                <w:noProof w:val="0"/>
              </w:rPr>
              <w:t xml:space="preserve">4: </w:t>
            </w:r>
            <w:r w:rsidR="003D0D96" w:rsidRPr="00421E57">
              <w:rPr>
                <w:bCs/>
                <w:noProof w:val="0"/>
              </w:rPr>
              <w:t>Environmental modelling and monitoring during nuclear or radiological</w:t>
            </w:r>
          </w:p>
          <w:p w:rsidR="00F86B30" w:rsidRPr="00421E57" w:rsidRDefault="003D0D96" w:rsidP="003D0D9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</w:rPr>
            </w:pPr>
            <w:r w:rsidRPr="00421E57">
              <w:rPr>
                <w:bCs/>
                <w:noProof w:val="0"/>
              </w:rPr>
              <w:t>emergencies</w:t>
            </w:r>
          </w:p>
        </w:tc>
      </w:tr>
      <w:tr w:rsidR="00421E57" w:rsidRPr="00421E57" w:rsidTr="00986CB1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6B30" w:rsidRPr="00421E57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B30" w:rsidRPr="00421E57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6B30" w:rsidRPr="00421E57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noProof w:val="0"/>
                <w:sz w:val="20"/>
                <w:lang w:eastAsia="en-GB"/>
              </w:rPr>
            </w:pPr>
          </w:p>
        </w:tc>
      </w:tr>
      <w:tr w:rsidR="00F86B30" w:rsidRPr="00421E57" w:rsidTr="000B5A73">
        <w:trPr>
          <w:trHeight w:val="246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B30" w:rsidRPr="00421E57" w:rsidRDefault="00F86B30" w:rsidP="00986CB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86B30" w:rsidRPr="00421E57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shd w:val="clear" w:color="auto" w:fill="auto"/>
            <w:noWrap/>
            <w:vAlign w:val="bottom"/>
          </w:tcPr>
          <w:p w:rsidR="00F86B30" w:rsidRPr="00421E57" w:rsidRDefault="00F86B30" w:rsidP="000B5A7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</w:rPr>
            </w:pPr>
            <w:r w:rsidRPr="00421E57">
              <w:rPr>
                <w:bCs/>
                <w:noProof w:val="0"/>
              </w:rPr>
              <w:t xml:space="preserve">5: </w:t>
            </w:r>
            <w:r w:rsidR="003D0D96" w:rsidRPr="00421E57">
              <w:rPr>
                <w:bCs/>
                <w:noProof w:val="0"/>
              </w:rPr>
              <w:t>Assessment of the impact of a nuclear or radiological emergency on food, feed, drinking water and agricultural products</w:t>
            </w:r>
          </w:p>
        </w:tc>
      </w:tr>
    </w:tbl>
    <w:p w:rsidR="00D129F1" w:rsidRPr="00421E57" w:rsidRDefault="00D129F1" w:rsidP="00735D2B">
      <w:pPr>
        <w:overflowPunct/>
        <w:autoSpaceDE/>
        <w:autoSpaceDN/>
        <w:adjustRightInd/>
        <w:spacing w:after="0" w:line="280" w:lineRule="atLeast"/>
        <w:jc w:val="left"/>
        <w:textAlignment w:val="auto"/>
        <w:rPr>
          <w:i/>
          <w:noProof w:val="0"/>
          <w:position w:val="-6"/>
        </w:rPr>
      </w:pPr>
    </w:p>
    <w:tbl>
      <w:tblPr>
        <w:tblW w:w="8232" w:type="dxa"/>
        <w:tblInd w:w="98" w:type="dxa"/>
        <w:tblLook w:val="0000" w:firstRow="0" w:lastRow="0" w:firstColumn="0" w:lastColumn="0" w:noHBand="0" w:noVBand="0"/>
      </w:tblPr>
      <w:tblGrid>
        <w:gridCol w:w="320"/>
        <w:gridCol w:w="236"/>
        <w:gridCol w:w="7676"/>
      </w:tblGrid>
      <w:tr w:rsidR="003D0D96" w:rsidRPr="00421E57" w:rsidTr="002D62C5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96" w:rsidRPr="00421E57" w:rsidRDefault="003D0D96" w:rsidP="002D62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  <w:p w:rsidR="00275A16" w:rsidRPr="00421E57" w:rsidRDefault="00275A16" w:rsidP="002D62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D96" w:rsidRPr="00421E57" w:rsidRDefault="003D0D96" w:rsidP="002D62C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D96" w:rsidRPr="00421E57" w:rsidRDefault="003D0D96" w:rsidP="000B5A7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  <w:position w:val="-6"/>
              </w:rPr>
            </w:pPr>
            <w:r w:rsidRPr="00421E57">
              <w:rPr>
                <w:bCs/>
                <w:noProof w:val="0"/>
                <w:position w:val="-6"/>
              </w:rPr>
              <w:t>6: Assessment and prognosis at the international level</w:t>
            </w:r>
          </w:p>
        </w:tc>
      </w:tr>
    </w:tbl>
    <w:p w:rsidR="003D0D96" w:rsidRPr="00421E57" w:rsidRDefault="003D0D96" w:rsidP="00735D2B">
      <w:pPr>
        <w:overflowPunct/>
        <w:autoSpaceDE/>
        <w:autoSpaceDN/>
        <w:adjustRightInd/>
        <w:spacing w:after="0" w:line="280" w:lineRule="atLeast"/>
        <w:jc w:val="left"/>
        <w:textAlignment w:val="auto"/>
        <w:rPr>
          <w:i/>
          <w:noProof w:val="0"/>
          <w:position w:val="-6"/>
        </w:rPr>
      </w:pPr>
    </w:p>
    <w:tbl>
      <w:tblPr>
        <w:tblW w:w="8232" w:type="dxa"/>
        <w:tblInd w:w="98" w:type="dxa"/>
        <w:tblLook w:val="0000" w:firstRow="0" w:lastRow="0" w:firstColumn="0" w:lastColumn="0" w:noHBand="0" w:noVBand="0"/>
      </w:tblPr>
      <w:tblGrid>
        <w:gridCol w:w="320"/>
        <w:gridCol w:w="236"/>
        <w:gridCol w:w="7676"/>
      </w:tblGrid>
      <w:tr w:rsidR="008F56E6" w:rsidRPr="00421E57" w:rsidTr="002D62C5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E6" w:rsidRPr="00421E57" w:rsidRDefault="008F56E6" w:rsidP="002D62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E6" w:rsidRPr="00421E57" w:rsidRDefault="008F56E6" w:rsidP="002D62C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E6" w:rsidRPr="00421E57" w:rsidRDefault="008F56E6" w:rsidP="002D62C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noProof w:val="0"/>
              </w:rPr>
            </w:pPr>
            <w:r w:rsidRPr="00421E57">
              <w:rPr>
                <w:bCs/>
                <w:noProof w:val="0"/>
                <w:position w:val="-6"/>
              </w:rPr>
              <w:t>7: The provision and management of technical data to support assessment and prognosis</w:t>
            </w:r>
            <w:r w:rsidRPr="00421E57" w:rsidDel="003D0D96">
              <w:t xml:space="preserve"> </w:t>
            </w:r>
          </w:p>
        </w:tc>
      </w:tr>
    </w:tbl>
    <w:p w:rsidR="00195200" w:rsidRPr="00421E57" w:rsidRDefault="00195200" w:rsidP="00B25DC3">
      <w:pPr>
        <w:pStyle w:val="BodyText"/>
        <w:spacing w:after="0"/>
      </w:pPr>
    </w:p>
    <w:p w:rsidR="00B25DC3" w:rsidRPr="00421E57" w:rsidRDefault="00B25DC3" w:rsidP="00B25DC3">
      <w:pPr>
        <w:pStyle w:val="BodyText"/>
        <w:spacing w:after="0"/>
      </w:pPr>
      <w:r w:rsidRPr="00421E57">
        <w:t xml:space="preserve">The particular details for submission are: </w:t>
      </w:r>
    </w:p>
    <w:p w:rsidR="00B25DC3" w:rsidRPr="00421E57" w:rsidRDefault="00B25DC3" w:rsidP="00B25DC3">
      <w:pPr>
        <w:pStyle w:val="BodyText"/>
        <w:spacing w:after="0"/>
      </w:pPr>
      <w:r w:rsidRPr="00421E57">
        <w:t>•</w:t>
      </w:r>
      <w:r w:rsidRPr="00421E57">
        <w:tab/>
      </w:r>
      <w:proofErr w:type="gramStart"/>
      <w:r w:rsidRPr="00421E57">
        <w:t>a</w:t>
      </w:r>
      <w:proofErr w:type="gramEnd"/>
      <w:r w:rsidRPr="00421E57">
        <w:t xml:space="preserve"> limit of 800 words;</w:t>
      </w:r>
    </w:p>
    <w:p w:rsidR="00B25DC3" w:rsidRPr="00421E57" w:rsidRDefault="00B25DC3" w:rsidP="00B25DC3">
      <w:pPr>
        <w:pStyle w:val="BodyText"/>
        <w:spacing w:after="0"/>
      </w:pPr>
      <w:r w:rsidRPr="00421E57">
        <w:t>•</w:t>
      </w:r>
      <w:r w:rsidRPr="00421E57">
        <w:tab/>
      </w:r>
      <w:proofErr w:type="gramStart"/>
      <w:r w:rsidRPr="00421E57">
        <w:t>not</w:t>
      </w:r>
      <w:proofErr w:type="gramEnd"/>
      <w:r w:rsidRPr="00421E57">
        <w:t xml:space="preserve"> to exceed two </w:t>
      </w:r>
      <w:r w:rsidR="00A61B5C" w:rsidRPr="00421E57">
        <w:t xml:space="preserve">A4 </w:t>
      </w:r>
      <w:r w:rsidRPr="00421E57">
        <w:t>pages including tables and figures;</w:t>
      </w:r>
    </w:p>
    <w:p w:rsidR="00B25DC3" w:rsidRPr="00421E57" w:rsidRDefault="00B25DC3" w:rsidP="00B25DC3">
      <w:pPr>
        <w:pStyle w:val="BodyText"/>
        <w:spacing w:after="0"/>
      </w:pPr>
      <w:r w:rsidRPr="00421E57">
        <w:t>•</w:t>
      </w:r>
      <w:r w:rsidRPr="00421E57">
        <w:tab/>
        <w:t>submitted in Word format (.doc file extension) using Times New Roman 11-point font;</w:t>
      </w:r>
    </w:p>
    <w:p w:rsidR="00B25DC3" w:rsidRPr="00421E57" w:rsidRDefault="00B25DC3" w:rsidP="00B25DC3">
      <w:pPr>
        <w:pStyle w:val="BodyText"/>
        <w:spacing w:after="0"/>
        <w:jc w:val="left"/>
        <w:rPr>
          <w:szCs w:val="22"/>
        </w:rPr>
      </w:pPr>
      <w:r w:rsidRPr="00421E57">
        <w:t>•</w:t>
      </w:r>
      <w:r w:rsidRPr="00421E57">
        <w:rPr>
          <w:szCs w:val="22"/>
        </w:rPr>
        <w:tab/>
        <w:t xml:space="preserve">submitted by </w:t>
      </w:r>
      <w:r w:rsidR="001322B6" w:rsidRPr="00421E57">
        <w:rPr>
          <w:szCs w:val="22"/>
        </w:rPr>
        <w:t>15 February 2015</w:t>
      </w:r>
      <w:r w:rsidRPr="00421E57">
        <w:rPr>
          <w:szCs w:val="22"/>
        </w:rPr>
        <w:t xml:space="preserve"> as an attachment to an e-mail to: </w:t>
      </w:r>
      <w:hyperlink r:id="rId9" w:history="1">
        <w:r w:rsidR="001322B6" w:rsidRPr="00421E57">
          <w:rPr>
            <w:rStyle w:val="Hyperlink"/>
            <w:color w:val="0070C0"/>
            <w:szCs w:val="22"/>
          </w:rPr>
          <w:t>IEM9@iaea.org</w:t>
        </w:r>
      </w:hyperlink>
    </w:p>
    <w:p w:rsidR="00E62EAC" w:rsidRPr="00A61B5C" w:rsidRDefault="008F7C3E" w:rsidP="00095786">
      <w:pPr>
        <w:pStyle w:val="BodyText"/>
        <w:spacing w:after="0"/>
        <w:rPr>
          <w:rFonts w:ascii="Arial" w:hAnsi="Arial" w:cs="Arial"/>
          <w:szCs w:val="22"/>
        </w:rPr>
      </w:pPr>
      <w:r w:rsidRPr="00421E57">
        <w:rPr>
          <w:szCs w:val="22"/>
        </w:rPr>
        <w:t>•</w:t>
      </w:r>
      <w:r w:rsidRPr="00421E57">
        <w:rPr>
          <w:szCs w:val="22"/>
        </w:rPr>
        <w:tab/>
      </w:r>
      <w:r w:rsidR="00B25DC3" w:rsidRPr="00421E57">
        <w:rPr>
          <w:szCs w:val="22"/>
        </w:rPr>
        <w:t>ensure e-mail address of corresponding author is included</w:t>
      </w:r>
      <w:r w:rsidR="00B25DC3" w:rsidRPr="00A61B5C">
        <w:rPr>
          <w:szCs w:val="22"/>
        </w:rPr>
        <w:t>.</w:t>
      </w:r>
    </w:p>
    <w:sectPr w:rsidR="00E62EAC" w:rsidRPr="00A61B5C" w:rsidSect="001D2D6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C4" w:rsidRDefault="002719C4">
      <w:r>
        <w:separator/>
      </w:r>
    </w:p>
  </w:endnote>
  <w:endnote w:type="continuationSeparator" w:id="0">
    <w:p w:rsidR="002719C4" w:rsidRDefault="0027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Default="004C4A0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4C4A05" w:rsidRDefault="004C4A05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Default="004C4A0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4C4A05" w:rsidRDefault="004C4A05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4C4A05">
      <w:trPr>
        <w:cantSplit/>
      </w:trPr>
      <w:tc>
        <w:tcPr>
          <w:tcW w:w="4644" w:type="dxa"/>
        </w:tcPr>
        <w:p w:rsidR="004C4A05" w:rsidRDefault="004C4A05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4C4A05" w:rsidRDefault="004C4A05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:rsidR="004C4A05" w:rsidRDefault="004C4A05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4C4A05" w:rsidRDefault="004C4A05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p w:rsidR="004C4A05" w:rsidRDefault="004C4A05" w:rsidP="00164A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C4" w:rsidRDefault="002719C4">
      <w:r>
        <w:t>___________________________________________________________________________</w:t>
      </w:r>
    </w:p>
  </w:footnote>
  <w:footnote w:type="continuationSeparator" w:id="0">
    <w:p w:rsidR="002719C4" w:rsidRDefault="002719C4">
      <w:r>
        <w:t>___________________________________________________________________________</w:t>
      </w:r>
    </w:p>
  </w:footnote>
  <w:footnote w:type="continuationNotice" w:id="1">
    <w:p w:rsidR="002719C4" w:rsidRDefault="002719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Pr="00D129F1" w:rsidRDefault="006A347F" w:rsidP="00D129F1">
    <w:pPr>
      <w:pStyle w:val="Header"/>
      <w:spacing w:after="240"/>
      <w:jc w:val="right"/>
      <w:rPr>
        <w:sz w:val="22"/>
        <w:szCs w:val="22"/>
      </w:rPr>
    </w:pPr>
    <w:r w:rsidRPr="00D129F1">
      <w:rPr>
        <w:sz w:val="22"/>
        <w:szCs w:val="22"/>
      </w:rPr>
      <w:t>I</w:t>
    </w:r>
    <w:r w:rsidR="00A55F5D" w:rsidRPr="00D129F1">
      <w:rPr>
        <w:sz w:val="22"/>
        <w:szCs w:val="22"/>
      </w:rPr>
      <w:t>AEA-CN-2</w:t>
    </w:r>
    <w:r w:rsidR="001322B6">
      <w:rPr>
        <w:sz w:val="22"/>
        <w:szCs w:val="22"/>
      </w:rPr>
      <w:t>56</w:t>
    </w:r>
    <w:r w:rsidR="004C4A05" w:rsidRPr="00D129F1">
      <w:rPr>
        <w:sz w:val="22"/>
        <w:szCs w:val="22"/>
      </w:rPr>
      <w:fldChar w:fldCharType="begin"/>
    </w:r>
    <w:r w:rsidR="004C4A05" w:rsidRPr="00D129F1">
      <w:rPr>
        <w:sz w:val="22"/>
        <w:szCs w:val="22"/>
      </w:rPr>
      <w:instrText>DOCPROPERTY "IaeaClassification2"  \* MERGEFORMAT</w:instrText>
    </w:r>
    <w:r w:rsidR="004C4A05" w:rsidRPr="00D129F1">
      <w:rPr>
        <w:sz w:val="22"/>
        <w:szCs w:val="22"/>
      </w:rPr>
      <w:fldChar w:fldCharType="end"/>
    </w:r>
  </w:p>
  <w:p w:rsidR="004C4A05" w:rsidRDefault="004C4A05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Pr="001D2D6C" w:rsidRDefault="006402F2" w:rsidP="001D2D6C">
    <w:pPr>
      <w:spacing w:after="480"/>
      <w:jc w:val="right"/>
      <w:rPr>
        <w:b/>
      </w:rPr>
    </w:pPr>
    <w:r w:rsidRPr="001D2D6C">
      <w:rPr>
        <w:b/>
      </w:rPr>
      <w:fldChar w:fldCharType="begin"/>
    </w:r>
    <w:r w:rsidRPr="001D2D6C">
      <w:rPr>
        <w:b/>
      </w:rPr>
      <w:instrText xml:space="preserve"> DOCPROPERTY "IAEAPaperNumber" \* MERGEFORMAT </w:instrText>
    </w:r>
    <w:r w:rsidRPr="001D2D6C">
      <w:rPr>
        <w:b/>
      </w:rPr>
      <w:fldChar w:fldCharType="separate"/>
    </w:r>
    <w:r w:rsidR="006806E2">
      <w:rPr>
        <w:bCs/>
        <w:lang w:val="en-US"/>
      </w:rPr>
      <w:t>Error! Unknown document property name.</w:t>
    </w:r>
    <w:r w:rsidRPr="001D2D6C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EA8C1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6D3700D"/>
    <w:multiLevelType w:val="hybridMultilevel"/>
    <w:tmpl w:val="C1E4C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>
    <w:nsid w:val="12DA78A8"/>
    <w:multiLevelType w:val="hybridMultilevel"/>
    <w:tmpl w:val="3638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050"/>
    <w:multiLevelType w:val="hybridMultilevel"/>
    <w:tmpl w:val="8D18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>
    <w:nsid w:val="3F5E363D"/>
    <w:multiLevelType w:val="hybridMultilevel"/>
    <w:tmpl w:val="05A84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73CD8"/>
    <w:multiLevelType w:val="hybridMultilevel"/>
    <w:tmpl w:val="C82C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2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6402F2"/>
    <w:rsid w:val="00045E42"/>
    <w:rsid w:val="00095786"/>
    <w:rsid w:val="000B5A73"/>
    <w:rsid w:val="001122E4"/>
    <w:rsid w:val="001322B6"/>
    <w:rsid w:val="00164AC4"/>
    <w:rsid w:val="00195200"/>
    <w:rsid w:val="0019727A"/>
    <w:rsid w:val="001D2D6C"/>
    <w:rsid w:val="001E3EA9"/>
    <w:rsid w:val="00217C41"/>
    <w:rsid w:val="0022360A"/>
    <w:rsid w:val="00231034"/>
    <w:rsid w:val="0025487A"/>
    <w:rsid w:val="002719C4"/>
    <w:rsid w:val="00275A16"/>
    <w:rsid w:val="002C33A4"/>
    <w:rsid w:val="00326CBA"/>
    <w:rsid w:val="0033006E"/>
    <w:rsid w:val="003740FE"/>
    <w:rsid w:val="003940A3"/>
    <w:rsid w:val="003D0D96"/>
    <w:rsid w:val="00402DEA"/>
    <w:rsid w:val="00421E57"/>
    <w:rsid w:val="0044170F"/>
    <w:rsid w:val="00486589"/>
    <w:rsid w:val="00490FE5"/>
    <w:rsid w:val="004C4A05"/>
    <w:rsid w:val="004E114E"/>
    <w:rsid w:val="00502E1E"/>
    <w:rsid w:val="00563137"/>
    <w:rsid w:val="005B6F09"/>
    <w:rsid w:val="006402F2"/>
    <w:rsid w:val="00640EFA"/>
    <w:rsid w:val="00657C4A"/>
    <w:rsid w:val="0067039B"/>
    <w:rsid w:val="006806E2"/>
    <w:rsid w:val="006A347F"/>
    <w:rsid w:val="006A7853"/>
    <w:rsid w:val="00735D2B"/>
    <w:rsid w:val="00781E4B"/>
    <w:rsid w:val="007F1C0C"/>
    <w:rsid w:val="008875C0"/>
    <w:rsid w:val="008D068F"/>
    <w:rsid w:val="008E71BE"/>
    <w:rsid w:val="008F56E6"/>
    <w:rsid w:val="008F7C3E"/>
    <w:rsid w:val="00907782"/>
    <w:rsid w:val="009D37D2"/>
    <w:rsid w:val="00A174E6"/>
    <w:rsid w:val="00A21F96"/>
    <w:rsid w:val="00A55F5D"/>
    <w:rsid w:val="00A611A5"/>
    <w:rsid w:val="00A61B5C"/>
    <w:rsid w:val="00AF2846"/>
    <w:rsid w:val="00B25DC3"/>
    <w:rsid w:val="00B81E9B"/>
    <w:rsid w:val="00C03D2A"/>
    <w:rsid w:val="00C62E82"/>
    <w:rsid w:val="00D129F1"/>
    <w:rsid w:val="00D278BD"/>
    <w:rsid w:val="00D40E04"/>
    <w:rsid w:val="00D7003A"/>
    <w:rsid w:val="00D732D4"/>
    <w:rsid w:val="00DD35C0"/>
    <w:rsid w:val="00E01851"/>
    <w:rsid w:val="00E54EF1"/>
    <w:rsid w:val="00E62EAC"/>
    <w:rsid w:val="00EA20E2"/>
    <w:rsid w:val="00F45F38"/>
    <w:rsid w:val="00F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F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ListNumber3">
    <w:name w:val="List Number 3"/>
    <w:basedOn w:val="Normal"/>
    <w:rsid w:val="006402F2"/>
    <w:pPr>
      <w:numPr>
        <w:numId w:val="10"/>
      </w:numPr>
    </w:pPr>
  </w:style>
  <w:style w:type="paragraph" w:customStyle="1" w:styleId="IAEAAuthors">
    <w:name w:val="IAEA Author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b/>
      <w:noProof/>
      <w:sz w:val="24"/>
    </w:rPr>
  </w:style>
  <w:style w:type="paragraph" w:customStyle="1" w:styleId="IAEAInstitutes">
    <w:name w:val="IAEA Institute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  <w:style w:type="character" w:styleId="Hyperlink">
    <w:name w:val="Hyperlink"/>
    <w:rsid w:val="00A55F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29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29F1"/>
    <w:rPr>
      <w:rFonts w:ascii="Tahoma" w:hAnsi="Tahoma" w:cs="Tahoma"/>
      <w:noProof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E01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F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ListNumber3">
    <w:name w:val="List Number 3"/>
    <w:basedOn w:val="Normal"/>
    <w:rsid w:val="006402F2"/>
    <w:pPr>
      <w:numPr>
        <w:numId w:val="10"/>
      </w:numPr>
    </w:pPr>
  </w:style>
  <w:style w:type="paragraph" w:customStyle="1" w:styleId="IAEAAuthors">
    <w:name w:val="IAEA Author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b/>
      <w:noProof/>
      <w:sz w:val="24"/>
    </w:rPr>
  </w:style>
  <w:style w:type="paragraph" w:customStyle="1" w:styleId="IAEAInstitutes">
    <w:name w:val="IAEA Institute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  <w:style w:type="character" w:styleId="Hyperlink">
    <w:name w:val="Hyperlink"/>
    <w:rsid w:val="00A55F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29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29F1"/>
    <w:rPr>
      <w:rFonts w:ascii="Tahoma" w:hAnsi="Tahoma" w:cs="Tahoma"/>
      <w:noProof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E01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pub.iaea.org/iaeameetings/50718/IEM9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M9@iaea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2100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mailto:iem5@iaea.org</vt:lpwstr>
      </vt:variant>
      <vt:variant>
        <vt:lpwstr/>
      </vt:variant>
      <vt:variant>
        <vt:i4>3014730</vt:i4>
      </vt:variant>
      <vt:variant>
        <vt:i4>0</vt:i4>
      </vt:variant>
      <vt:variant>
        <vt:i4>0</vt:i4>
      </vt:variant>
      <vt:variant>
        <vt:i4>5</vt:i4>
      </vt:variant>
      <vt:variant>
        <vt:lpwstr>mailto:iem5@iaea.org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IAEA-SG</dc:creator>
  <cp:lastModifiedBy>SHAJU KATTIPPURAKKAL, Joseph</cp:lastModifiedBy>
  <cp:revision>2</cp:revision>
  <cp:lastPrinted>2012-11-14T08:21:00Z</cp:lastPrinted>
  <dcterms:created xsi:type="dcterms:W3CDTF">2015-01-08T09:58:00Z</dcterms:created>
  <dcterms:modified xsi:type="dcterms:W3CDTF">2015-01-08T09:58:00Z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