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A4103B" w:rsidRDefault="00F1752C" w:rsidP="00F1752C">
      <w:pPr>
        <w:pStyle w:val="BodyText"/>
        <w:jc w:val="center"/>
        <w:rPr>
          <w:rFonts w:asciiTheme="minorHAnsi" w:hAnsiTheme="minorHAnsi" w:cstheme="minorHAnsi"/>
          <w:lang w:val="en-US"/>
        </w:rPr>
      </w:pPr>
      <w:r>
        <w:rPr>
          <w:rFonts w:asciiTheme="minorHAnsi" w:hAnsiTheme="minorHAnsi" w:cstheme="minorHAnsi"/>
          <w:noProof/>
          <w:lang w:eastAsia="zh-CN"/>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B77990" w:rsidRDefault="00F1752C" w:rsidP="00F1752C">
      <w:pPr>
        <w:pStyle w:val="BodyText"/>
        <w:spacing w:after="0" w:line="276" w:lineRule="auto"/>
        <w:jc w:val="center"/>
        <w:rPr>
          <w:b/>
          <w:sz w:val="28"/>
          <w:szCs w:val="28"/>
          <w:lang w:val="en-US"/>
        </w:rPr>
      </w:pPr>
    </w:p>
    <w:p w14:paraId="755F3C13" w14:textId="77777777" w:rsidR="00235BE5" w:rsidRDefault="0095487A" w:rsidP="00235BE5">
      <w:pPr>
        <w:pStyle w:val="BodyText"/>
        <w:spacing w:after="0"/>
        <w:jc w:val="center"/>
        <w:rPr>
          <w:b/>
          <w:bCs/>
          <w:sz w:val="42"/>
          <w:szCs w:val="42"/>
        </w:rPr>
      </w:pPr>
      <w:r w:rsidRPr="0095487A">
        <w:rPr>
          <w:b/>
          <w:bCs/>
          <w:sz w:val="42"/>
          <w:szCs w:val="42"/>
        </w:rPr>
        <w:t>International Experts’ Meeting on</w:t>
      </w:r>
    </w:p>
    <w:p w14:paraId="3198A15E" w14:textId="713E42EC" w:rsidR="009943FA" w:rsidRDefault="00324DD4" w:rsidP="00B521CB">
      <w:pPr>
        <w:pStyle w:val="BodyText"/>
        <w:spacing w:after="0" w:line="276" w:lineRule="auto"/>
        <w:jc w:val="center"/>
        <w:rPr>
          <w:b/>
          <w:bCs/>
          <w:sz w:val="42"/>
          <w:szCs w:val="42"/>
        </w:rPr>
      </w:pPr>
      <w:r w:rsidRPr="00324DD4">
        <w:rPr>
          <w:b/>
          <w:bCs/>
          <w:sz w:val="42"/>
          <w:szCs w:val="42"/>
        </w:rPr>
        <w:t xml:space="preserve">Assessment and Prognosis </w:t>
      </w:r>
      <w:r w:rsidR="00CD3081">
        <w:rPr>
          <w:b/>
          <w:bCs/>
          <w:sz w:val="42"/>
          <w:szCs w:val="42"/>
        </w:rPr>
        <w:t xml:space="preserve">in Response to </w:t>
      </w:r>
      <w:r w:rsidRPr="00324DD4">
        <w:rPr>
          <w:b/>
          <w:bCs/>
          <w:sz w:val="42"/>
          <w:szCs w:val="42"/>
        </w:rPr>
        <w:t xml:space="preserve">a Nuclear or </w:t>
      </w:r>
      <w:r w:rsidR="00CD3081">
        <w:rPr>
          <w:b/>
          <w:bCs/>
          <w:sz w:val="42"/>
          <w:szCs w:val="42"/>
        </w:rPr>
        <w:t xml:space="preserve">Radiological </w:t>
      </w:r>
      <w:r w:rsidRPr="00324DD4">
        <w:rPr>
          <w:b/>
          <w:bCs/>
          <w:sz w:val="42"/>
          <w:szCs w:val="42"/>
        </w:rPr>
        <w:t>Emergency</w:t>
      </w:r>
    </w:p>
    <w:p w14:paraId="15B90F1C" w14:textId="77777777" w:rsidR="00324DD4" w:rsidRPr="00B77990" w:rsidRDefault="00324DD4" w:rsidP="00B521CB">
      <w:pPr>
        <w:pStyle w:val="BodyText"/>
        <w:spacing w:after="0" w:line="276" w:lineRule="auto"/>
        <w:jc w:val="center"/>
        <w:rPr>
          <w:b/>
          <w:sz w:val="28"/>
          <w:szCs w:val="28"/>
          <w:lang w:val="en-US"/>
        </w:rPr>
      </w:pPr>
    </w:p>
    <w:p w14:paraId="6C872C8C" w14:textId="77777777" w:rsidR="00F1752C" w:rsidRPr="0095487A" w:rsidRDefault="00F1752C" w:rsidP="00F1752C">
      <w:pPr>
        <w:overflowPunct/>
        <w:spacing w:line="276" w:lineRule="auto"/>
        <w:jc w:val="center"/>
        <w:textAlignment w:val="auto"/>
        <w:rPr>
          <w:sz w:val="24"/>
          <w:szCs w:val="24"/>
          <w:lang w:eastAsia="en-GB"/>
        </w:rPr>
      </w:pPr>
    </w:p>
    <w:p w14:paraId="18C4F2F1" w14:textId="33245377" w:rsidR="00F1752C" w:rsidRPr="0095487A" w:rsidRDefault="00BE3096" w:rsidP="00F1752C">
      <w:pPr>
        <w:overflowPunct/>
        <w:spacing w:line="276" w:lineRule="auto"/>
        <w:jc w:val="center"/>
        <w:textAlignment w:val="auto"/>
        <w:rPr>
          <w:b/>
          <w:bCs/>
          <w:sz w:val="24"/>
          <w:szCs w:val="24"/>
          <w:lang w:eastAsia="en-GB"/>
        </w:rPr>
      </w:pPr>
      <w:r>
        <w:rPr>
          <w:b/>
          <w:bCs/>
          <w:sz w:val="24"/>
          <w:szCs w:val="24"/>
          <w:lang w:eastAsia="en-GB"/>
        </w:rPr>
        <w:t xml:space="preserve">Organized </w:t>
      </w:r>
      <w:r w:rsidR="0095487A" w:rsidRPr="0095487A">
        <w:rPr>
          <w:b/>
          <w:bCs/>
          <w:sz w:val="24"/>
          <w:szCs w:val="24"/>
          <w:lang w:eastAsia="en-GB"/>
        </w:rPr>
        <w:t>in connection with the implementation of</w:t>
      </w:r>
      <w:r w:rsidR="00F1752C" w:rsidRPr="0095487A">
        <w:rPr>
          <w:b/>
          <w:bCs/>
          <w:sz w:val="24"/>
          <w:szCs w:val="24"/>
          <w:lang w:eastAsia="en-GB"/>
        </w:rPr>
        <w:t xml:space="preserve"> the</w:t>
      </w:r>
    </w:p>
    <w:p w14:paraId="56A8D999" w14:textId="7A280609" w:rsidR="00F1752C" w:rsidRPr="0095487A" w:rsidRDefault="0095487A" w:rsidP="0095487A">
      <w:pPr>
        <w:overflowPunct/>
        <w:spacing w:line="276" w:lineRule="auto"/>
        <w:jc w:val="center"/>
        <w:textAlignment w:val="auto"/>
        <w:rPr>
          <w:sz w:val="28"/>
          <w:szCs w:val="28"/>
          <w:lang w:eastAsia="en-GB"/>
        </w:rPr>
      </w:pPr>
      <w:r w:rsidRPr="0095487A">
        <w:rPr>
          <w:sz w:val="28"/>
          <w:szCs w:val="28"/>
        </w:rPr>
        <w:t>IAEA Action Plan on Nuclear Safety</w:t>
      </w:r>
    </w:p>
    <w:p w14:paraId="5FD553C2" w14:textId="77777777" w:rsidR="00F1752C" w:rsidRDefault="00F1752C" w:rsidP="003B1DED">
      <w:pPr>
        <w:overflowPunct/>
        <w:spacing w:line="276" w:lineRule="auto"/>
        <w:jc w:val="center"/>
        <w:textAlignment w:val="auto"/>
        <w:rPr>
          <w:b/>
          <w:bCs/>
          <w:color w:val="000000"/>
          <w:sz w:val="28"/>
          <w:szCs w:val="28"/>
          <w:lang w:eastAsia="en-GB"/>
        </w:rPr>
      </w:pPr>
    </w:p>
    <w:p w14:paraId="66D7CEB6" w14:textId="77777777" w:rsidR="003B1DED" w:rsidRPr="00B77990" w:rsidRDefault="009943FA" w:rsidP="003B1DED">
      <w:pPr>
        <w:overflowPunct/>
        <w:spacing w:line="276" w:lineRule="auto"/>
        <w:jc w:val="center"/>
        <w:textAlignment w:val="auto"/>
        <w:rPr>
          <w:b/>
          <w:bCs/>
          <w:color w:val="000000"/>
          <w:sz w:val="28"/>
          <w:szCs w:val="28"/>
          <w:lang w:eastAsia="en-GB"/>
        </w:rPr>
      </w:pPr>
      <w:r w:rsidRPr="00B77990">
        <w:rPr>
          <w:b/>
          <w:bCs/>
          <w:color w:val="000000"/>
          <w:sz w:val="28"/>
          <w:szCs w:val="28"/>
          <w:lang w:eastAsia="en-GB"/>
        </w:rPr>
        <w:t>IAEA Headquarters</w:t>
      </w:r>
    </w:p>
    <w:p w14:paraId="4034E15B" w14:textId="77777777" w:rsidR="009943FA" w:rsidRDefault="009943FA" w:rsidP="00B521CB">
      <w:pPr>
        <w:overflowPunct/>
        <w:spacing w:line="276" w:lineRule="auto"/>
        <w:jc w:val="center"/>
        <w:textAlignment w:val="auto"/>
        <w:rPr>
          <w:b/>
          <w:bCs/>
          <w:color w:val="000000"/>
          <w:sz w:val="28"/>
          <w:szCs w:val="28"/>
          <w:lang w:eastAsia="en-GB"/>
        </w:rPr>
      </w:pPr>
      <w:r w:rsidRPr="00B77990">
        <w:rPr>
          <w:b/>
          <w:bCs/>
          <w:color w:val="000000"/>
          <w:sz w:val="28"/>
          <w:szCs w:val="28"/>
          <w:lang w:eastAsia="en-GB"/>
        </w:rPr>
        <w:t>Vienna, Austria</w:t>
      </w:r>
    </w:p>
    <w:p w14:paraId="46F3D7B0" w14:textId="77777777" w:rsidR="003B1DED" w:rsidRPr="00F1752C" w:rsidRDefault="003B1DED" w:rsidP="00B521CB">
      <w:pPr>
        <w:overflowPunct/>
        <w:spacing w:line="276" w:lineRule="auto"/>
        <w:jc w:val="center"/>
        <w:textAlignment w:val="auto"/>
        <w:rPr>
          <w:b/>
          <w:bCs/>
          <w:color w:val="000000"/>
          <w:sz w:val="24"/>
          <w:szCs w:val="24"/>
          <w:lang w:eastAsia="en-GB"/>
        </w:rPr>
      </w:pPr>
    </w:p>
    <w:p w14:paraId="35C3B39F" w14:textId="71985FD8" w:rsidR="00362111" w:rsidRPr="0095487A" w:rsidRDefault="00324DD4" w:rsidP="0095487A">
      <w:pPr>
        <w:overflowPunct/>
        <w:spacing w:line="276" w:lineRule="auto"/>
        <w:jc w:val="center"/>
        <w:textAlignment w:val="auto"/>
        <w:rPr>
          <w:b/>
          <w:bCs/>
          <w:sz w:val="28"/>
          <w:szCs w:val="28"/>
          <w:lang w:eastAsia="en-GB"/>
        </w:rPr>
      </w:pPr>
      <w:r>
        <w:rPr>
          <w:b/>
          <w:bCs/>
          <w:sz w:val="28"/>
          <w:szCs w:val="28"/>
        </w:rPr>
        <w:t>20</w:t>
      </w:r>
      <w:r w:rsidR="00B77990" w:rsidRPr="0095487A">
        <w:rPr>
          <w:b/>
          <w:bCs/>
          <w:sz w:val="28"/>
          <w:szCs w:val="28"/>
          <w:lang w:eastAsia="en-GB"/>
        </w:rPr>
        <w:t>–</w:t>
      </w:r>
      <w:r w:rsidR="0095487A" w:rsidRPr="0095487A">
        <w:rPr>
          <w:b/>
          <w:bCs/>
          <w:sz w:val="28"/>
          <w:szCs w:val="28"/>
        </w:rPr>
        <w:t>2</w:t>
      </w:r>
      <w:r>
        <w:rPr>
          <w:b/>
          <w:bCs/>
          <w:sz w:val="28"/>
          <w:szCs w:val="28"/>
        </w:rPr>
        <w:t>4</w:t>
      </w:r>
      <w:r w:rsidR="0095487A" w:rsidRPr="0095487A">
        <w:rPr>
          <w:b/>
          <w:bCs/>
          <w:sz w:val="28"/>
          <w:szCs w:val="28"/>
        </w:rPr>
        <w:t xml:space="preserve"> </w:t>
      </w:r>
      <w:r>
        <w:rPr>
          <w:b/>
          <w:bCs/>
          <w:sz w:val="28"/>
          <w:szCs w:val="28"/>
        </w:rPr>
        <w:t>April</w:t>
      </w:r>
      <w:r w:rsidR="0095487A" w:rsidRPr="0095487A">
        <w:rPr>
          <w:b/>
          <w:bCs/>
          <w:sz w:val="28"/>
          <w:szCs w:val="28"/>
        </w:rPr>
        <w:t xml:space="preserve"> 2015</w:t>
      </w:r>
    </w:p>
    <w:p w14:paraId="116F97B1" w14:textId="77777777" w:rsidR="00F1752C" w:rsidRPr="00F1752C" w:rsidRDefault="00F1752C" w:rsidP="00B521CB">
      <w:pPr>
        <w:overflowPunct/>
        <w:spacing w:line="276" w:lineRule="auto"/>
        <w:jc w:val="center"/>
        <w:textAlignment w:val="auto"/>
        <w:rPr>
          <w:b/>
          <w:bCs/>
          <w:sz w:val="24"/>
          <w:szCs w:val="24"/>
        </w:rPr>
      </w:pPr>
    </w:p>
    <w:p w14:paraId="2FCEBB7F" w14:textId="5018182E" w:rsidR="00276559" w:rsidRPr="0095487A" w:rsidRDefault="00F1752C" w:rsidP="0095487A">
      <w:pPr>
        <w:overflowPunct/>
        <w:spacing w:line="276" w:lineRule="auto"/>
        <w:jc w:val="center"/>
        <w:textAlignment w:val="auto"/>
        <w:rPr>
          <w:b/>
          <w:bCs/>
          <w:sz w:val="24"/>
          <w:szCs w:val="24"/>
          <w:lang w:eastAsia="en-GB"/>
        </w:rPr>
      </w:pPr>
      <w:r w:rsidRPr="0095487A">
        <w:rPr>
          <w:b/>
          <w:bCs/>
          <w:sz w:val="24"/>
          <w:szCs w:val="24"/>
        </w:rPr>
        <w:t>Ref. No</w:t>
      </w:r>
      <w:r w:rsidR="00801BB4">
        <w:rPr>
          <w:b/>
          <w:bCs/>
          <w:sz w:val="24"/>
          <w:szCs w:val="24"/>
        </w:rPr>
        <w:t>.</w:t>
      </w:r>
      <w:r w:rsidRPr="0095487A">
        <w:rPr>
          <w:b/>
          <w:bCs/>
          <w:sz w:val="24"/>
          <w:szCs w:val="24"/>
        </w:rPr>
        <w:t xml:space="preserve">: </w:t>
      </w:r>
      <w:r w:rsidR="00F0105A">
        <w:rPr>
          <w:b/>
          <w:bCs/>
          <w:sz w:val="24"/>
          <w:szCs w:val="24"/>
        </w:rPr>
        <w:t>CN</w:t>
      </w:r>
      <w:r w:rsidR="00AD5242">
        <w:rPr>
          <w:b/>
          <w:bCs/>
          <w:sz w:val="24"/>
          <w:szCs w:val="24"/>
        </w:rPr>
        <w:t>-</w:t>
      </w:r>
      <w:r w:rsidR="00F0105A">
        <w:rPr>
          <w:b/>
          <w:bCs/>
          <w:sz w:val="24"/>
          <w:szCs w:val="24"/>
        </w:rPr>
        <w:t>256</w:t>
      </w:r>
    </w:p>
    <w:p w14:paraId="26EA7C73" w14:textId="30EA1436" w:rsidR="002944CA" w:rsidRPr="002944CA" w:rsidRDefault="002944CA" w:rsidP="00CC6750">
      <w:pPr>
        <w:overflowPunct/>
        <w:spacing w:line="276" w:lineRule="auto"/>
        <w:jc w:val="center"/>
        <w:textAlignment w:val="auto"/>
        <w:rPr>
          <w:color w:val="000000"/>
          <w:sz w:val="28"/>
          <w:szCs w:val="28"/>
          <w:lang w:eastAsia="en-GB"/>
        </w:rPr>
      </w:pPr>
    </w:p>
    <w:p w14:paraId="28FBBDB9" w14:textId="77777777" w:rsidR="00276559" w:rsidRPr="00B77990" w:rsidRDefault="00276559" w:rsidP="00B521CB">
      <w:pPr>
        <w:overflowPunct/>
        <w:spacing w:line="276" w:lineRule="auto"/>
        <w:jc w:val="center"/>
        <w:textAlignment w:val="auto"/>
        <w:rPr>
          <w:b/>
          <w:bCs/>
          <w:color w:val="000000"/>
          <w:sz w:val="28"/>
          <w:szCs w:val="28"/>
          <w:lang w:eastAsia="en-GB"/>
        </w:rPr>
      </w:pPr>
    </w:p>
    <w:p w14:paraId="5CAA19BA" w14:textId="42A958D2" w:rsidR="00276559" w:rsidRPr="00F1752C" w:rsidRDefault="00333966" w:rsidP="0095487A">
      <w:pPr>
        <w:overflowPunct/>
        <w:spacing w:line="276" w:lineRule="auto"/>
        <w:jc w:val="center"/>
        <w:textAlignment w:val="auto"/>
        <w:rPr>
          <w:b/>
          <w:bCs/>
          <w:sz w:val="36"/>
          <w:szCs w:val="36"/>
          <w:lang w:eastAsia="en-GB"/>
        </w:rPr>
      </w:pPr>
      <w:r>
        <w:rPr>
          <w:b/>
          <w:bCs/>
          <w:color w:val="000000"/>
          <w:sz w:val="36"/>
          <w:szCs w:val="36"/>
          <w:lang w:eastAsia="en-GB"/>
        </w:rPr>
        <w:t>Announcement</w:t>
      </w:r>
      <w:r w:rsidR="00B77990">
        <w:rPr>
          <w:b/>
          <w:bCs/>
          <w:color w:val="000000"/>
          <w:sz w:val="36"/>
          <w:szCs w:val="36"/>
          <w:lang w:eastAsia="en-GB"/>
        </w:rPr>
        <w:t xml:space="preserve"> and Call for Papers</w:t>
      </w:r>
    </w:p>
    <w:p w14:paraId="4BC64AF8" w14:textId="6D9C63E0" w:rsidR="00750DF0" w:rsidRPr="000E4286" w:rsidRDefault="0095487A" w:rsidP="00235BE5">
      <w:pPr>
        <w:pStyle w:val="Heading1"/>
      </w:pPr>
      <w:r>
        <w:t>Background</w:t>
      </w:r>
    </w:p>
    <w:p w14:paraId="2C24B25C" w14:textId="62068411" w:rsidR="0095487A" w:rsidRPr="0095487A" w:rsidRDefault="0095487A" w:rsidP="00255C06">
      <w:pPr>
        <w:pStyle w:val="BodyText"/>
      </w:pPr>
      <w:r w:rsidRPr="0095487A">
        <w:t xml:space="preserve">Against the backdrop of the accident at </w:t>
      </w:r>
      <w:r w:rsidR="00255C06">
        <w:t>the</w:t>
      </w:r>
      <w:r w:rsidR="00255C06" w:rsidRPr="0095487A">
        <w:t xml:space="preserve"> </w:t>
      </w:r>
      <w:r w:rsidRPr="0095487A">
        <w:t xml:space="preserve">Fukushima Daiichi nuclear power </w:t>
      </w:r>
      <w:r w:rsidR="00255C06">
        <w:t>plant (NPP)</w:t>
      </w:r>
      <w:r w:rsidR="00255C06" w:rsidRPr="0095487A">
        <w:t xml:space="preserve"> </w:t>
      </w:r>
      <w:r w:rsidRPr="0095487A">
        <w:t xml:space="preserve">in </w:t>
      </w:r>
      <w:r w:rsidR="00255C06" w:rsidRPr="0095487A">
        <w:t>March</w:t>
      </w:r>
      <w:r w:rsidR="00255C06">
        <w:t> </w:t>
      </w:r>
      <w:r w:rsidRPr="0095487A">
        <w:t>2011, the Director General of the International Atomic Energy Agency (IAEA) convened a Ministerial Conference on Nuclear Safety in Vienna, Austria, in June 2011. The Conference adopted a Ministerial Declaration which, inter alia, requested the Director General to prepare a draft Action Plan covering all the relevant aspects relating to nuclear safety, emergency preparedness and response, and radiation protection of people and the environment, as well as the relevant international legal framework.</w:t>
      </w:r>
    </w:p>
    <w:p w14:paraId="71B208BD" w14:textId="549AF8CD" w:rsidR="0095487A" w:rsidRPr="0095487A" w:rsidRDefault="0095487A" w:rsidP="00BE3096">
      <w:pPr>
        <w:pStyle w:val="BodyText"/>
      </w:pPr>
      <w:r w:rsidRPr="0095487A">
        <w:t xml:space="preserve">On 22 September 2011, the IAEA General Conference unanimously endorsed </w:t>
      </w:r>
      <w:r w:rsidR="00681A10">
        <w:t xml:space="preserve">the </w:t>
      </w:r>
      <w:r w:rsidRPr="0095487A">
        <w:t>IAEA Action Plan on Nuclear Safety.</w:t>
      </w:r>
      <w:r>
        <w:rPr>
          <w:rStyle w:val="FootnoteReference"/>
        </w:rPr>
        <w:footnoteReference w:id="2"/>
      </w:r>
      <w:r w:rsidRPr="0095487A">
        <w:t xml:space="preserve"> The Action Plan sets out a comprehensive programme of work, in 12 major areas, </w:t>
      </w:r>
      <w:r w:rsidRPr="0095487A">
        <w:lastRenderedPageBreak/>
        <w:t xml:space="preserve">to strengthen nuclear safety worldwide. </w:t>
      </w:r>
      <w:r w:rsidR="008A062C">
        <w:t>One</w:t>
      </w:r>
      <w:r w:rsidRPr="0095487A">
        <w:t xml:space="preserve"> area </w:t>
      </w:r>
      <w:r w:rsidR="0052445F">
        <w:t xml:space="preserve">under the Action Plan, </w:t>
      </w:r>
      <w:r w:rsidR="00BE3096">
        <w:t xml:space="preserve">headed </w:t>
      </w:r>
      <w:r w:rsidRPr="0095487A">
        <w:t>“Communication and information dissemination”</w:t>
      </w:r>
      <w:r w:rsidR="0052445F">
        <w:t>,</w:t>
      </w:r>
      <w:r w:rsidRPr="0095487A">
        <w:t xml:space="preserve"> focuses on enhancing the transparency and effectiveness of communication as well as improving the dissemination of information.</w:t>
      </w:r>
      <w:r w:rsidR="0075412E" w:rsidRPr="0075412E">
        <w:t xml:space="preserve"> </w:t>
      </w:r>
      <w:r w:rsidR="0075412E">
        <w:t>In this connection, t</w:t>
      </w:r>
      <w:r w:rsidRPr="0095487A">
        <w:t>he Action Plan calls upon the IAEA Secretariat to organize international experts’ meetings (IEMs) to analyse all relevant technical aspects and learn the lessons from the Fukushima Daiichi accident. This IEM</w:t>
      </w:r>
      <w:r w:rsidR="0052445F">
        <w:t>, which is the ninth</w:t>
      </w:r>
      <w:r w:rsidR="00255C06">
        <w:t xml:space="preserve"> such meeting since </w:t>
      </w:r>
      <w:r w:rsidR="00CA713B">
        <w:t xml:space="preserve">the first </w:t>
      </w:r>
      <w:r w:rsidR="00255C06">
        <w:t>IEM</w:t>
      </w:r>
      <w:r w:rsidR="00A346B4">
        <w:t xml:space="preserve"> </w:t>
      </w:r>
      <w:r w:rsidR="00255C06">
        <w:t>in March 2012,</w:t>
      </w:r>
      <w:r w:rsidRPr="0095487A">
        <w:t xml:space="preserve"> is </w:t>
      </w:r>
      <w:r w:rsidRPr="00B0440C">
        <w:t>being organized in support of th</w:t>
      </w:r>
      <w:r w:rsidR="00B0440C" w:rsidRPr="00681A10">
        <w:t>is call</w:t>
      </w:r>
      <w:r w:rsidR="00CD3081" w:rsidRPr="00B0440C">
        <w:t xml:space="preserve"> and in response to the request of the General</w:t>
      </w:r>
      <w:r w:rsidR="00CD3081">
        <w:t xml:space="preserve"> Conference </w:t>
      </w:r>
      <w:r w:rsidR="00BE3096">
        <w:t>r</w:t>
      </w:r>
      <w:r w:rsidR="00CD3081">
        <w:t xml:space="preserve">esolution </w:t>
      </w:r>
      <w:proofErr w:type="gramStart"/>
      <w:r w:rsidR="00CD3081">
        <w:t>GC(</w:t>
      </w:r>
      <w:proofErr w:type="gramEnd"/>
      <w:r w:rsidR="00CD3081">
        <w:t>58)/RES/10, which requested the Secretariat “…to</w:t>
      </w:r>
      <w:r w:rsidR="00CD3081" w:rsidRPr="00CD3081">
        <w:t xml:space="preserve"> </w:t>
      </w:r>
      <w:r w:rsidR="00CD3081">
        <w:t xml:space="preserve">continue organizing international experts’ meetings on lessons learned from the Fukushima Daiichi accident, including to address the issue of accident analysis and prognosis with </w:t>
      </w:r>
      <w:r w:rsidR="00BE3096">
        <w:t xml:space="preserve">the </w:t>
      </w:r>
      <w:r w:rsidR="00CD3081">
        <w:t>focus on possible gaps”</w:t>
      </w:r>
      <w:r w:rsidRPr="0095487A">
        <w:t>.</w:t>
      </w:r>
    </w:p>
    <w:p w14:paraId="3C846ED4" w14:textId="37037D99" w:rsidR="00CD3081" w:rsidRDefault="00CD3081" w:rsidP="00BE3096">
      <w:pPr>
        <w:pStyle w:val="BodyText"/>
      </w:pPr>
      <w:r w:rsidRPr="00235DF2">
        <w:t>The</w:t>
      </w:r>
      <w:r>
        <w:t xml:space="preserve"> 2011 </w:t>
      </w:r>
      <w:r w:rsidRPr="00235DF2">
        <w:t xml:space="preserve">IAEA Action Plan on Nuclear Safety expanded the </w:t>
      </w:r>
      <w:r>
        <w:t xml:space="preserve">IAEA Secretariat’s </w:t>
      </w:r>
      <w:r w:rsidRPr="00235DF2">
        <w:t xml:space="preserve">response </w:t>
      </w:r>
      <w:r>
        <w:t>r</w:t>
      </w:r>
      <w:r w:rsidRPr="00235DF2">
        <w:t>ole in an emergency at a</w:t>
      </w:r>
      <w:r w:rsidR="00BE3096">
        <w:t>n</w:t>
      </w:r>
      <w:r w:rsidRPr="00235DF2">
        <w:t xml:space="preserve"> NPP to cover the need “… to provide Member States, international organizations and the general public with timely, clear, factually correct, objective and easily understandable information during a nuclear emergency on its potential consequences, including analysis of available information and prognosis of possible scenarios based on evidence, scientific knowledge and the capabilities of Member States”</w:t>
      </w:r>
      <w:r w:rsidR="00BE3096">
        <w:t>. The IAEA</w:t>
      </w:r>
      <w:r w:rsidR="00A0382C">
        <w:t xml:space="preserve"> </w:t>
      </w:r>
      <w:r>
        <w:t>General Conference</w:t>
      </w:r>
      <w:r w:rsidR="00BE3096">
        <w:t>,</w:t>
      </w:r>
      <w:r>
        <w:t xml:space="preserve"> in </w:t>
      </w:r>
      <w:r w:rsidR="00BE3096">
        <w:t>its r</w:t>
      </w:r>
      <w:r>
        <w:t xml:space="preserve">esolutions </w:t>
      </w:r>
      <w:proofErr w:type="gramStart"/>
      <w:r>
        <w:t>GC(</w:t>
      </w:r>
      <w:proofErr w:type="gramEnd"/>
      <w:r>
        <w:t>57)/RES/9 and GC(58)/RES/</w:t>
      </w:r>
      <w:r w:rsidR="00362BB0">
        <w:t>10</w:t>
      </w:r>
      <w:r w:rsidR="00BE3096">
        <w:t>,</w:t>
      </w:r>
      <w:r>
        <w:t xml:space="preserve"> further clarified that the IAEA </w:t>
      </w:r>
      <w:r w:rsidR="00BE3096">
        <w:t xml:space="preserve">Secretariat’s </w:t>
      </w:r>
      <w:r>
        <w:t xml:space="preserve">response role in </w:t>
      </w:r>
      <w:r w:rsidR="00BE3096">
        <w:t xml:space="preserve">such a </w:t>
      </w:r>
      <w:r>
        <w:t xml:space="preserve">context </w:t>
      </w:r>
      <w:r w:rsidR="00BE3096">
        <w:t xml:space="preserve">would </w:t>
      </w:r>
      <w:r>
        <w:t xml:space="preserve">cover all nuclear </w:t>
      </w:r>
      <w:r w:rsidR="00BE3096">
        <w:t xml:space="preserve">and </w:t>
      </w:r>
      <w:r>
        <w:t>radiological emergencies.</w:t>
      </w:r>
    </w:p>
    <w:p w14:paraId="0159EA96" w14:textId="15AAE3D6" w:rsidR="00324DD4" w:rsidRDefault="00A0382C" w:rsidP="00BE3096">
      <w:pPr>
        <w:pStyle w:val="BodyText"/>
      </w:pPr>
      <w:r>
        <w:t xml:space="preserve">In </w:t>
      </w:r>
      <w:r w:rsidR="00BE3096">
        <w:t xml:space="preserve">the </w:t>
      </w:r>
      <w:r>
        <w:t>light of the</w:t>
      </w:r>
      <w:r w:rsidR="008030ED">
        <w:t xml:space="preserve"> </w:t>
      </w:r>
      <w:r w:rsidR="00BE3096">
        <w:t xml:space="preserve">IAEA </w:t>
      </w:r>
      <w:r w:rsidR="008030ED">
        <w:t>Action Plan on Nuclear Safety</w:t>
      </w:r>
      <w:r>
        <w:t xml:space="preserve"> and </w:t>
      </w:r>
      <w:r w:rsidR="00BE3096">
        <w:t xml:space="preserve">the above-mentioned </w:t>
      </w:r>
      <w:r>
        <w:t xml:space="preserve">General Conference </w:t>
      </w:r>
      <w:r w:rsidR="00BE3096">
        <w:t>r</w:t>
      </w:r>
      <w:r>
        <w:t xml:space="preserve">esolutions, many activities </w:t>
      </w:r>
      <w:r w:rsidR="008A062C">
        <w:t xml:space="preserve">in relation to </w:t>
      </w:r>
      <w:r w:rsidR="00BE3096">
        <w:t xml:space="preserve">this </w:t>
      </w:r>
      <w:r w:rsidR="008A062C">
        <w:t xml:space="preserve">expanded response role </w:t>
      </w:r>
      <w:r>
        <w:t>have been undertaken by the Secretariat in close collaboration with the Member States. Th</w:t>
      </w:r>
      <w:r w:rsidR="00BE3096">
        <w:t>e present</w:t>
      </w:r>
      <w:r>
        <w:t xml:space="preserve"> IEM is being organi</w:t>
      </w:r>
      <w:r w:rsidR="00BE3096">
        <w:t>z</w:t>
      </w:r>
      <w:r>
        <w:t xml:space="preserve">ed to facilitate the exchange of information on these activities and to </w:t>
      </w:r>
      <w:r w:rsidR="0084624D">
        <w:t xml:space="preserve">discuss the way forward in the </w:t>
      </w:r>
      <w:r>
        <w:t>develop</w:t>
      </w:r>
      <w:r w:rsidR="0084624D">
        <w:t>ment of</w:t>
      </w:r>
      <w:r>
        <w:t xml:space="preserve"> the assessment and prognosis process.</w:t>
      </w:r>
    </w:p>
    <w:p w14:paraId="27F69B73" w14:textId="0E08E46E" w:rsidR="00362111" w:rsidRPr="001114C8" w:rsidRDefault="00750DF0" w:rsidP="00235BE5">
      <w:pPr>
        <w:pStyle w:val="Heading1"/>
      </w:pPr>
      <w:r w:rsidRPr="001114C8">
        <w:t>Objectives</w:t>
      </w:r>
    </w:p>
    <w:p w14:paraId="3D053370" w14:textId="215FD4C7" w:rsidR="00324DD4" w:rsidRPr="009D6F3A" w:rsidRDefault="00617C93" w:rsidP="00BE3096">
      <w:pPr>
        <w:pStyle w:val="BodyText"/>
      </w:pPr>
      <w:r w:rsidRPr="009D6F3A">
        <w:t xml:space="preserve">The </w:t>
      </w:r>
      <w:r w:rsidR="00AB257B" w:rsidRPr="009D6F3A">
        <w:t xml:space="preserve">overall </w:t>
      </w:r>
      <w:r w:rsidRPr="009D6F3A">
        <w:t xml:space="preserve">objective of this IEM is to provide a forum for </w:t>
      </w:r>
      <w:r w:rsidR="002C2471">
        <w:t xml:space="preserve">experts from </w:t>
      </w:r>
      <w:r w:rsidRPr="009D6F3A">
        <w:t xml:space="preserve">Member States </w:t>
      </w:r>
      <w:r w:rsidR="002C2471">
        <w:t xml:space="preserve">and international organizations </w:t>
      </w:r>
      <w:r w:rsidRPr="009D6F3A">
        <w:t xml:space="preserve">to </w:t>
      </w:r>
      <w:r w:rsidR="002C2471">
        <w:t>discuss</w:t>
      </w:r>
      <w:r w:rsidR="001F6BB4" w:rsidRPr="001F6BB4">
        <w:t xml:space="preserve"> </w:t>
      </w:r>
      <w:r w:rsidR="001F6BB4">
        <w:t>issues</w:t>
      </w:r>
      <w:r w:rsidR="002C2471">
        <w:t xml:space="preserve">, challenges </w:t>
      </w:r>
      <w:r w:rsidR="001F6BB4">
        <w:t>and solutions</w:t>
      </w:r>
      <w:r w:rsidR="001F6BB4" w:rsidRPr="009D6F3A">
        <w:t xml:space="preserve"> </w:t>
      </w:r>
      <w:r w:rsidRPr="009D6F3A">
        <w:t xml:space="preserve">related to </w:t>
      </w:r>
      <w:r w:rsidR="002C2471">
        <w:t xml:space="preserve">the </w:t>
      </w:r>
      <w:r w:rsidRPr="009D6F3A">
        <w:t>assessment and prognosis</w:t>
      </w:r>
      <w:r w:rsidR="003F7D3F">
        <w:t xml:space="preserve"> process</w:t>
      </w:r>
      <w:r w:rsidRPr="009D6F3A">
        <w:t xml:space="preserve"> in response to a nuclear or radiological emergency</w:t>
      </w:r>
      <w:r w:rsidR="004E3E7A">
        <w:t>. This includes</w:t>
      </w:r>
      <w:r w:rsidR="00B32755">
        <w:t xml:space="preserve"> the </w:t>
      </w:r>
      <w:r w:rsidRPr="009D6F3A">
        <w:t>objectives</w:t>
      </w:r>
      <w:r w:rsidR="004E3E7A">
        <w:t xml:space="preserve"> of the process</w:t>
      </w:r>
      <w:r w:rsidRPr="009D6F3A">
        <w:t xml:space="preserve">, </w:t>
      </w:r>
      <w:r w:rsidR="00BE6116">
        <w:t xml:space="preserve">its </w:t>
      </w:r>
      <w:r w:rsidRPr="009D6F3A">
        <w:t>constraints</w:t>
      </w:r>
      <w:r w:rsidR="00B32755">
        <w:t>,</w:t>
      </w:r>
      <w:r w:rsidRPr="009D6F3A">
        <w:t xml:space="preserve"> limitations</w:t>
      </w:r>
      <w:r w:rsidR="00B32755">
        <w:t xml:space="preserve"> and</w:t>
      </w:r>
      <w:r w:rsidR="00BE6116">
        <w:t xml:space="preserve"> associated</w:t>
      </w:r>
      <w:r w:rsidR="00B32755">
        <w:t xml:space="preserve"> uncertainties</w:t>
      </w:r>
      <w:r w:rsidRPr="009D6F3A">
        <w:t>.</w:t>
      </w:r>
      <w:r w:rsidR="00324DD4" w:rsidRPr="009D6F3A">
        <w:t xml:space="preserve"> </w:t>
      </w:r>
      <w:r w:rsidR="00BE3096">
        <w:t>T</w:t>
      </w:r>
      <w:r w:rsidR="00BE3096" w:rsidRPr="009D6F3A">
        <w:t>h</w:t>
      </w:r>
      <w:r w:rsidR="00BE3096">
        <w:t>e</w:t>
      </w:r>
      <w:r w:rsidR="00BE3096" w:rsidRPr="009D6F3A">
        <w:t xml:space="preserve"> </w:t>
      </w:r>
      <w:r w:rsidR="00BE3096">
        <w:t>meeting</w:t>
      </w:r>
      <w:r w:rsidR="00BE3096" w:rsidRPr="009D6F3A">
        <w:t xml:space="preserve"> </w:t>
      </w:r>
      <w:r w:rsidRPr="009D6F3A">
        <w:t xml:space="preserve">will focus on </w:t>
      </w:r>
      <w:r w:rsidR="00BE3096">
        <w:t>the exchange</w:t>
      </w:r>
      <w:r w:rsidR="00BE3096" w:rsidRPr="009D6F3A">
        <w:t xml:space="preserve"> </w:t>
      </w:r>
      <w:r w:rsidR="00324DD4" w:rsidRPr="009D6F3A">
        <w:t xml:space="preserve">of </w:t>
      </w:r>
      <w:r w:rsidR="002C2471">
        <w:t xml:space="preserve">information, </w:t>
      </w:r>
      <w:r w:rsidR="00324DD4" w:rsidRPr="009D6F3A">
        <w:t xml:space="preserve">knowledge </w:t>
      </w:r>
      <w:r w:rsidR="002C2471">
        <w:t xml:space="preserve">and experience </w:t>
      </w:r>
      <w:r w:rsidR="00BE3096">
        <w:t>related to</w:t>
      </w:r>
      <w:r w:rsidR="00BE3096" w:rsidRPr="00681A10">
        <w:t xml:space="preserve"> </w:t>
      </w:r>
      <w:r w:rsidR="002C2471">
        <w:t>national and international</w:t>
      </w:r>
      <w:r w:rsidR="00AB257B" w:rsidRPr="009D6F3A" w:rsidDel="00617C93">
        <w:t xml:space="preserve"> </w:t>
      </w:r>
      <w:r w:rsidR="00324DD4" w:rsidRPr="009D6F3A">
        <w:t>assessment and prognosis capabilities</w:t>
      </w:r>
      <w:r w:rsidR="00837898" w:rsidRPr="009D6F3A">
        <w:t xml:space="preserve">, as well as </w:t>
      </w:r>
      <w:r w:rsidR="00BE3096">
        <w:t>to</w:t>
      </w:r>
      <w:r w:rsidR="00BE3096" w:rsidRPr="009D6F3A">
        <w:t xml:space="preserve"> </w:t>
      </w:r>
      <w:r w:rsidR="00324DD4" w:rsidRPr="009D6F3A">
        <w:t xml:space="preserve">the </w:t>
      </w:r>
      <w:r w:rsidR="001F6D93" w:rsidRPr="009D6F3A">
        <w:t xml:space="preserve">operational </w:t>
      </w:r>
      <w:r w:rsidR="002C2471">
        <w:t xml:space="preserve">arrangements for </w:t>
      </w:r>
      <w:r w:rsidR="00B32755">
        <w:t xml:space="preserve">the </w:t>
      </w:r>
      <w:r w:rsidR="002C2471" w:rsidRPr="009D6F3A">
        <w:t>implementation</w:t>
      </w:r>
      <w:r w:rsidR="002C2471">
        <w:t xml:space="preserve"> o</w:t>
      </w:r>
      <w:r w:rsidR="001F6D93" w:rsidRPr="009D6F3A">
        <w:t xml:space="preserve">f the </w:t>
      </w:r>
      <w:r w:rsidR="00324DD4" w:rsidRPr="009D6F3A">
        <w:t>IAEA’s assessment and prognosis process.</w:t>
      </w:r>
    </w:p>
    <w:p w14:paraId="41B2B97D" w14:textId="4AC189B7" w:rsidR="001F6D93" w:rsidRPr="000F671E" w:rsidRDefault="001F6D93" w:rsidP="00BE3096">
      <w:pPr>
        <w:pStyle w:val="BodyText"/>
        <w:rPr>
          <w:szCs w:val="22"/>
        </w:rPr>
      </w:pPr>
      <w:r>
        <w:t>The meeting will be of interest to experts representing decision</w:t>
      </w:r>
      <w:r w:rsidR="00BE3096">
        <w:t>-</w:t>
      </w:r>
      <w:r>
        <w:t xml:space="preserve">makers, regulatory bodies, operators, </w:t>
      </w:r>
      <w:r w:rsidR="00BE3096">
        <w:t>c</w:t>
      </w:r>
      <w:r>
        <w:t xml:space="preserve">ompetent </w:t>
      </w:r>
      <w:r w:rsidR="00BE3096">
        <w:t>a</w:t>
      </w:r>
      <w:r>
        <w:t xml:space="preserve">uthorities under the </w:t>
      </w:r>
      <w:r w:rsidR="00EC3570" w:rsidRPr="00EC3570">
        <w:t>Convention on Early Notification of a Nuclear Accident and the Convention on Assistance in the Case of a Nuclear Accident or Radiological Emergency</w:t>
      </w:r>
      <w:r w:rsidR="00762BA4">
        <w:t>,</w:t>
      </w:r>
      <w:r w:rsidR="00EC3570">
        <w:t xml:space="preserve"> </w:t>
      </w:r>
      <w:r w:rsidR="00BE3096">
        <w:t>t</w:t>
      </w:r>
      <w:r w:rsidR="00EC3570">
        <w:t xml:space="preserve">echnical </w:t>
      </w:r>
      <w:r w:rsidR="00BE3096">
        <w:rPr>
          <w:szCs w:val="22"/>
        </w:rPr>
        <w:t>s</w:t>
      </w:r>
      <w:r w:rsidR="00EC3570" w:rsidRPr="000F671E">
        <w:rPr>
          <w:szCs w:val="22"/>
        </w:rPr>
        <w:t xml:space="preserve">upport </w:t>
      </w:r>
      <w:r w:rsidR="00BE3096">
        <w:rPr>
          <w:szCs w:val="22"/>
        </w:rPr>
        <w:t>o</w:t>
      </w:r>
      <w:r w:rsidRPr="000F671E">
        <w:rPr>
          <w:szCs w:val="22"/>
        </w:rPr>
        <w:t>rganizations</w:t>
      </w:r>
      <w:r w:rsidR="00EC3570" w:rsidRPr="000F671E">
        <w:rPr>
          <w:szCs w:val="22"/>
        </w:rPr>
        <w:t xml:space="preserve"> (TSOs)</w:t>
      </w:r>
      <w:r w:rsidR="00762BA4" w:rsidRPr="000F671E">
        <w:rPr>
          <w:szCs w:val="22"/>
        </w:rPr>
        <w:t xml:space="preserve"> and international organizations</w:t>
      </w:r>
      <w:r w:rsidRPr="000F671E">
        <w:rPr>
          <w:szCs w:val="22"/>
        </w:rPr>
        <w:t>.</w:t>
      </w:r>
    </w:p>
    <w:p w14:paraId="0019E6D5" w14:textId="75A7A8B1" w:rsidR="0095487A" w:rsidRPr="00B0440C" w:rsidRDefault="00AB257B" w:rsidP="00681A10">
      <w:pPr>
        <w:pStyle w:val="BodyText"/>
      </w:pPr>
      <w:r w:rsidRPr="007B0FCF">
        <w:t>T</w:t>
      </w:r>
      <w:r w:rsidR="00324DD4" w:rsidRPr="007B0FCF">
        <w:t xml:space="preserve">he </w:t>
      </w:r>
      <w:r w:rsidRPr="00327670">
        <w:t>specific objectives of th</w:t>
      </w:r>
      <w:r w:rsidR="00B32755">
        <w:t>is</w:t>
      </w:r>
      <w:r w:rsidRPr="00327670">
        <w:t xml:space="preserve"> </w:t>
      </w:r>
      <w:r w:rsidR="00324DD4" w:rsidRPr="00327670">
        <w:t xml:space="preserve">IEM </w:t>
      </w:r>
      <w:r w:rsidRPr="00327670">
        <w:t>are to</w:t>
      </w:r>
      <w:r w:rsidR="00324DD4" w:rsidRPr="00B0440C">
        <w:t>:</w:t>
      </w:r>
    </w:p>
    <w:p w14:paraId="56DC3314" w14:textId="56F0B243" w:rsidR="00AB257B" w:rsidRDefault="00AB257B" w:rsidP="00324DD4">
      <w:pPr>
        <w:pStyle w:val="ListParagraph"/>
        <w:numPr>
          <w:ilvl w:val="0"/>
          <w:numId w:val="28"/>
        </w:numPr>
        <w:overflowPunct/>
        <w:autoSpaceDE/>
        <w:autoSpaceDN/>
        <w:adjustRightInd/>
        <w:spacing w:before="120" w:after="120"/>
        <w:contextualSpacing w:val="0"/>
        <w:jc w:val="both"/>
        <w:textAlignment w:val="auto"/>
        <w:rPr>
          <w:szCs w:val="22"/>
        </w:rPr>
      </w:pPr>
      <w:r w:rsidRPr="000F671E">
        <w:rPr>
          <w:szCs w:val="22"/>
        </w:rPr>
        <w:t xml:space="preserve">Share national experience </w:t>
      </w:r>
      <w:r w:rsidR="00B32755">
        <w:rPr>
          <w:szCs w:val="22"/>
        </w:rPr>
        <w:t>in</w:t>
      </w:r>
      <w:r w:rsidRPr="000F671E">
        <w:rPr>
          <w:szCs w:val="22"/>
        </w:rPr>
        <w:t xml:space="preserve"> assessment and prognosis;</w:t>
      </w:r>
    </w:p>
    <w:p w14:paraId="70981496" w14:textId="77FAF8E9" w:rsidR="008A062C" w:rsidRPr="000F671E" w:rsidRDefault="008A062C" w:rsidP="00515E32">
      <w:pPr>
        <w:pStyle w:val="ListParagraph"/>
        <w:numPr>
          <w:ilvl w:val="0"/>
          <w:numId w:val="28"/>
        </w:numPr>
        <w:overflowPunct/>
        <w:autoSpaceDE/>
        <w:autoSpaceDN/>
        <w:adjustRightInd/>
        <w:spacing w:before="120" w:after="120"/>
        <w:contextualSpacing w:val="0"/>
        <w:jc w:val="both"/>
        <w:textAlignment w:val="auto"/>
        <w:rPr>
          <w:szCs w:val="22"/>
        </w:rPr>
      </w:pPr>
      <w:r>
        <w:rPr>
          <w:szCs w:val="22"/>
        </w:rPr>
        <w:t>Discuss constraints</w:t>
      </w:r>
      <w:r w:rsidR="00B32755">
        <w:rPr>
          <w:szCs w:val="22"/>
        </w:rPr>
        <w:t>,</w:t>
      </w:r>
      <w:r>
        <w:rPr>
          <w:szCs w:val="22"/>
        </w:rPr>
        <w:t xml:space="preserve"> limitations </w:t>
      </w:r>
      <w:r w:rsidR="00B32755">
        <w:rPr>
          <w:szCs w:val="22"/>
        </w:rPr>
        <w:t xml:space="preserve">and uncertainties </w:t>
      </w:r>
      <w:r w:rsidR="001F6BB4" w:rsidRPr="001F6BB4">
        <w:rPr>
          <w:szCs w:val="22"/>
        </w:rPr>
        <w:t>associated with</w:t>
      </w:r>
      <w:r>
        <w:t xml:space="preserve"> assessment and prognosis;</w:t>
      </w:r>
    </w:p>
    <w:p w14:paraId="78669899" w14:textId="4E9E8234" w:rsidR="00324DD4" w:rsidRPr="000F671E" w:rsidRDefault="00324DD4" w:rsidP="00837898">
      <w:pPr>
        <w:pStyle w:val="ListParagraph"/>
        <w:numPr>
          <w:ilvl w:val="0"/>
          <w:numId w:val="28"/>
        </w:numPr>
        <w:overflowPunct/>
        <w:autoSpaceDE/>
        <w:autoSpaceDN/>
        <w:adjustRightInd/>
        <w:spacing w:before="120" w:after="120"/>
        <w:contextualSpacing w:val="0"/>
        <w:jc w:val="both"/>
        <w:textAlignment w:val="auto"/>
        <w:rPr>
          <w:szCs w:val="22"/>
        </w:rPr>
      </w:pPr>
      <w:r w:rsidRPr="000F671E">
        <w:rPr>
          <w:szCs w:val="22"/>
        </w:rPr>
        <w:t xml:space="preserve">Discuss the implications of assessment </w:t>
      </w:r>
      <w:r w:rsidR="00AB257B" w:rsidRPr="000F671E">
        <w:rPr>
          <w:szCs w:val="22"/>
        </w:rPr>
        <w:t>and</w:t>
      </w:r>
      <w:r w:rsidRPr="000F671E">
        <w:rPr>
          <w:szCs w:val="22"/>
        </w:rPr>
        <w:t xml:space="preserve"> prognosis on determining public protective actions and communication strateg</w:t>
      </w:r>
      <w:r w:rsidR="00BE6116">
        <w:rPr>
          <w:szCs w:val="22"/>
        </w:rPr>
        <w:t>ies</w:t>
      </w:r>
      <w:r w:rsidR="00AB257B" w:rsidRPr="000F671E">
        <w:rPr>
          <w:szCs w:val="22"/>
        </w:rPr>
        <w:t>;</w:t>
      </w:r>
    </w:p>
    <w:p w14:paraId="12F92005" w14:textId="32356723" w:rsidR="00324DD4" w:rsidRPr="000F671E" w:rsidRDefault="00324DD4" w:rsidP="00837898">
      <w:pPr>
        <w:pStyle w:val="ListParagraph"/>
        <w:numPr>
          <w:ilvl w:val="0"/>
          <w:numId w:val="28"/>
        </w:numPr>
        <w:overflowPunct/>
        <w:autoSpaceDE/>
        <w:autoSpaceDN/>
        <w:adjustRightInd/>
        <w:spacing w:before="120" w:after="120"/>
        <w:contextualSpacing w:val="0"/>
        <w:jc w:val="both"/>
        <w:textAlignment w:val="auto"/>
        <w:rPr>
          <w:szCs w:val="22"/>
        </w:rPr>
      </w:pPr>
      <w:r w:rsidRPr="000F671E">
        <w:rPr>
          <w:szCs w:val="22"/>
        </w:rPr>
        <w:lastRenderedPageBreak/>
        <w:t>Shar</w:t>
      </w:r>
      <w:r w:rsidR="00AB257B" w:rsidRPr="000F671E">
        <w:rPr>
          <w:szCs w:val="22"/>
        </w:rPr>
        <w:t>e</w:t>
      </w:r>
      <w:r w:rsidRPr="000F671E">
        <w:rPr>
          <w:szCs w:val="22"/>
        </w:rPr>
        <w:t xml:space="preserve"> the progress made in </w:t>
      </w:r>
      <w:r w:rsidR="00837898" w:rsidRPr="00837898">
        <w:rPr>
          <w:szCs w:val="22"/>
        </w:rPr>
        <w:t xml:space="preserve">the operational implementation of the IAEA’s </w:t>
      </w:r>
      <w:r w:rsidRPr="000F671E">
        <w:rPr>
          <w:szCs w:val="22"/>
        </w:rPr>
        <w:t xml:space="preserve">assessment and prognosis process </w:t>
      </w:r>
      <w:r w:rsidR="00B32755">
        <w:rPr>
          <w:szCs w:val="22"/>
        </w:rPr>
        <w:t>in close cooperation with</w:t>
      </w:r>
      <w:r w:rsidRPr="000F671E">
        <w:rPr>
          <w:szCs w:val="22"/>
        </w:rPr>
        <w:t xml:space="preserve"> Member States</w:t>
      </w:r>
      <w:r w:rsidR="00837898">
        <w:rPr>
          <w:szCs w:val="22"/>
        </w:rPr>
        <w:t>;</w:t>
      </w:r>
    </w:p>
    <w:p w14:paraId="7A4E0BA5" w14:textId="6077D7BB" w:rsidR="00324DD4" w:rsidRPr="000F671E" w:rsidRDefault="00B32755" w:rsidP="00734E44">
      <w:pPr>
        <w:pStyle w:val="ListParagraph"/>
        <w:numPr>
          <w:ilvl w:val="0"/>
          <w:numId w:val="28"/>
        </w:numPr>
        <w:overflowPunct/>
        <w:autoSpaceDE/>
        <w:autoSpaceDN/>
        <w:adjustRightInd/>
        <w:spacing w:before="120" w:after="120"/>
        <w:contextualSpacing w:val="0"/>
        <w:jc w:val="both"/>
        <w:textAlignment w:val="auto"/>
        <w:rPr>
          <w:szCs w:val="22"/>
        </w:rPr>
      </w:pPr>
      <w:r>
        <w:rPr>
          <w:szCs w:val="22"/>
        </w:rPr>
        <w:t>I</w:t>
      </w:r>
      <w:r w:rsidRPr="000F671E">
        <w:rPr>
          <w:szCs w:val="22"/>
        </w:rPr>
        <w:t xml:space="preserve">dentify </w:t>
      </w:r>
      <w:r>
        <w:rPr>
          <w:szCs w:val="22"/>
        </w:rPr>
        <w:t>and d</w:t>
      </w:r>
      <w:r w:rsidR="00324DD4" w:rsidRPr="000F671E">
        <w:rPr>
          <w:szCs w:val="22"/>
        </w:rPr>
        <w:t xml:space="preserve">iscuss </w:t>
      </w:r>
      <w:r w:rsidR="001F6BB4" w:rsidRPr="001F6BB4">
        <w:rPr>
          <w:szCs w:val="22"/>
        </w:rPr>
        <w:t xml:space="preserve">areas </w:t>
      </w:r>
      <w:r w:rsidR="00734E44">
        <w:rPr>
          <w:szCs w:val="22"/>
        </w:rPr>
        <w:t xml:space="preserve">where existing </w:t>
      </w:r>
      <w:r w:rsidR="00734E44" w:rsidRPr="000F671E">
        <w:rPr>
          <w:szCs w:val="22"/>
        </w:rPr>
        <w:t>assessment and prognosis</w:t>
      </w:r>
      <w:r w:rsidR="00734E44">
        <w:rPr>
          <w:szCs w:val="22"/>
        </w:rPr>
        <w:t xml:space="preserve"> tools and </w:t>
      </w:r>
      <w:r w:rsidR="00734E44" w:rsidRPr="000F671E">
        <w:rPr>
          <w:szCs w:val="22"/>
        </w:rPr>
        <w:t>capabilities</w:t>
      </w:r>
      <w:r w:rsidR="00734E44">
        <w:rPr>
          <w:szCs w:val="22"/>
        </w:rPr>
        <w:t xml:space="preserve"> need </w:t>
      </w:r>
      <w:r w:rsidR="001F6BB4" w:rsidRPr="001F6BB4">
        <w:rPr>
          <w:szCs w:val="22"/>
        </w:rPr>
        <w:t xml:space="preserve">to </w:t>
      </w:r>
      <w:r w:rsidR="00734E44">
        <w:rPr>
          <w:szCs w:val="22"/>
        </w:rPr>
        <w:t xml:space="preserve">be </w:t>
      </w:r>
      <w:r w:rsidR="00734E44" w:rsidRPr="001F6BB4">
        <w:rPr>
          <w:szCs w:val="22"/>
        </w:rPr>
        <w:t>strengthen</w:t>
      </w:r>
      <w:r w:rsidR="00734E44">
        <w:rPr>
          <w:szCs w:val="22"/>
        </w:rPr>
        <w:t>ed</w:t>
      </w:r>
      <w:r w:rsidR="00837898">
        <w:rPr>
          <w:szCs w:val="22"/>
        </w:rPr>
        <w:t>;</w:t>
      </w:r>
      <w:r w:rsidR="00734E44">
        <w:rPr>
          <w:szCs w:val="22"/>
        </w:rPr>
        <w:t xml:space="preserve"> and</w:t>
      </w:r>
    </w:p>
    <w:p w14:paraId="3AB65721" w14:textId="1296B2DB" w:rsidR="00362111" w:rsidRPr="000F671E" w:rsidRDefault="00324DD4" w:rsidP="00734E44">
      <w:pPr>
        <w:pStyle w:val="ListParagraph"/>
        <w:numPr>
          <w:ilvl w:val="0"/>
          <w:numId w:val="28"/>
        </w:numPr>
        <w:overflowPunct/>
        <w:autoSpaceDE/>
        <w:autoSpaceDN/>
        <w:adjustRightInd/>
        <w:spacing w:before="120" w:after="120"/>
        <w:contextualSpacing w:val="0"/>
        <w:jc w:val="both"/>
        <w:textAlignment w:val="auto"/>
        <w:rPr>
          <w:szCs w:val="22"/>
        </w:rPr>
      </w:pPr>
      <w:r w:rsidRPr="000F671E">
        <w:rPr>
          <w:szCs w:val="22"/>
        </w:rPr>
        <w:t xml:space="preserve">Discuss future prospects in the development of tools and capabilities </w:t>
      </w:r>
      <w:r w:rsidR="00837898" w:rsidRPr="00837898">
        <w:rPr>
          <w:szCs w:val="22"/>
        </w:rPr>
        <w:t xml:space="preserve">for assessment and prognosis </w:t>
      </w:r>
      <w:r w:rsidR="00837898">
        <w:rPr>
          <w:szCs w:val="22"/>
        </w:rPr>
        <w:t xml:space="preserve">and for </w:t>
      </w:r>
      <w:r w:rsidR="00734E44">
        <w:rPr>
          <w:szCs w:val="22"/>
        </w:rPr>
        <w:t xml:space="preserve">the </w:t>
      </w:r>
      <w:r w:rsidR="00837898">
        <w:rPr>
          <w:szCs w:val="22"/>
        </w:rPr>
        <w:t xml:space="preserve">implementation of </w:t>
      </w:r>
      <w:r w:rsidR="008A062C">
        <w:rPr>
          <w:szCs w:val="22"/>
        </w:rPr>
        <w:t>assessment</w:t>
      </w:r>
      <w:r w:rsidR="00837898">
        <w:rPr>
          <w:szCs w:val="22"/>
        </w:rPr>
        <w:t xml:space="preserve"> and prognosis at the international level.</w:t>
      </w:r>
    </w:p>
    <w:p w14:paraId="4CC6E498" w14:textId="24F69D1D" w:rsidR="00897F1A" w:rsidRDefault="0095487A" w:rsidP="00235BE5">
      <w:pPr>
        <w:pStyle w:val="Heading1"/>
      </w:pPr>
      <w:bookmarkStart w:id="0" w:name="_Ref391468076"/>
      <w:r>
        <w:t>Topics</w:t>
      </w:r>
      <w:bookmarkEnd w:id="0"/>
    </w:p>
    <w:p w14:paraId="7797CFCD" w14:textId="7965A5D5" w:rsidR="00324DD4" w:rsidRDefault="0095487A" w:rsidP="00734E44">
      <w:pPr>
        <w:pStyle w:val="BodyText"/>
      </w:pPr>
      <w:r>
        <w:t xml:space="preserve">The participants will share information on the </w:t>
      </w:r>
      <w:r w:rsidR="00324DD4">
        <w:t>state</w:t>
      </w:r>
      <w:r w:rsidR="00734E44">
        <w:t>-</w:t>
      </w:r>
      <w:r w:rsidR="00324DD4">
        <w:t>of</w:t>
      </w:r>
      <w:r w:rsidR="00734E44">
        <w:t>-</w:t>
      </w:r>
      <w:r w:rsidR="00324DD4">
        <w:t>the</w:t>
      </w:r>
      <w:r w:rsidR="00734E44">
        <w:t>-</w:t>
      </w:r>
      <w:r w:rsidR="00324DD4">
        <w:t>art assessment an</w:t>
      </w:r>
      <w:r w:rsidR="00B15F38">
        <w:t>d</w:t>
      </w:r>
      <w:r w:rsidR="00324DD4">
        <w:t xml:space="preserve"> prognosis </w:t>
      </w:r>
      <w:r w:rsidR="006B12F9">
        <w:t xml:space="preserve">tools and </w:t>
      </w:r>
      <w:r w:rsidR="00324DD4">
        <w:t>capabilities</w:t>
      </w:r>
      <w:r w:rsidR="008A062C">
        <w:t>, including their constraints and limitations,</w:t>
      </w:r>
      <w:r w:rsidR="00324DD4">
        <w:t xml:space="preserve"> as well </w:t>
      </w:r>
      <w:r w:rsidR="00885935">
        <w:t xml:space="preserve">as </w:t>
      </w:r>
      <w:r w:rsidR="00734E44">
        <w:t xml:space="preserve">on </w:t>
      </w:r>
      <w:r w:rsidR="00B15F38">
        <w:t>the</w:t>
      </w:r>
      <w:r w:rsidR="00885935">
        <w:t>ir</w:t>
      </w:r>
      <w:r w:rsidR="00B15F38">
        <w:t xml:space="preserve"> </w:t>
      </w:r>
      <w:r w:rsidR="00734E44">
        <w:t xml:space="preserve">respective countries’ </w:t>
      </w:r>
      <w:r w:rsidR="006B12F9">
        <w:t>n</w:t>
      </w:r>
      <w:r w:rsidR="00B15F38">
        <w:t xml:space="preserve">ational </w:t>
      </w:r>
      <w:r w:rsidR="00743BB3">
        <w:t xml:space="preserve">approaches </w:t>
      </w:r>
      <w:r w:rsidR="00734E44">
        <w:t>to</w:t>
      </w:r>
      <w:r w:rsidR="00885935">
        <w:t xml:space="preserve"> assessment and prognosis</w:t>
      </w:r>
      <w:r w:rsidR="00324DD4">
        <w:t>.</w:t>
      </w:r>
    </w:p>
    <w:p w14:paraId="1C940712" w14:textId="2A868F54" w:rsidR="0095487A" w:rsidRDefault="0095487A" w:rsidP="00A346B4">
      <w:pPr>
        <w:pStyle w:val="BodyText"/>
      </w:pPr>
      <w:r>
        <w:t xml:space="preserve">Specifically, the IEM will address </w:t>
      </w:r>
      <w:r w:rsidR="006B12F9">
        <w:t xml:space="preserve">the </w:t>
      </w:r>
      <w:r>
        <w:t>following topics:</w:t>
      </w:r>
    </w:p>
    <w:p w14:paraId="17EEECB6" w14:textId="65EECD9B" w:rsidR="00634CF0" w:rsidRDefault="00634CF0" w:rsidP="00634CF0">
      <w:pPr>
        <w:pStyle w:val="BodyText"/>
        <w:keepNext/>
        <w:keepLines/>
      </w:pPr>
      <w:r>
        <w:rPr>
          <w:b/>
        </w:rPr>
        <w:t xml:space="preserve">Topic </w:t>
      </w:r>
      <w:r w:rsidR="00EC3570">
        <w:rPr>
          <w:b/>
        </w:rPr>
        <w:t>1</w:t>
      </w:r>
      <w:r>
        <w:rPr>
          <w:b/>
        </w:rPr>
        <w:t xml:space="preserve">: </w:t>
      </w:r>
      <w:r w:rsidR="00EC3570">
        <w:rPr>
          <w:b/>
        </w:rPr>
        <w:t>As</w:t>
      </w:r>
      <w:r w:rsidR="000F671E">
        <w:rPr>
          <w:b/>
        </w:rPr>
        <w:t xml:space="preserve">sessment and prognosis during </w:t>
      </w:r>
      <w:r w:rsidR="00E81701">
        <w:rPr>
          <w:b/>
        </w:rPr>
        <w:t xml:space="preserve">a </w:t>
      </w:r>
      <w:r w:rsidR="001D1583">
        <w:rPr>
          <w:b/>
        </w:rPr>
        <w:t xml:space="preserve">nuclear </w:t>
      </w:r>
      <w:r w:rsidR="000F671E">
        <w:rPr>
          <w:b/>
        </w:rPr>
        <w:t>emergency</w:t>
      </w:r>
    </w:p>
    <w:p w14:paraId="16B526C0" w14:textId="4B97D9A9" w:rsidR="00BD746E" w:rsidRDefault="00BD746E" w:rsidP="00734E44">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National approaches </w:t>
      </w:r>
      <w:r w:rsidR="00734E44">
        <w:rPr>
          <w:rFonts w:eastAsiaTheme="minorEastAsia"/>
        </w:rPr>
        <w:t xml:space="preserve">to </w:t>
      </w:r>
      <w:r>
        <w:rPr>
          <w:rFonts w:eastAsiaTheme="minorEastAsia"/>
        </w:rPr>
        <w:t>assessment and prognosis</w:t>
      </w:r>
    </w:p>
    <w:p w14:paraId="43FBC7CD" w14:textId="10B7CC26" w:rsidR="00634CF0" w:rsidRPr="00274217" w:rsidRDefault="00E81701" w:rsidP="00BD746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A</w:t>
      </w:r>
      <w:r w:rsidR="00634CF0" w:rsidRPr="00274217">
        <w:rPr>
          <w:rFonts w:eastAsiaTheme="minorEastAsia"/>
        </w:rPr>
        <w:t>ccident progression and critical issues</w:t>
      </w:r>
      <w:r w:rsidR="000F42D4">
        <w:rPr>
          <w:rFonts w:eastAsiaTheme="minorEastAsia"/>
        </w:rPr>
        <w:t xml:space="preserve"> </w:t>
      </w:r>
      <w:r>
        <w:rPr>
          <w:rFonts w:eastAsiaTheme="minorEastAsia"/>
        </w:rPr>
        <w:t>during</w:t>
      </w:r>
      <w:r w:rsidR="001D1583">
        <w:rPr>
          <w:rFonts w:eastAsiaTheme="minorEastAsia"/>
        </w:rPr>
        <w:t xml:space="preserve"> reactor </w:t>
      </w:r>
      <w:r w:rsidR="009D6F3A">
        <w:rPr>
          <w:rFonts w:eastAsiaTheme="minorEastAsia"/>
        </w:rPr>
        <w:t>accidents</w:t>
      </w:r>
    </w:p>
    <w:p w14:paraId="2D2CDA77" w14:textId="588FB482" w:rsidR="00634CF0" w:rsidRPr="0011521D" w:rsidRDefault="008C1001" w:rsidP="00BD746E">
      <w:pPr>
        <w:numPr>
          <w:ilvl w:val="0"/>
          <w:numId w:val="20"/>
        </w:numPr>
        <w:overflowPunct/>
        <w:autoSpaceDE/>
        <w:autoSpaceDN/>
        <w:adjustRightInd/>
        <w:spacing w:after="170"/>
        <w:ind w:left="851" w:hanging="284"/>
        <w:jc w:val="both"/>
        <w:textAlignment w:val="auto"/>
        <w:rPr>
          <w:rFonts w:eastAsiaTheme="minorEastAsia"/>
        </w:rPr>
      </w:pPr>
      <w:r w:rsidRPr="0011521D">
        <w:rPr>
          <w:rFonts w:eastAsiaTheme="minorEastAsia"/>
        </w:rPr>
        <w:t xml:space="preserve">Development and </w:t>
      </w:r>
      <w:r w:rsidR="00634CF0" w:rsidRPr="0011521D">
        <w:rPr>
          <w:rFonts w:eastAsiaTheme="minorEastAsia"/>
        </w:rPr>
        <w:t>improvement of analysis tools for</w:t>
      </w:r>
      <w:r w:rsidR="000F42D4" w:rsidRPr="0011521D">
        <w:rPr>
          <w:rFonts w:eastAsiaTheme="minorEastAsia"/>
        </w:rPr>
        <w:t xml:space="preserve"> use during</w:t>
      </w:r>
      <w:r w:rsidR="00634CF0" w:rsidRPr="0011521D">
        <w:rPr>
          <w:rFonts w:eastAsiaTheme="minorEastAsia"/>
        </w:rPr>
        <w:t xml:space="preserve"> severe accidents</w:t>
      </w:r>
    </w:p>
    <w:p w14:paraId="1C0CC49B" w14:textId="1B85F6D9" w:rsidR="008C1001" w:rsidRPr="00274217" w:rsidRDefault="008C1001" w:rsidP="00734E44">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Methodologies </w:t>
      </w:r>
      <w:r w:rsidR="00122FF7">
        <w:rPr>
          <w:rFonts w:eastAsiaTheme="minorEastAsia"/>
        </w:rPr>
        <w:t>to support</w:t>
      </w:r>
      <w:r w:rsidR="00AD23A5">
        <w:rPr>
          <w:rFonts w:eastAsiaTheme="minorEastAsia"/>
        </w:rPr>
        <w:t xml:space="preserve"> the prognosis of a developing situation and challenges </w:t>
      </w:r>
      <w:r w:rsidR="00734E44">
        <w:rPr>
          <w:rFonts w:eastAsiaTheme="minorEastAsia"/>
        </w:rPr>
        <w:t>in applying these</w:t>
      </w:r>
    </w:p>
    <w:p w14:paraId="2CC5DCA6" w14:textId="2F34364B" w:rsidR="00634CF0" w:rsidRPr="00274217" w:rsidRDefault="00E81701" w:rsidP="00BD746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The effective use of p</w:t>
      </w:r>
      <w:r w:rsidR="00634CF0">
        <w:rPr>
          <w:rFonts w:eastAsiaTheme="minorEastAsia"/>
        </w:rPr>
        <w:t xml:space="preserve">robabilistic safety </w:t>
      </w:r>
      <w:r>
        <w:rPr>
          <w:rFonts w:eastAsiaTheme="minorEastAsia"/>
        </w:rPr>
        <w:t xml:space="preserve">assessment information </w:t>
      </w:r>
      <w:r w:rsidR="000F42D4">
        <w:rPr>
          <w:rFonts w:eastAsiaTheme="minorEastAsia"/>
        </w:rPr>
        <w:t>during the response phase</w:t>
      </w:r>
    </w:p>
    <w:p w14:paraId="3DAEA8D7" w14:textId="699E7B1D" w:rsidR="00634CF0" w:rsidRPr="00274217" w:rsidRDefault="00E81701" w:rsidP="00BD746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Assessment and prognosis</w:t>
      </w:r>
      <w:r w:rsidR="00634CF0" w:rsidRPr="00274217">
        <w:rPr>
          <w:rFonts w:eastAsiaTheme="minorEastAsia"/>
        </w:rPr>
        <w:t xml:space="preserve"> of </w:t>
      </w:r>
      <w:r w:rsidR="008C1001">
        <w:rPr>
          <w:rFonts w:eastAsiaTheme="minorEastAsia"/>
        </w:rPr>
        <w:t>spent fuel pool accidents</w:t>
      </w:r>
    </w:p>
    <w:p w14:paraId="176EFD0F" w14:textId="349613E3" w:rsidR="00634CF0" w:rsidRDefault="000F671E" w:rsidP="00BD746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Tools for s</w:t>
      </w:r>
      <w:r w:rsidR="00634CF0" w:rsidRPr="00274217">
        <w:rPr>
          <w:rFonts w:eastAsiaTheme="minorEastAsia"/>
        </w:rPr>
        <w:t>ource term calculation</w:t>
      </w:r>
    </w:p>
    <w:p w14:paraId="36347498" w14:textId="654D081F" w:rsidR="008A062C" w:rsidRDefault="00885935" w:rsidP="00681A10">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Constraints and l</w:t>
      </w:r>
      <w:r w:rsidR="008A062C">
        <w:rPr>
          <w:rFonts w:eastAsiaTheme="minorEastAsia"/>
        </w:rPr>
        <w:t xml:space="preserve">imitations </w:t>
      </w:r>
      <w:r>
        <w:rPr>
          <w:rFonts w:eastAsiaTheme="minorEastAsia"/>
        </w:rPr>
        <w:t xml:space="preserve">of </w:t>
      </w:r>
      <w:r w:rsidR="008A062C">
        <w:rPr>
          <w:rFonts w:eastAsiaTheme="minorEastAsia"/>
        </w:rPr>
        <w:t>tools and capabilities</w:t>
      </w:r>
      <w:r w:rsidR="009D6F3A">
        <w:rPr>
          <w:rFonts w:eastAsiaTheme="minorEastAsia"/>
        </w:rPr>
        <w:t xml:space="preserve"> used in </w:t>
      </w:r>
      <w:r w:rsidR="009D6F3A" w:rsidRPr="009D6F3A">
        <w:rPr>
          <w:rFonts w:eastAsiaTheme="minorEastAsia"/>
        </w:rPr>
        <w:t>assessment and prognosis</w:t>
      </w:r>
      <w:r w:rsidR="00734E44">
        <w:rPr>
          <w:rFonts w:eastAsiaTheme="minorEastAsia"/>
        </w:rPr>
        <w:t>,</w:t>
      </w:r>
      <w:r w:rsidRPr="00885935">
        <w:rPr>
          <w:rFonts w:eastAsiaTheme="minorEastAsia"/>
        </w:rPr>
        <w:t xml:space="preserve"> </w:t>
      </w:r>
      <w:r>
        <w:rPr>
          <w:rFonts w:eastAsiaTheme="minorEastAsia"/>
        </w:rPr>
        <w:t xml:space="preserve">and uncertainties </w:t>
      </w:r>
      <w:r w:rsidR="00822519">
        <w:rPr>
          <w:rFonts w:eastAsiaTheme="minorEastAsia"/>
        </w:rPr>
        <w:t>in the results</w:t>
      </w:r>
    </w:p>
    <w:p w14:paraId="4FFB1DFD" w14:textId="0133BB07" w:rsidR="00BD746E" w:rsidRDefault="00E81701" w:rsidP="00BD746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Current gaps and</w:t>
      </w:r>
      <w:r w:rsidR="001415D7">
        <w:rPr>
          <w:rFonts w:eastAsiaTheme="minorEastAsia"/>
        </w:rPr>
        <w:t xml:space="preserve"> need for</w:t>
      </w:r>
      <w:r>
        <w:rPr>
          <w:rFonts w:eastAsiaTheme="minorEastAsia"/>
        </w:rPr>
        <w:t xml:space="preserve"> f</w:t>
      </w:r>
      <w:r w:rsidR="00BD746E">
        <w:rPr>
          <w:rFonts w:eastAsiaTheme="minorEastAsia"/>
        </w:rPr>
        <w:t xml:space="preserve">uture development of assessment and prognosis </w:t>
      </w:r>
      <w:r w:rsidR="008A062C">
        <w:rPr>
          <w:rFonts w:eastAsiaTheme="minorEastAsia"/>
        </w:rPr>
        <w:t xml:space="preserve">tools and </w:t>
      </w:r>
      <w:r w:rsidR="00BD746E">
        <w:rPr>
          <w:rFonts w:eastAsiaTheme="minorEastAsia"/>
        </w:rPr>
        <w:t>capabilities</w:t>
      </w:r>
    </w:p>
    <w:p w14:paraId="077C8285" w14:textId="68FF0EE5" w:rsidR="000F671E" w:rsidRDefault="000F671E" w:rsidP="000F671E">
      <w:pPr>
        <w:keepNext/>
        <w:keepLines/>
        <w:overflowPunct/>
        <w:autoSpaceDE/>
        <w:autoSpaceDN/>
        <w:adjustRightInd/>
        <w:spacing w:line="360" w:lineRule="auto"/>
        <w:jc w:val="both"/>
        <w:textAlignment w:val="auto"/>
        <w:rPr>
          <w:b/>
        </w:rPr>
      </w:pPr>
      <w:r w:rsidRPr="000F671E">
        <w:rPr>
          <w:b/>
        </w:rPr>
        <w:t xml:space="preserve">Topic 2: Assessment and prognosis </w:t>
      </w:r>
      <w:r>
        <w:rPr>
          <w:b/>
        </w:rPr>
        <w:t>during a radiological emergency</w:t>
      </w:r>
    </w:p>
    <w:p w14:paraId="54B1F598" w14:textId="3EA7BA9A" w:rsidR="008A062C" w:rsidRDefault="008A062C" w:rsidP="00734E44">
      <w:pPr>
        <w:numPr>
          <w:ilvl w:val="0"/>
          <w:numId w:val="20"/>
        </w:numPr>
        <w:overflowPunct/>
        <w:autoSpaceDE/>
        <w:autoSpaceDN/>
        <w:adjustRightInd/>
        <w:spacing w:after="170"/>
        <w:ind w:left="851" w:hanging="284"/>
        <w:jc w:val="both"/>
        <w:textAlignment w:val="auto"/>
        <w:rPr>
          <w:rFonts w:eastAsiaTheme="minorEastAsia"/>
        </w:rPr>
      </w:pPr>
      <w:r w:rsidRPr="008A062C">
        <w:rPr>
          <w:rFonts w:eastAsiaTheme="minorEastAsia"/>
        </w:rPr>
        <w:t xml:space="preserve">National approaches </w:t>
      </w:r>
      <w:r w:rsidR="00734E44">
        <w:rPr>
          <w:rFonts w:eastAsiaTheme="minorEastAsia"/>
        </w:rPr>
        <w:t>to</w:t>
      </w:r>
      <w:r w:rsidR="00734E44" w:rsidRPr="008A062C">
        <w:rPr>
          <w:rFonts w:eastAsiaTheme="minorEastAsia"/>
        </w:rPr>
        <w:t xml:space="preserve"> </w:t>
      </w:r>
      <w:r w:rsidRPr="008A062C">
        <w:rPr>
          <w:rFonts w:eastAsiaTheme="minorEastAsia"/>
        </w:rPr>
        <w:t xml:space="preserve">assessment and prognosis </w:t>
      </w:r>
      <w:r>
        <w:rPr>
          <w:rFonts w:eastAsiaTheme="minorEastAsia"/>
        </w:rPr>
        <w:t xml:space="preserve">in radiological emergencies (e.g. </w:t>
      </w:r>
      <w:r w:rsidR="00BE6116">
        <w:rPr>
          <w:rFonts w:eastAsiaTheme="minorEastAsia"/>
        </w:rPr>
        <w:t>involving</w:t>
      </w:r>
      <w:r>
        <w:rPr>
          <w:rFonts w:eastAsiaTheme="minorEastAsia"/>
        </w:rPr>
        <w:t xml:space="preserve"> radiography sources, fuel fabrication facilities, uranium mines, waste storage sites,</w:t>
      </w:r>
      <w:r w:rsidR="00C8058B">
        <w:rPr>
          <w:rFonts w:eastAsiaTheme="minorEastAsia"/>
        </w:rPr>
        <w:t xml:space="preserve"> </w:t>
      </w:r>
      <w:r w:rsidR="004B351C">
        <w:rPr>
          <w:rFonts w:eastAsiaTheme="minorEastAsia"/>
        </w:rPr>
        <w:t>isotope production, transport</w:t>
      </w:r>
      <w:r w:rsidR="00C8058B" w:rsidRPr="00C8058B">
        <w:rPr>
          <w:rFonts w:eastAsiaTheme="minorEastAsia"/>
        </w:rPr>
        <w:t>, medical applications,</w:t>
      </w:r>
      <w:r>
        <w:rPr>
          <w:rFonts w:eastAsiaTheme="minorEastAsia"/>
        </w:rPr>
        <w:t xml:space="preserve"> etc</w:t>
      </w:r>
      <w:r w:rsidR="00472A57">
        <w:rPr>
          <w:rFonts w:eastAsiaTheme="minorEastAsia"/>
        </w:rPr>
        <w:t>.</w:t>
      </w:r>
      <w:r>
        <w:rPr>
          <w:rFonts w:eastAsiaTheme="minorEastAsia"/>
        </w:rPr>
        <w:t>)</w:t>
      </w:r>
    </w:p>
    <w:p w14:paraId="51A9B870" w14:textId="3DD3606B" w:rsidR="009D6F3A" w:rsidRDefault="009D6F3A" w:rsidP="009D6F3A">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Tools for assessment and prognosis in radiological emergencies</w:t>
      </w:r>
    </w:p>
    <w:p w14:paraId="19E555DA" w14:textId="38C1DC14" w:rsidR="00C8058B" w:rsidRDefault="00C8058B" w:rsidP="00C8058B">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Tools for assessmen</w:t>
      </w:r>
      <w:r w:rsidR="00382610">
        <w:rPr>
          <w:rFonts w:eastAsiaTheme="minorEastAsia"/>
        </w:rPr>
        <w:t xml:space="preserve">t and prognosis of doses to </w:t>
      </w:r>
      <w:r>
        <w:rPr>
          <w:rFonts w:eastAsiaTheme="minorEastAsia"/>
        </w:rPr>
        <w:t>workers and</w:t>
      </w:r>
      <w:r w:rsidR="00382610">
        <w:rPr>
          <w:rFonts w:eastAsiaTheme="minorEastAsia"/>
        </w:rPr>
        <w:t xml:space="preserve"> the</w:t>
      </w:r>
      <w:r>
        <w:rPr>
          <w:rFonts w:eastAsiaTheme="minorEastAsia"/>
        </w:rPr>
        <w:t xml:space="preserve"> </w:t>
      </w:r>
      <w:r w:rsidR="00472A57">
        <w:rPr>
          <w:rFonts w:eastAsiaTheme="minorEastAsia"/>
        </w:rPr>
        <w:t>public</w:t>
      </w:r>
      <w:r w:rsidR="004B351C">
        <w:rPr>
          <w:rFonts w:eastAsiaTheme="minorEastAsia"/>
        </w:rPr>
        <w:t xml:space="preserve"> during</w:t>
      </w:r>
      <w:r w:rsidR="003372F6">
        <w:rPr>
          <w:rFonts w:eastAsiaTheme="minorEastAsia"/>
        </w:rPr>
        <w:t xml:space="preserve"> a</w:t>
      </w:r>
      <w:r w:rsidR="004B351C">
        <w:rPr>
          <w:rFonts w:eastAsiaTheme="minorEastAsia"/>
        </w:rPr>
        <w:t xml:space="preserve"> reactor accident</w:t>
      </w:r>
    </w:p>
    <w:p w14:paraId="0E1B3DA7" w14:textId="61673B7F" w:rsidR="00C8058B" w:rsidRDefault="00C8058B" w:rsidP="00C8058B">
      <w:pPr>
        <w:numPr>
          <w:ilvl w:val="0"/>
          <w:numId w:val="20"/>
        </w:numPr>
        <w:overflowPunct/>
        <w:autoSpaceDE/>
        <w:autoSpaceDN/>
        <w:adjustRightInd/>
        <w:spacing w:after="170"/>
        <w:ind w:left="851" w:hanging="284"/>
        <w:jc w:val="both"/>
        <w:textAlignment w:val="auto"/>
        <w:rPr>
          <w:rFonts w:eastAsiaTheme="minorEastAsia"/>
        </w:rPr>
      </w:pPr>
      <w:r w:rsidRPr="00F5318A">
        <w:rPr>
          <w:rFonts w:eastAsiaTheme="minorEastAsia"/>
        </w:rPr>
        <w:t>Monitoring and sampling strategies</w:t>
      </w:r>
      <w:r>
        <w:rPr>
          <w:rFonts w:eastAsiaTheme="minorEastAsia"/>
        </w:rPr>
        <w:t xml:space="preserve"> to assess doses to workers and</w:t>
      </w:r>
      <w:r w:rsidR="00382610">
        <w:rPr>
          <w:rFonts w:eastAsiaTheme="minorEastAsia"/>
        </w:rPr>
        <w:t xml:space="preserve"> the</w:t>
      </w:r>
      <w:r>
        <w:rPr>
          <w:rFonts w:eastAsiaTheme="minorEastAsia"/>
        </w:rPr>
        <w:t xml:space="preserve"> </w:t>
      </w:r>
      <w:r w:rsidR="00472A57">
        <w:rPr>
          <w:rFonts w:eastAsiaTheme="minorEastAsia"/>
        </w:rPr>
        <w:t>public</w:t>
      </w:r>
    </w:p>
    <w:p w14:paraId="1BD48FDB" w14:textId="74E7306D" w:rsidR="00B909C5" w:rsidRDefault="00B909C5" w:rsidP="00B909C5">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Constraints and limitations of tools and capabilities used in </w:t>
      </w:r>
      <w:r w:rsidRPr="009D6F3A">
        <w:rPr>
          <w:rFonts w:eastAsiaTheme="minorEastAsia"/>
        </w:rPr>
        <w:t>assessment and prognosis</w:t>
      </w:r>
      <w:r w:rsidR="00734E44">
        <w:rPr>
          <w:rFonts w:eastAsiaTheme="minorEastAsia"/>
        </w:rPr>
        <w:t>,</w:t>
      </w:r>
      <w:r w:rsidRPr="00885935">
        <w:rPr>
          <w:rFonts w:eastAsiaTheme="minorEastAsia"/>
        </w:rPr>
        <w:t xml:space="preserve"> </w:t>
      </w:r>
      <w:r>
        <w:rPr>
          <w:rFonts w:eastAsiaTheme="minorEastAsia"/>
        </w:rPr>
        <w:t>and uncertainties in the results</w:t>
      </w:r>
    </w:p>
    <w:p w14:paraId="449F7569" w14:textId="77777777" w:rsidR="00B909C5" w:rsidRDefault="00B909C5" w:rsidP="00B909C5">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Current gaps and need for future development of assessment and prognosis tools and capabilities</w:t>
      </w:r>
    </w:p>
    <w:p w14:paraId="1582DB5B" w14:textId="3DEECB4B" w:rsidR="001D1583" w:rsidRPr="00FB2EC2" w:rsidRDefault="001D1583" w:rsidP="004267B5">
      <w:pPr>
        <w:keepNext/>
        <w:keepLines/>
        <w:spacing w:after="170"/>
        <w:ind w:left="993" w:hanging="993"/>
        <w:jc w:val="both"/>
        <w:rPr>
          <w:b/>
        </w:rPr>
      </w:pPr>
      <w:r>
        <w:rPr>
          <w:b/>
        </w:rPr>
        <w:lastRenderedPageBreak/>
        <w:t xml:space="preserve">Topic 3: </w:t>
      </w:r>
      <w:r w:rsidR="00BC1921" w:rsidRPr="00BC1921">
        <w:rPr>
          <w:b/>
        </w:rPr>
        <w:t xml:space="preserve">Assessment of </w:t>
      </w:r>
      <w:r w:rsidR="006C46E0">
        <w:rPr>
          <w:b/>
        </w:rPr>
        <w:t xml:space="preserve">a </w:t>
      </w:r>
      <w:r w:rsidR="00BC1921" w:rsidRPr="00BC1921">
        <w:rPr>
          <w:b/>
        </w:rPr>
        <w:t>nuclear or radiological emergency resulting from a nuclear security event</w:t>
      </w:r>
    </w:p>
    <w:p w14:paraId="6DB44BF2" w14:textId="5465C605" w:rsidR="00BC1921" w:rsidRPr="00BC1921" w:rsidRDefault="00BC1921" w:rsidP="004267B5">
      <w:pPr>
        <w:keepNext/>
        <w:keepLines/>
        <w:numPr>
          <w:ilvl w:val="0"/>
          <w:numId w:val="20"/>
        </w:numPr>
        <w:overflowPunct/>
        <w:autoSpaceDE/>
        <w:autoSpaceDN/>
        <w:adjustRightInd/>
        <w:spacing w:after="170"/>
        <w:ind w:left="851" w:hanging="284"/>
        <w:jc w:val="both"/>
        <w:textAlignment w:val="auto"/>
        <w:rPr>
          <w:rFonts w:eastAsiaTheme="minorEastAsia"/>
        </w:rPr>
      </w:pPr>
      <w:r w:rsidRPr="00BC1921">
        <w:rPr>
          <w:rFonts w:eastAsiaTheme="minorEastAsia"/>
        </w:rPr>
        <w:t>Arrangements to ensure the continued effectiveness of the physical protection system during a nuclear or radiological emergency resulting from a nuclear security ev</w:t>
      </w:r>
      <w:r>
        <w:rPr>
          <w:rFonts w:eastAsiaTheme="minorEastAsia"/>
        </w:rPr>
        <w:t>ent</w:t>
      </w:r>
    </w:p>
    <w:p w14:paraId="38D277BA" w14:textId="43AE8807" w:rsidR="00BC1921" w:rsidRPr="00BC1921" w:rsidRDefault="00BC1921" w:rsidP="00734E44">
      <w:pPr>
        <w:numPr>
          <w:ilvl w:val="0"/>
          <w:numId w:val="20"/>
        </w:numPr>
        <w:overflowPunct/>
        <w:autoSpaceDE/>
        <w:autoSpaceDN/>
        <w:adjustRightInd/>
        <w:spacing w:after="170"/>
        <w:ind w:left="851" w:hanging="284"/>
        <w:jc w:val="both"/>
        <w:textAlignment w:val="auto"/>
        <w:rPr>
          <w:rFonts w:eastAsiaTheme="minorEastAsia"/>
        </w:rPr>
      </w:pPr>
      <w:r w:rsidRPr="00BC1921">
        <w:rPr>
          <w:rFonts w:eastAsiaTheme="minorEastAsia"/>
        </w:rPr>
        <w:t>The potential influence of nuclear security on assessment and prognosis, including on the deli</w:t>
      </w:r>
      <w:r>
        <w:rPr>
          <w:rFonts w:eastAsiaTheme="minorEastAsia"/>
        </w:rPr>
        <w:t>very and sharing of information</w:t>
      </w:r>
    </w:p>
    <w:p w14:paraId="7D47FB4D" w14:textId="19A54578" w:rsidR="00BC1921" w:rsidRPr="00BC1921" w:rsidRDefault="00BC1921" w:rsidP="00734E44">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Public communication</w:t>
      </w:r>
      <w:r w:rsidRPr="00BC1921">
        <w:rPr>
          <w:rFonts w:eastAsiaTheme="minorEastAsia"/>
        </w:rPr>
        <w:t xml:space="preserve"> and media handling at the na</w:t>
      </w:r>
      <w:r>
        <w:rPr>
          <w:rFonts w:eastAsiaTheme="minorEastAsia"/>
        </w:rPr>
        <w:t>tional and international levels</w:t>
      </w:r>
    </w:p>
    <w:p w14:paraId="4D80A5EB" w14:textId="149CB2FC" w:rsidR="00BC1921" w:rsidRPr="00BC1921" w:rsidRDefault="00BC1921" w:rsidP="00BC1921">
      <w:pPr>
        <w:numPr>
          <w:ilvl w:val="0"/>
          <w:numId w:val="20"/>
        </w:numPr>
        <w:overflowPunct/>
        <w:autoSpaceDE/>
        <w:autoSpaceDN/>
        <w:adjustRightInd/>
        <w:spacing w:after="170"/>
        <w:ind w:left="851" w:hanging="284"/>
        <w:jc w:val="both"/>
        <w:textAlignment w:val="auto"/>
        <w:rPr>
          <w:rFonts w:eastAsiaTheme="minorEastAsia"/>
        </w:rPr>
      </w:pPr>
      <w:r w:rsidRPr="00BC1921">
        <w:rPr>
          <w:rFonts w:eastAsiaTheme="minorEastAsia"/>
        </w:rPr>
        <w:t>Nuclear forensics as a means to categorize nuclear and other radioactive materials as part of the response and as a means to protect the i</w:t>
      </w:r>
      <w:r>
        <w:rPr>
          <w:rFonts w:eastAsiaTheme="minorEastAsia"/>
        </w:rPr>
        <w:t>ntegrity of associated evidence</w:t>
      </w:r>
    </w:p>
    <w:p w14:paraId="3E65EC10" w14:textId="1CA1F66C" w:rsidR="001D1583" w:rsidRPr="009D6F3A" w:rsidRDefault="001D1583" w:rsidP="001D1583">
      <w:pPr>
        <w:pStyle w:val="BodyText"/>
        <w:rPr>
          <w:b/>
        </w:rPr>
      </w:pPr>
      <w:r w:rsidRPr="009D6F3A">
        <w:rPr>
          <w:b/>
        </w:rPr>
        <w:t xml:space="preserve">Topic </w:t>
      </w:r>
      <w:r w:rsidR="00465127" w:rsidRPr="009D6F3A">
        <w:rPr>
          <w:b/>
        </w:rPr>
        <w:t>4</w:t>
      </w:r>
      <w:r w:rsidRPr="009D6F3A">
        <w:rPr>
          <w:b/>
        </w:rPr>
        <w:t>: Environmental modelling and monitoring</w:t>
      </w:r>
      <w:r w:rsidR="0032434B" w:rsidRPr="009D6F3A">
        <w:rPr>
          <w:b/>
        </w:rPr>
        <w:t xml:space="preserve"> </w:t>
      </w:r>
      <w:r w:rsidR="0032434B" w:rsidRPr="00681A10">
        <w:rPr>
          <w:rFonts w:eastAsiaTheme="minorEastAsia"/>
          <w:b/>
        </w:rPr>
        <w:t>during nuclear and radiological emergencies</w:t>
      </w:r>
    </w:p>
    <w:p w14:paraId="2A4E0648" w14:textId="618124CB" w:rsidR="001415D7" w:rsidRDefault="00CA7B08" w:rsidP="001415D7">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S</w:t>
      </w:r>
      <w:r w:rsidR="001415D7">
        <w:rPr>
          <w:rFonts w:eastAsiaTheme="minorEastAsia"/>
        </w:rPr>
        <w:t>trategies for m</w:t>
      </w:r>
      <w:r w:rsidR="0088649E">
        <w:rPr>
          <w:rFonts w:eastAsiaTheme="minorEastAsia"/>
        </w:rPr>
        <w:t xml:space="preserve">onitoring and sampling </w:t>
      </w:r>
      <w:r w:rsidR="001415D7">
        <w:rPr>
          <w:rFonts w:eastAsiaTheme="minorEastAsia"/>
        </w:rPr>
        <w:t>of radioactive substances in the environment</w:t>
      </w:r>
    </w:p>
    <w:p w14:paraId="75A3493F" w14:textId="668911B3" w:rsidR="0088649E" w:rsidRDefault="00465127" w:rsidP="0088649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Tools for the a</w:t>
      </w:r>
      <w:r w:rsidR="0088649E">
        <w:rPr>
          <w:rFonts w:eastAsiaTheme="minorEastAsia"/>
        </w:rPr>
        <w:t xml:space="preserve">ssessment and prognosis of </w:t>
      </w:r>
      <w:r w:rsidR="0032434B">
        <w:rPr>
          <w:rFonts w:eastAsiaTheme="minorEastAsia"/>
        </w:rPr>
        <w:t>airborne</w:t>
      </w:r>
      <w:r w:rsidR="0088649E">
        <w:rPr>
          <w:rFonts w:eastAsiaTheme="minorEastAsia"/>
        </w:rPr>
        <w:t xml:space="preserve"> releases during a response</w:t>
      </w:r>
      <w:r w:rsidR="0031241B">
        <w:rPr>
          <w:rFonts w:eastAsiaTheme="minorEastAsia"/>
        </w:rPr>
        <w:t xml:space="preserve"> to an emergency</w:t>
      </w:r>
    </w:p>
    <w:p w14:paraId="7FFF9A11" w14:textId="0BC685F3" w:rsidR="00133724" w:rsidRDefault="0032434B" w:rsidP="00133724">
      <w:pPr>
        <w:numPr>
          <w:ilvl w:val="0"/>
          <w:numId w:val="20"/>
        </w:numPr>
        <w:overflowPunct/>
        <w:autoSpaceDE/>
        <w:autoSpaceDN/>
        <w:adjustRightInd/>
        <w:spacing w:after="170"/>
        <w:ind w:left="851" w:hanging="284"/>
        <w:jc w:val="both"/>
        <w:textAlignment w:val="auto"/>
        <w:rPr>
          <w:rFonts w:eastAsiaTheme="minorEastAsia"/>
        </w:rPr>
      </w:pPr>
      <w:r w:rsidRPr="009D6F3A">
        <w:rPr>
          <w:rFonts w:eastAsiaTheme="minorEastAsia"/>
        </w:rPr>
        <w:t>Tools for the assessment and prognosis of marine releases during a response</w:t>
      </w:r>
      <w:r w:rsidR="00133724" w:rsidRPr="00133724">
        <w:rPr>
          <w:rFonts w:eastAsiaTheme="minorEastAsia"/>
        </w:rPr>
        <w:t xml:space="preserve"> </w:t>
      </w:r>
      <w:r w:rsidR="00133724">
        <w:rPr>
          <w:rFonts w:eastAsiaTheme="minorEastAsia"/>
        </w:rPr>
        <w:t>to an emergency</w:t>
      </w:r>
    </w:p>
    <w:p w14:paraId="254F7026" w14:textId="7466C6A9" w:rsidR="0088649E" w:rsidRDefault="0088649E" w:rsidP="00734E44">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Estimating</w:t>
      </w:r>
      <w:r w:rsidRPr="0088649E">
        <w:rPr>
          <w:rFonts w:eastAsiaTheme="minorEastAsia"/>
        </w:rPr>
        <w:t xml:space="preserve"> the impact on </w:t>
      </w:r>
      <w:r>
        <w:rPr>
          <w:rFonts w:eastAsiaTheme="minorEastAsia"/>
        </w:rPr>
        <w:t>marine biota</w:t>
      </w:r>
    </w:p>
    <w:p w14:paraId="1027D997" w14:textId="53F271D8" w:rsidR="0088649E" w:rsidRDefault="0032434B" w:rsidP="0088649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I</w:t>
      </w:r>
      <w:r w:rsidR="0088649E">
        <w:rPr>
          <w:rFonts w:eastAsiaTheme="minorEastAsia"/>
        </w:rPr>
        <w:t>ssues unique to the marine environment</w:t>
      </w:r>
    </w:p>
    <w:p w14:paraId="7A478B9C" w14:textId="6165F5A0" w:rsidR="000D4572" w:rsidRDefault="000D4572" w:rsidP="000D4572">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Constraints and limitations of tools and capabilities used in </w:t>
      </w:r>
      <w:r w:rsidRPr="009D6F3A">
        <w:rPr>
          <w:rFonts w:eastAsiaTheme="minorEastAsia"/>
        </w:rPr>
        <w:t>assessment and prognosis</w:t>
      </w:r>
      <w:r w:rsidR="00734E44">
        <w:rPr>
          <w:rFonts w:eastAsiaTheme="minorEastAsia"/>
        </w:rPr>
        <w:t>,</w:t>
      </w:r>
      <w:r w:rsidRPr="00885935">
        <w:rPr>
          <w:rFonts w:eastAsiaTheme="minorEastAsia"/>
        </w:rPr>
        <w:t xml:space="preserve"> </w:t>
      </w:r>
      <w:r>
        <w:rPr>
          <w:rFonts w:eastAsiaTheme="minorEastAsia"/>
        </w:rPr>
        <w:t>and uncertainties in the results</w:t>
      </w:r>
    </w:p>
    <w:p w14:paraId="25C3CBB8" w14:textId="77777777" w:rsidR="000D4572" w:rsidRDefault="000D4572" w:rsidP="000D4572">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Current gaps and need for future development of assessment and prognosis tools and capabilities</w:t>
      </w:r>
    </w:p>
    <w:p w14:paraId="4E5D669E" w14:textId="6FC8326D" w:rsidR="00DF5AD2" w:rsidRDefault="0032434B" w:rsidP="004267B5">
      <w:pPr>
        <w:pStyle w:val="BodyText"/>
        <w:ind w:left="993" w:hanging="993"/>
        <w:rPr>
          <w:b/>
        </w:rPr>
      </w:pPr>
      <w:r w:rsidRPr="0032434B">
        <w:rPr>
          <w:b/>
        </w:rPr>
        <w:t xml:space="preserve">Topic </w:t>
      </w:r>
      <w:r>
        <w:rPr>
          <w:b/>
        </w:rPr>
        <w:t>5</w:t>
      </w:r>
      <w:r w:rsidRPr="0032434B">
        <w:rPr>
          <w:b/>
        </w:rPr>
        <w:t xml:space="preserve">: </w:t>
      </w:r>
      <w:r>
        <w:rPr>
          <w:b/>
        </w:rPr>
        <w:t xml:space="preserve">Assessment of </w:t>
      </w:r>
      <w:r w:rsidR="00DF5AD2">
        <w:rPr>
          <w:b/>
        </w:rPr>
        <w:t>the impact of a nuclear or</w:t>
      </w:r>
      <w:r w:rsidR="00DF5AD2" w:rsidRPr="0032434B">
        <w:rPr>
          <w:b/>
        </w:rPr>
        <w:t xml:space="preserve"> radiological emergenc</w:t>
      </w:r>
      <w:r w:rsidR="00DF5AD2">
        <w:rPr>
          <w:b/>
        </w:rPr>
        <w:t>y on food</w:t>
      </w:r>
      <w:r w:rsidR="00D846B3">
        <w:rPr>
          <w:b/>
        </w:rPr>
        <w:t xml:space="preserve">, </w:t>
      </w:r>
      <w:r w:rsidR="00D846B3" w:rsidRPr="00D846B3">
        <w:rPr>
          <w:b/>
        </w:rPr>
        <w:t>feed</w:t>
      </w:r>
      <w:r w:rsidR="00E60D73">
        <w:rPr>
          <w:b/>
        </w:rPr>
        <w:t>,</w:t>
      </w:r>
      <w:r w:rsidR="00D846B3" w:rsidRPr="00D846B3">
        <w:rPr>
          <w:b/>
        </w:rPr>
        <w:t xml:space="preserve"> drinking water</w:t>
      </w:r>
      <w:r w:rsidR="00DF5AD2">
        <w:rPr>
          <w:b/>
        </w:rPr>
        <w:t xml:space="preserve"> </w:t>
      </w:r>
      <w:r w:rsidR="00E60D73">
        <w:rPr>
          <w:b/>
        </w:rPr>
        <w:t>and agricultural products</w:t>
      </w:r>
    </w:p>
    <w:p w14:paraId="0C709C67" w14:textId="25E038D5" w:rsidR="0032434B" w:rsidRDefault="00C7725D" w:rsidP="00734E44">
      <w:pPr>
        <w:numPr>
          <w:ilvl w:val="0"/>
          <w:numId w:val="20"/>
        </w:numPr>
        <w:overflowPunct/>
        <w:autoSpaceDE/>
        <w:autoSpaceDN/>
        <w:adjustRightInd/>
        <w:spacing w:after="170"/>
        <w:ind w:left="851" w:hanging="284"/>
        <w:jc w:val="both"/>
        <w:textAlignment w:val="auto"/>
      </w:pPr>
      <w:r>
        <w:t xml:space="preserve">National approaches </w:t>
      </w:r>
      <w:r w:rsidR="00734E44">
        <w:t xml:space="preserve">to </w:t>
      </w:r>
      <w:r>
        <w:t>assessment and prognosis</w:t>
      </w:r>
    </w:p>
    <w:p w14:paraId="5D92137D" w14:textId="595989E2" w:rsidR="0032434B" w:rsidRDefault="0032434B" w:rsidP="00D846B3">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Monitoring and sampling of food,</w:t>
      </w:r>
      <w:r w:rsidR="00DF5AD2">
        <w:rPr>
          <w:rFonts w:eastAsiaTheme="minorEastAsia"/>
        </w:rPr>
        <w:t xml:space="preserve"> feed,</w:t>
      </w:r>
      <w:r>
        <w:rPr>
          <w:rFonts w:eastAsiaTheme="minorEastAsia"/>
        </w:rPr>
        <w:t xml:space="preserve"> drinking water and milk</w:t>
      </w:r>
    </w:p>
    <w:p w14:paraId="19C26508" w14:textId="3CF99215" w:rsidR="00E60D73" w:rsidRDefault="00E60D73" w:rsidP="00E60D73">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Monitoring and sampling of </w:t>
      </w:r>
      <w:r w:rsidR="00734E44">
        <w:rPr>
          <w:rFonts w:eastAsiaTheme="minorEastAsia"/>
        </w:rPr>
        <w:t xml:space="preserve">other </w:t>
      </w:r>
      <w:r w:rsidRPr="00E60D73">
        <w:rPr>
          <w:rFonts w:eastAsiaTheme="minorEastAsia"/>
        </w:rPr>
        <w:t>agricultural products</w:t>
      </w:r>
    </w:p>
    <w:p w14:paraId="43962D14" w14:textId="1388DFA6" w:rsidR="0032434B" w:rsidRDefault="0032434B" w:rsidP="0032434B">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Estimating</w:t>
      </w:r>
      <w:r w:rsidRPr="0088649E">
        <w:rPr>
          <w:rFonts w:eastAsiaTheme="minorEastAsia"/>
        </w:rPr>
        <w:t xml:space="preserve"> the </w:t>
      </w:r>
      <w:r>
        <w:rPr>
          <w:rFonts w:eastAsiaTheme="minorEastAsia"/>
        </w:rPr>
        <w:t>potential impact on the public food</w:t>
      </w:r>
      <w:r w:rsidR="007C7D6D">
        <w:rPr>
          <w:rFonts w:eastAsiaTheme="minorEastAsia"/>
        </w:rPr>
        <w:t xml:space="preserve"> and drinking water</w:t>
      </w:r>
      <w:r>
        <w:rPr>
          <w:rFonts w:eastAsiaTheme="minorEastAsia"/>
        </w:rPr>
        <w:t xml:space="preserve"> supply</w:t>
      </w:r>
    </w:p>
    <w:p w14:paraId="22E6698D" w14:textId="4A96C5E1" w:rsidR="0057394E" w:rsidRDefault="0057394E" w:rsidP="0057394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Constraints and limitations of tools and capabilities used in </w:t>
      </w:r>
      <w:r w:rsidRPr="009D6F3A">
        <w:rPr>
          <w:rFonts w:eastAsiaTheme="minorEastAsia"/>
        </w:rPr>
        <w:t>assessment and prognosis</w:t>
      </w:r>
      <w:r w:rsidR="00734E44">
        <w:rPr>
          <w:rFonts w:eastAsiaTheme="minorEastAsia"/>
        </w:rPr>
        <w:t>,</w:t>
      </w:r>
      <w:r w:rsidRPr="00885935">
        <w:rPr>
          <w:rFonts w:eastAsiaTheme="minorEastAsia"/>
        </w:rPr>
        <w:t xml:space="preserve"> </w:t>
      </w:r>
      <w:r>
        <w:rPr>
          <w:rFonts w:eastAsiaTheme="minorEastAsia"/>
        </w:rPr>
        <w:t>and uncertainties in the results</w:t>
      </w:r>
    </w:p>
    <w:p w14:paraId="7C6BFB91" w14:textId="77777777" w:rsidR="0057394E" w:rsidRDefault="0057394E" w:rsidP="0057394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Current gaps and need for future development of assessment and prognosis tools and capabilities</w:t>
      </w:r>
    </w:p>
    <w:p w14:paraId="75DFF030" w14:textId="132944EB" w:rsidR="0095487A" w:rsidRPr="00FB2EC2" w:rsidRDefault="0095487A" w:rsidP="0095487A">
      <w:pPr>
        <w:pStyle w:val="BodyText"/>
        <w:rPr>
          <w:b/>
        </w:rPr>
      </w:pPr>
      <w:r>
        <w:rPr>
          <w:b/>
        </w:rPr>
        <w:t xml:space="preserve">Topic </w:t>
      </w:r>
      <w:r w:rsidR="0032434B">
        <w:rPr>
          <w:b/>
        </w:rPr>
        <w:t>6</w:t>
      </w:r>
      <w:r>
        <w:rPr>
          <w:b/>
        </w:rPr>
        <w:t xml:space="preserve">: </w:t>
      </w:r>
      <w:r w:rsidR="009D6F3A">
        <w:rPr>
          <w:b/>
        </w:rPr>
        <w:t>A</w:t>
      </w:r>
      <w:r w:rsidR="0020789E">
        <w:rPr>
          <w:b/>
        </w:rPr>
        <w:t xml:space="preserve">ssessment and prognosis </w:t>
      </w:r>
      <w:r w:rsidR="0032434B">
        <w:rPr>
          <w:b/>
        </w:rPr>
        <w:t>at the international level</w:t>
      </w:r>
    </w:p>
    <w:p w14:paraId="799DEBF7" w14:textId="54D30710" w:rsidR="0032434B" w:rsidRDefault="0020789E" w:rsidP="0020789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The role of the IAEA</w:t>
      </w:r>
      <w:r w:rsidR="0032434B">
        <w:rPr>
          <w:rFonts w:eastAsiaTheme="minorEastAsia"/>
        </w:rPr>
        <w:t xml:space="preserve"> </w:t>
      </w:r>
      <w:r w:rsidR="009D6F3A">
        <w:rPr>
          <w:rFonts w:eastAsiaTheme="minorEastAsia"/>
        </w:rPr>
        <w:t>in</w:t>
      </w:r>
      <w:r w:rsidR="0032434B" w:rsidRPr="0032434B">
        <w:rPr>
          <w:rFonts w:eastAsiaTheme="minorEastAsia"/>
        </w:rPr>
        <w:t xml:space="preserve"> assessment and prognosis</w:t>
      </w:r>
      <w:r w:rsidR="0032434B">
        <w:rPr>
          <w:rFonts w:eastAsiaTheme="minorEastAsia"/>
        </w:rPr>
        <w:t xml:space="preserve"> and its operational implementation</w:t>
      </w:r>
    </w:p>
    <w:p w14:paraId="4655674E" w14:textId="37FA8BF7" w:rsidR="0095487A" w:rsidRPr="0032434B" w:rsidRDefault="0032434B" w:rsidP="0032434B">
      <w:pPr>
        <w:numPr>
          <w:ilvl w:val="0"/>
          <w:numId w:val="20"/>
        </w:numPr>
        <w:overflowPunct/>
        <w:autoSpaceDE/>
        <w:autoSpaceDN/>
        <w:adjustRightInd/>
        <w:spacing w:after="170"/>
        <w:ind w:left="851" w:hanging="284"/>
        <w:jc w:val="both"/>
        <w:textAlignment w:val="auto"/>
        <w:rPr>
          <w:rFonts w:eastAsiaTheme="minorEastAsia"/>
        </w:rPr>
      </w:pPr>
      <w:r w:rsidRPr="0032434B">
        <w:rPr>
          <w:rFonts w:eastAsiaTheme="minorEastAsia"/>
        </w:rPr>
        <w:t>Role</w:t>
      </w:r>
      <w:r>
        <w:rPr>
          <w:rFonts w:eastAsiaTheme="minorEastAsia"/>
        </w:rPr>
        <w:t xml:space="preserve"> of</w:t>
      </w:r>
      <w:r w:rsidR="0020789E" w:rsidRPr="0032434B">
        <w:rPr>
          <w:rFonts w:eastAsiaTheme="minorEastAsia"/>
        </w:rPr>
        <w:t xml:space="preserve"> other international organizations </w:t>
      </w:r>
      <w:r w:rsidR="009D6F3A">
        <w:rPr>
          <w:rFonts w:eastAsiaTheme="minorEastAsia"/>
        </w:rPr>
        <w:t>in</w:t>
      </w:r>
      <w:r w:rsidR="0020789E" w:rsidRPr="0032434B">
        <w:rPr>
          <w:rFonts w:eastAsiaTheme="minorEastAsia"/>
        </w:rPr>
        <w:t xml:space="preserve"> assessment and prognosis</w:t>
      </w:r>
    </w:p>
    <w:p w14:paraId="1B7C165C" w14:textId="4A5F1270" w:rsidR="006B09C6" w:rsidRDefault="006B09C6" w:rsidP="005C11CD">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Constraints and limitations of the</w:t>
      </w:r>
      <w:r w:rsidR="003659D6">
        <w:rPr>
          <w:rFonts w:eastAsiaTheme="minorEastAsia"/>
        </w:rPr>
        <w:t xml:space="preserve"> </w:t>
      </w:r>
      <w:r w:rsidR="003659D6" w:rsidRPr="003659D6">
        <w:rPr>
          <w:rFonts w:eastAsiaTheme="minorEastAsia"/>
        </w:rPr>
        <w:t>international assessment and prognosis</w:t>
      </w:r>
      <w:r>
        <w:rPr>
          <w:rFonts w:eastAsiaTheme="minorEastAsia"/>
        </w:rPr>
        <w:t xml:space="preserve"> process</w:t>
      </w:r>
    </w:p>
    <w:p w14:paraId="6793B426" w14:textId="0D11E5D9" w:rsidR="0032434B" w:rsidRDefault="0032434B" w:rsidP="0020789E">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National inputs into </w:t>
      </w:r>
      <w:r w:rsidR="00885935">
        <w:rPr>
          <w:rFonts w:eastAsiaTheme="minorEastAsia"/>
        </w:rPr>
        <w:t xml:space="preserve">international </w:t>
      </w:r>
      <w:r>
        <w:rPr>
          <w:rFonts w:eastAsiaTheme="minorEastAsia"/>
        </w:rPr>
        <w:t>assessment and prognosis</w:t>
      </w:r>
    </w:p>
    <w:p w14:paraId="5569037C" w14:textId="70FFC7FD" w:rsidR="0095487A" w:rsidRPr="00FB2EC2" w:rsidRDefault="0095487A" w:rsidP="004267B5">
      <w:pPr>
        <w:pStyle w:val="BodyText"/>
        <w:keepNext/>
        <w:keepLines/>
        <w:rPr>
          <w:b/>
        </w:rPr>
      </w:pPr>
      <w:r>
        <w:rPr>
          <w:b/>
        </w:rPr>
        <w:lastRenderedPageBreak/>
        <w:t xml:space="preserve">Topic </w:t>
      </w:r>
      <w:r w:rsidR="0032434B">
        <w:rPr>
          <w:b/>
        </w:rPr>
        <w:t>7</w:t>
      </w:r>
      <w:r>
        <w:rPr>
          <w:b/>
        </w:rPr>
        <w:t xml:space="preserve">: </w:t>
      </w:r>
      <w:r w:rsidR="0020789E">
        <w:rPr>
          <w:b/>
        </w:rPr>
        <w:t xml:space="preserve">The provision and management of </w:t>
      </w:r>
      <w:r w:rsidR="000F671E">
        <w:rPr>
          <w:b/>
        </w:rPr>
        <w:t xml:space="preserve">technical </w:t>
      </w:r>
      <w:r w:rsidR="0020789E">
        <w:rPr>
          <w:b/>
        </w:rPr>
        <w:t xml:space="preserve">data to support assessment </w:t>
      </w:r>
      <w:r w:rsidR="00122FF7">
        <w:rPr>
          <w:b/>
        </w:rPr>
        <w:t xml:space="preserve">or </w:t>
      </w:r>
      <w:r w:rsidR="0020789E">
        <w:rPr>
          <w:b/>
        </w:rPr>
        <w:t>prognosis</w:t>
      </w:r>
    </w:p>
    <w:p w14:paraId="38B79852" w14:textId="2B4E9DCC" w:rsidR="0095487A" w:rsidRPr="00274217" w:rsidRDefault="0020789E" w:rsidP="004267B5">
      <w:pPr>
        <w:keepNext/>
        <w:keepLines/>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Methods for the management of critical technical information </w:t>
      </w:r>
      <w:r w:rsidR="00734E44">
        <w:rPr>
          <w:rFonts w:eastAsiaTheme="minorEastAsia"/>
        </w:rPr>
        <w:t xml:space="preserve">that needs </w:t>
      </w:r>
      <w:r>
        <w:rPr>
          <w:rFonts w:eastAsiaTheme="minorEastAsia"/>
        </w:rPr>
        <w:t xml:space="preserve">to be </w:t>
      </w:r>
      <w:r w:rsidR="0088649E">
        <w:rPr>
          <w:rFonts w:eastAsiaTheme="minorEastAsia"/>
        </w:rPr>
        <w:t>shared</w:t>
      </w:r>
    </w:p>
    <w:p w14:paraId="3571ECCA" w14:textId="020863DE" w:rsidR="00FC72C1" w:rsidRDefault="00FC72C1" w:rsidP="00734E44">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Challenges and solutions in post-accident monitoring</w:t>
      </w:r>
    </w:p>
    <w:p w14:paraId="1978C6AB" w14:textId="6E95C8DD" w:rsidR="0095487A" w:rsidRDefault="005B3ED8" w:rsidP="00FC72C1">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Technical data ownership and methods to address </w:t>
      </w:r>
      <w:r w:rsidR="00BD746E">
        <w:rPr>
          <w:rFonts w:eastAsiaTheme="minorEastAsia"/>
        </w:rPr>
        <w:t xml:space="preserve">the handling of </w:t>
      </w:r>
      <w:r>
        <w:rPr>
          <w:rFonts w:eastAsiaTheme="minorEastAsia"/>
        </w:rPr>
        <w:t>commercial proprietary information</w:t>
      </w:r>
    </w:p>
    <w:p w14:paraId="2BE21B17" w14:textId="76667798" w:rsidR="00DB7A50" w:rsidRDefault="00BD746E" w:rsidP="00734E44">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 xml:space="preserve">Challenges </w:t>
      </w:r>
      <w:r w:rsidR="00734E44">
        <w:rPr>
          <w:rFonts w:eastAsiaTheme="minorEastAsia"/>
        </w:rPr>
        <w:t>in</w:t>
      </w:r>
      <w:r>
        <w:rPr>
          <w:rFonts w:eastAsiaTheme="minorEastAsia"/>
        </w:rPr>
        <w:t xml:space="preserve"> the provision, </w:t>
      </w:r>
      <w:r w:rsidR="00DB7A50">
        <w:rPr>
          <w:rFonts w:eastAsiaTheme="minorEastAsia"/>
        </w:rPr>
        <w:t xml:space="preserve">management </w:t>
      </w:r>
      <w:r>
        <w:rPr>
          <w:rFonts w:eastAsiaTheme="minorEastAsia"/>
        </w:rPr>
        <w:t xml:space="preserve">and timely sharing </w:t>
      </w:r>
      <w:r w:rsidR="00DB7A50">
        <w:rPr>
          <w:rFonts w:eastAsiaTheme="minorEastAsia"/>
        </w:rPr>
        <w:t>of data</w:t>
      </w:r>
    </w:p>
    <w:p w14:paraId="27170FC0" w14:textId="5F825B7E" w:rsidR="00CA5882" w:rsidRDefault="0095487A" w:rsidP="00235BE5">
      <w:pPr>
        <w:pStyle w:val="Heading1"/>
      </w:pPr>
      <w:r>
        <w:t>Format</w:t>
      </w:r>
    </w:p>
    <w:p w14:paraId="43D04C80" w14:textId="322874BB" w:rsidR="0095487A" w:rsidRPr="00BB6658" w:rsidRDefault="0095487A" w:rsidP="0095487A">
      <w:pPr>
        <w:pStyle w:val="BodyText"/>
      </w:pPr>
      <w:r>
        <w:t xml:space="preserve">The </w:t>
      </w:r>
      <w:r w:rsidRPr="002A3927">
        <w:t xml:space="preserve">IEM will be held at the IAEA’s Headquarters in Vienna, Austria, from </w:t>
      </w:r>
      <w:r w:rsidR="00324DD4">
        <w:t>20</w:t>
      </w:r>
      <w:r w:rsidRPr="002A3927">
        <w:t xml:space="preserve"> to </w:t>
      </w:r>
      <w:r>
        <w:t>2</w:t>
      </w:r>
      <w:r w:rsidR="00324DD4">
        <w:t>4</w:t>
      </w:r>
      <w:r w:rsidRPr="002A3927">
        <w:t xml:space="preserve"> </w:t>
      </w:r>
      <w:r w:rsidR="00324DD4">
        <w:t>April</w:t>
      </w:r>
      <w:r w:rsidRPr="002A3927">
        <w:t xml:space="preserve"> 201</w:t>
      </w:r>
      <w:r>
        <w:t>5</w:t>
      </w:r>
      <w:r w:rsidRPr="002A3927">
        <w:t xml:space="preserve">. </w:t>
      </w:r>
      <w:r w:rsidRPr="00BB6658">
        <w:t xml:space="preserve">An opening address will be delivered by a senior IAEA representative. The meeting will consist of an opening plenary session, topic-specific technical sessions, some of which are to be run in parallel, </w:t>
      </w:r>
      <w:r>
        <w:t xml:space="preserve">panel discussions, poster presentations </w:t>
      </w:r>
      <w:r w:rsidRPr="00BB6658">
        <w:t>and a closing plenary session.</w:t>
      </w:r>
    </w:p>
    <w:p w14:paraId="2913AD7B" w14:textId="5407051E" w:rsidR="0095487A" w:rsidRPr="00BB6658" w:rsidRDefault="0095487A" w:rsidP="00734E44">
      <w:pPr>
        <w:pStyle w:val="BodyText"/>
      </w:pPr>
      <w:r w:rsidRPr="00BB6658">
        <w:t>The opening plenary session will include keynote presentations by invited international experts. Presentations will be given by experts from the IAEA Member States</w:t>
      </w:r>
      <w:r>
        <w:t xml:space="preserve">, the </w:t>
      </w:r>
      <w:r w:rsidRPr="00BB6658">
        <w:t xml:space="preserve">IAEA </w:t>
      </w:r>
      <w:r w:rsidR="00885935">
        <w:t xml:space="preserve">Secretariat </w:t>
      </w:r>
      <w:r w:rsidRPr="00BB6658">
        <w:t>and other international organizations</w:t>
      </w:r>
      <w:r w:rsidR="00324DD4">
        <w:t>.</w:t>
      </w:r>
    </w:p>
    <w:p w14:paraId="740C46D7" w14:textId="722BF6A1" w:rsidR="0095487A" w:rsidRDefault="0095487A" w:rsidP="00515E32">
      <w:pPr>
        <w:pStyle w:val="BodyText"/>
      </w:pPr>
      <w:r w:rsidRPr="00BB6658">
        <w:t xml:space="preserve">Summaries of the presentations and discussions, including </w:t>
      </w:r>
      <w:r w:rsidR="006F388F">
        <w:t>observations</w:t>
      </w:r>
      <w:r w:rsidRPr="00BB6658">
        <w:t xml:space="preserve"> and recommendations for further activities, will be prepared by the Chairperson</w:t>
      </w:r>
      <w:r>
        <w:t>(s)</w:t>
      </w:r>
      <w:r w:rsidRPr="00BB6658">
        <w:t xml:space="preserve"> of the IEM and the Co-Chairpersons </w:t>
      </w:r>
      <w:r>
        <w:t xml:space="preserve">of each session </w:t>
      </w:r>
      <w:r w:rsidRPr="00BB6658">
        <w:t>and will be presented at the closing plenary session.</w:t>
      </w:r>
    </w:p>
    <w:p w14:paraId="50449A92" w14:textId="44EDDF5E" w:rsidR="00CA5882" w:rsidRPr="00CA5882" w:rsidRDefault="0095487A" w:rsidP="00F07094">
      <w:pPr>
        <w:pStyle w:val="BodyText"/>
        <w:rPr>
          <w:lang w:eastAsia="en-GB"/>
        </w:rPr>
      </w:pPr>
      <w:r>
        <w:t xml:space="preserve">An annotated programme will be made available on the </w:t>
      </w:r>
      <w:proofErr w:type="spellStart"/>
      <w:r>
        <w:t>IEM</w:t>
      </w:r>
      <w:proofErr w:type="spellEnd"/>
      <w:r>
        <w:t xml:space="preserve"> web page (see Section </w:t>
      </w:r>
      <w:r w:rsidR="00ED36AD">
        <w:fldChar w:fldCharType="begin"/>
      </w:r>
      <w:r w:rsidR="00ED36AD">
        <w:instrText xml:space="preserve"> REF _Ref372051245 \r \h </w:instrText>
      </w:r>
      <w:r w:rsidR="00ED36AD">
        <w:fldChar w:fldCharType="separate"/>
      </w:r>
      <w:r w:rsidR="00DF794B">
        <w:rPr>
          <w:cs/>
        </w:rPr>
        <w:t>‎</w:t>
      </w:r>
      <w:r w:rsidR="00DF794B">
        <w:t>L</w:t>
      </w:r>
      <w:r w:rsidR="00ED36AD">
        <w:fldChar w:fldCharType="end"/>
      </w:r>
      <w:r>
        <w:t xml:space="preserve"> below) in due course.</w:t>
      </w:r>
    </w:p>
    <w:p w14:paraId="35B1BE9C" w14:textId="0CC168F0" w:rsidR="00750DF0" w:rsidRPr="00235BE5" w:rsidRDefault="00243701" w:rsidP="00235BE5">
      <w:pPr>
        <w:pStyle w:val="Heading1"/>
      </w:pPr>
      <w:bookmarkStart w:id="1" w:name="_Ref372123253"/>
      <w:r w:rsidRPr="00235BE5">
        <w:t>S</w:t>
      </w:r>
      <w:bookmarkEnd w:id="1"/>
      <w:r w:rsidR="0095487A" w:rsidRPr="00235BE5">
        <w:t>ubmission and Acceptance of Synopses</w:t>
      </w:r>
    </w:p>
    <w:p w14:paraId="259EF31F" w14:textId="42FCF46D" w:rsidR="005B6E72" w:rsidRDefault="0095487A" w:rsidP="00F07094">
      <w:pPr>
        <w:pStyle w:val="BodyText"/>
      </w:pPr>
      <w:r>
        <w:t>Extended</w:t>
      </w:r>
      <w:r w:rsidRPr="002A3927">
        <w:t xml:space="preserve"> </w:t>
      </w:r>
      <w:r>
        <w:t>synopse</w:t>
      </w:r>
      <w:r w:rsidRPr="002A3927">
        <w:t xml:space="preserve">s on issues falling within the topics outlined in Section </w:t>
      </w:r>
      <w:r w:rsidR="00F07094">
        <w:fldChar w:fldCharType="begin"/>
      </w:r>
      <w:r w:rsidR="00F07094">
        <w:instrText xml:space="preserve"> REF _Ref391468076 \r \h </w:instrText>
      </w:r>
      <w:r w:rsidR="00F07094">
        <w:fldChar w:fldCharType="separate"/>
      </w:r>
      <w:r w:rsidR="00DF794B">
        <w:rPr>
          <w:cs/>
        </w:rPr>
        <w:t>‎</w:t>
      </w:r>
      <w:r w:rsidR="00DF794B">
        <w:t>C</w:t>
      </w:r>
      <w:r w:rsidR="00F07094">
        <w:fldChar w:fldCharType="end"/>
      </w:r>
      <w:r w:rsidRPr="002A3927">
        <w:t xml:space="preserve"> may be submitted as contributions to the IEM. All contributed </w:t>
      </w:r>
      <w:r>
        <w:t>synopses</w:t>
      </w:r>
      <w:r w:rsidRPr="002A3927">
        <w:t xml:space="preserve"> must present original work and should not have been published elsewhere. There will be sessions at the IEM for those who have contributed a </w:t>
      </w:r>
      <w:r>
        <w:t>synopsis</w:t>
      </w:r>
      <w:r w:rsidRPr="002A3927">
        <w:t xml:space="preserve"> to give an oral </w:t>
      </w:r>
      <w:r>
        <w:t xml:space="preserve">and/or poster </w:t>
      </w:r>
      <w:r w:rsidRPr="002A3927">
        <w:t>presentation of their work. A small number of poster presentations may also be selected for oral presentation.</w:t>
      </w:r>
    </w:p>
    <w:p w14:paraId="4852B0DA" w14:textId="63ACEF5C" w:rsidR="0095487A" w:rsidRDefault="0095487A" w:rsidP="00235BE5">
      <w:pPr>
        <w:pStyle w:val="Heading2"/>
        <w:ind w:left="0" w:firstLine="0"/>
      </w:pPr>
      <w:r w:rsidRPr="00235BE5">
        <w:t>Submission</w:t>
      </w:r>
      <w:r>
        <w:t xml:space="preserve"> of Synopses</w:t>
      </w:r>
    </w:p>
    <w:p w14:paraId="011842CF" w14:textId="7ADD9538" w:rsidR="00235BE5" w:rsidRPr="00235BE5" w:rsidRDefault="00235BE5" w:rsidP="00F07094">
      <w:pPr>
        <w:pStyle w:val="BodyTextMultiline"/>
        <w:numPr>
          <w:ilvl w:val="0"/>
          <w:numId w:val="0"/>
        </w:numPr>
      </w:pPr>
      <w:r w:rsidRPr="002A3927">
        <w:t xml:space="preserve">Experts from Member States who wish to </w:t>
      </w:r>
      <w:r w:rsidR="00F07094">
        <w:t xml:space="preserve">give </w:t>
      </w:r>
      <w:r>
        <w:t xml:space="preserve">a </w:t>
      </w:r>
      <w:r w:rsidRPr="002A3927">
        <w:t>present</w:t>
      </w:r>
      <w:r>
        <w:t>ation</w:t>
      </w:r>
      <w:r w:rsidRPr="002A3927">
        <w:t xml:space="preserve"> at the IEM must submit an extended synopsis (in English) of maximum 800 words (i.e. two A4 format pages of single spaced typing, or the equivalent, including any tables or diagrams and a few pertinent references) to be sent electronically to the general email address of the </w:t>
      </w:r>
      <w:proofErr w:type="spellStart"/>
      <w:r w:rsidRPr="002A3927">
        <w:t>IEM</w:t>
      </w:r>
      <w:proofErr w:type="spellEnd"/>
      <w:r w:rsidRPr="002A3927">
        <w:t xml:space="preserve"> Secretariat: </w:t>
      </w:r>
      <w:hyperlink r:id="rId10" w:history="1">
        <w:r w:rsidR="00324DD4" w:rsidRPr="00D60A9E">
          <w:rPr>
            <w:rStyle w:val="Hyperlink"/>
          </w:rPr>
          <w:t>IEM9@iaea.org</w:t>
        </w:r>
      </w:hyperlink>
      <w:r w:rsidRPr="002A3927">
        <w:t>. The</w:t>
      </w:r>
      <w:r>
        <w:t xml:space="preserve"> synopses and the associated </w:t>
      </w:r>
      <w:r w:rsidRPr="002A3927">
        <w:t xml:space="preserve">documents </w:t>
      </w:r>
      <w:r>
        <w:t xml:space="preserve">(see Sub-Section E.2. below) </w:t>
      </w:r>
      <w:r w:rsidRPr="002A3927">
        <w:t xml:space="preserve">must be received by the IAEA by </w:t>
      </w:r>
      <w:r w:rsidR="00F0105A" w:rsidRPr="00F0105A">
        <w:rPr>
          <w:b/>
        </w:rPr>
        <w:t>15 February 2015</w:t>
      </w:r>
      <w:r w:rsidR="00F0105A">
        <w:t>.</w:t>
      </w:r>
      <w:r w:rsidRPr="002A3927">
        <w:t xml:space="preserve"> The synopsis should give enough information on the contents of the proposed paper to enable the </w:t>
      </w:r>
      <w:r>
        <w:t xml:space="preserve">Technical </w:t>
      </w:r>
      <w:r w:rsidRPr="002A3927">
        <w:t xml:space="preserve">Programme Committee to evaluate it. Introductory and general matters should not be included. The synopsis — if accepted — will be reproduced in the Book of Extended Synopses. </w:t>
      </w:r>
      <w:r w:rsidRPr="002A3927">
        <w:lastRenderedPageBreak/>
        <w:t xml:space="preserve">Authors are urged to make use of the Synopsis Template in Word format that will be </w:t>
      </w:r>
      <w:r w:rsidR="00F07094">
        <w:t xml:space="preserve">made </w:t>
      </w:r>
      <w:r w:rsidRPr="002A3927">
        <w:t xml:space="preserve">available on the </w:t>
      </w:r>
      <w:proofErr w:type="spellStart"/>
      <w:r w:rsidRPr="002A3927">
        <w:t>IEM</w:t>
      </w:r>
      <w:proofErr w:type="spellEnd"/>
      <w:r w:rsidRPr="002A3927">
        <w:t xml:space="preserve"> web page</w:t>
      </w:r>
      <w:r>
        <w:t xml:space="preserve"> </w:t>
      </w:r>
      <w:r w:rsidRPr="00477231">
        <w:t xml:space="preserve">(see Section </w:t>
      </w:r>
      <w:r w:rsidR="00F07094">
        <w:fldChar w:fldCharType="begin"/>
      </w:r>
      <w:r w:rsidR="00F07094">
        <w:instrText xml:space="preserve"> REF _Ref372051245 \r \h </w:instrText>
      </w:r>
      <w:r w:rsidR="00F07094">
        <w:fldChar w:fldCharType="separate"/>
      </w:r>
      <w:r w:rsidR="00DF794B">
        <w:rPr>
          <w:cs/>
        </w:rPr>
        <w:t>‎</w:t>
      </w:r>
      <w:r w:rsidR="00DF794B">
        <w:t>L</w:t>
      </w:r>
      <w:r w:rsidR="00F07094">
        <w:fldChar w:fldCharType="end"/>
      </w:r>
      <w:r w:rsidRPr="00477231">
        <w:t xml:space="preserve"> below)</w:t>
      </w:r>
      <w:r w:rsidRPr="002A3927">
        <w:t>.</w:t>
      </w:r>
    </w:p>
    <w:p w14:paraId="27578598" w14:textId="7C677FC6" w:rsidR="0095487A" w:rsidRDefault="0095487A" w:rsidP="00235BE5">
      <w:pPr>
        <w:pStyle w:val="Heading2"/>
        <w:ind w:left="0" w:firstLine="0"/>
      </w:pPr>
      <w:r w:rsidRPr="00235BE5">
        <w:t>Acceptance</w:t>
      </w:r>
      <w:r>
        <w:t xml:space="preserve"> of Synopses</w:t>
      </w:r>
    </w:p>
    <w:p w14:paraId="621A822E" w14:textId="77777777" w:rsidR="00235BE5" w:rsidRDefault="00235BE5" w:rsidP="00235BE5">
      <w:pPr>
        <w:pStyle w:val="BodyText"/>
      </w:pPr>
      <w:r>
        <w:t xml:space="preserve">An </w:t>
      </w:r>
      <w:r w:rsidRPr="002A3927">
        <w:t>extended synopsis will be considered only if the Participation Form (Form A) and Form for Submission of a Paper (Form B) have been received by the indicated deadline and through the appropriate official channels.</w:t>
      </w:r>
    </w:p>
    <w:p w14:paraId="2E01183F" w14:textId="140AC2FE" w:rsidR="00235BE5" w:rsidRDefault="00F0105A" w:rsidP="00734E44">
      <w:pPr>
        <w:pStyle w:val="BodyText"/>
      </w:pPr>
      <w:r>
        <w:t xml:space="preserve">Authors will be informed by the </w:t>
      </w:r>
      <w:r w:rsidRPr="00F0105A">
        <w:rPr>
          <w:b/>
        </w:rPr>
        <w:t>end of February</w:t>
      </w:r>
      <w:r w:rsidR="00235BE5" w:rsidRPr="00F0105A">
        <w:rPr>
          <w:b/>
        </w:rPr>
        <w:t xml:space="preserve"> 201</w:t>
      </w:r>
      <w:r w:rsidR="00324DD4" w:rsidRPr="00F0105A">
        <w:rPr>
          <w:b/>
        </w:rPr>
        <w:t>5</w:t>
      </w:r>
      <w:r w:rsidR="00235BE5" w:rsidRPr="002A3927">
        <w:t xml:space="preserve"> as to whether their </w:t>
      </w:r>
      <w:r w:rsidR="00235BE5">
        <w:t>synopses</w:t>
      </w:r>
      <w:r w:rsidR="00235BE5" w:rsidRPr="002A3927">
        <w:t xml:space="preserve"> have been accepted by the </w:t>
      </w:r>
      <w:r w:rsidR="00235BE5">
        <w:t xml:space="preserve">Technical </w:t>
      </w:r>
      <w:r w:rsidR="00235BE5" w:rsidRPr="002A3927">
        <w:t xml:space="preserve">Programme Committee. Guidelines for the preparation of </w:t>
      </w:r>
      <w:r w:rsidR="00235BE5">
        <w:t>presentations and posters</w:t>
      </w:r>
      <w:r w:rsidR="00235BE5" w:rsidRPr="002A3927">
        <w:t xml:space="preserve"> will be provided at that time.</w:t>
      </w:r>
      <w:r w:rsidR="00235BE5">
        <w:t xml:space="preserve"> Advance copies of presentations/posters have to be submitted by </w:t>
      </w:r>
      <w:r w:rsidR="00734E44" w:rsidRPr="004C7349">
        <w:rPr>
          <w:b/>
        </w:rPr>
        <w:t>15</w:t>
      </w:r>
      <w:r w:rsidR="00734E44">
        <w:rPr>
          <w:b/>
        </w:rPr>
        <w:t> </w:t>
      </w:r>
      <w:r w:rsidR="004C7349" w:rsidRPr="004C7349">
        <w:rPr>
          <w:b/>
        </w:rPr>
        <w:t>April</w:t>
      </w:r>
      <w:r w:rsidR="00F07094" w:rsidRPr="004C7349">
        <w:rPr>
          <w:b/>
        </w:rPr>
        <w:t> </w:t>
      </w:r>
      <w:r w:rsidR="00235BE5" w:rsidRPr="004C7349">
        <w:rPr>
          <w:b/>
        </w:rPr>
        <w:t>2015</w:t>
      </w:r>
      <w:r w:rsidR="00235BE5" w:rsidRPr="004C7349">
        <w:t>.</w:t>
      </w:r>
    </w:p>
    <w:p w14:paraId="7B0BF430" w14:textId="501BE2AF" w:rsidR="00235BE5" w:rsidRDefault="00235BE5" w:rsidP="00F07094">
      <w:pPr>
        <w:pStyle w:val="BodyText"/>
      </w:pPr>
      <w:r w:rsidRPr="002A3927">
        <w:t xml:space="preserve">Given the need to provide ample time for discussion, the number of </w:t>
      </w:r>
      <w:r>
        <w:t>presentations</w:t>
      </w:r>
      <w:r w:rsidRPr="002A3927">
        <w:t xml:space="preserve"> that can be</w:t>
      </w:r>
      <w:r>
        <w:t xml:space="preserve"> </w:t>
      </w:r>
      <w:r w:rsidRPr="002A3927">
        <w:t xml:space="preserve">accepted is limited. If the number of relevant and high quality </w:t>
      </w:r>
      <w:r>
        <w:t>synopses</w:t>
      </w:r>
      <w:r w:rsidRPr="002A3927">
        <w:t xml:space="preserve"> that are considered worthy of selection exceeds the acceptable number, some of them may be selected for poster presentation instead. The </w:t>
      </w:r>
      <w:proofErr w:type="spellStart"/>
      <w:r w:rsidRPr="002A3927">
        <w:t>IEM</w:t>
      </w:r>
      <w:proofErr w:type="spellEnd"/>
      <w:r w:rsidRPr="002A3927">
        <w:t xml:space="preserve"> Secretariat reserves the right to exclude </w:t>
      </w:r>
      <w:r>
        <w:t>synopses</w:t>
      </w:r>
      <w:r w:rsidRPr="002A3927">
        <w:t xml:space="preserve"> that do not comply with the </w:t>
      </w:r>
      <w:proofErr w:type="spellStart"/>
      <w:r w:rsidRPr="002A3927">
        <w:t>IAEA’s</w:t>
      </w:r>
      <w:proofErr w:type="spellEnd"/>
      <w:r w:rsidRPr="002A3927">
        <w:t xml:space="preserve"> quality standards and/or do not apply to one of the topics listed in Section </w:t>
      </w:r>
      <w:r w:rsidR="00F07094">
        <w:fldChar w:fldCharType="begin"/>
      </w:r>
      <w:r w:rsidR="00F07094">
        <w:instrText xml:space="preserve"> REF _Ref391468076 \r \h </w:instrText>
      </w:r>
      <w:r w:rsidR="00F07094">
        <w:fldChar w:fldCharType="separate"/>
      </w:r>
      <w:r w:rsidR="00DF794B">
        <w:rPr>
          <w:cs/>
        </w:rPr>
        <w:t>‎</w:t>
      </w:r>
      <w:r w:rsidR="00DF794B">
        <w:t>C</w:t>
      </w:r>
      <w:r w:rsidR="00F07094">
        <w:fldChar w:fldCharType="end"/>
      </w:r>
      <w:r w:rsidRPr="002A3927">
        <w:t>.</w:t>
      </w:r>
    </w:p>
    <w:p w14:paraId="14A3C456" w14:textId="5BEEAF07" w:rsidR="00235BE5" w:rsidRDefault="00235BE5" w:rsidP="00F07094">
      <w:pPr>
        <w:pStyle w:val="BodyText"/>
      </w:pPr>
      <w:r w:rsidRPr="002A3927">
        <w:t xml:space="preserve">The proceedings of the IEM will be made available online to Member States through the IAEA Action Plan </w:t>
      </w:r>
      <w:r w:rsidR="00F07094">
        <w:t>on</w:t>
      </w:r>
      <w:r w:rsidRPr="002A3927">
        <w:t xml:space="preserve"> Nuclear Safety dashboard:</w:t>
      </w:r>
    </w:p>
    <w:p w14:paraId="69AFC41F" w14:textId="77777777" w:rsidR="00235BE5" w:rsidRDefault="00DF794B" w:rsidP="00235BE5">
      <w:pPr>
        <w:pStyle w:val="BodyText"/>
        <w:rPr>
          <w:rStyle w:val="Hyperlink"/>
        </w:rPr>
      </w:pPr>
      <w:hyperlink r:id="rId11" w:history="1">
        <w:r w:rsidR="00235BE5" w:rsidRPr="002A3927">
          <w:rPr>
            <w:rStyle w:val="Hyperlink"/>
          </w:rPr>
          <w:t>http://www-ns.iaea.org/actionplan/default</w:t>
        </w:r>
        <w:r w:rsidR="00235BE5" w:rsidRPr="002A3927">
          <w:rPr>
            <w:rStyle w:val="Hyperlink"/>
          </w:rPr>
          <w:t>.</w:t>
        </w:r>
        <w:r w:rsidR="00235BE5" w:rsidRPr="002A3927">
          <w:rPr>
            <w:rStyle w:val="Hyperlink"/>
          </w:rPr>
          <w:t>asp</w:t>
        </w:r>
      </w:hyperlink>
    </w:p>
    <w:p w14:paraId="0704E6E5" w14:textId="40871350" w:rsidR="00235BE5" w:rsidRPr="00235BE5" w:rsidRDefault="00235BE5" w:rsidP="00235BE5">
      <w:pPr>
        <w:pStyle w:val="BodyText"/>
      </w:pPr>
      <w:r w:rsidRPr="002A3927">
        <w:t xml:space="preserve">The </w:t>
      </w:r>
      <w:r>
        <w:t>proceedings</w:t>
      </w:r>
      <w:r w:rsidRPr="002A3927">
        <w:t xml:space="preserve"> will include the Chair</w:t>
      </w:r>
      <w:r w:rsidR="00F07094">
        <w:t>person</w:t>
      </w:r>
      <w:r w:rsidRPr="002A3927">
        <w:t>s’ summaries, the presentations, the outcomes of panel discussions and recommendations.</w:t>
      </w:r>
    </w:p>
    <w:p w14:paraId="45BFFF5D" w14:textId="7CC8B5F1" w:rsidR="00750DF0" w:rsidRPr="001114C8" w:rsidRDefault="00235BE5" w:rsidP="00235BE5">
      <w:pPr>
        <w:pStyle w:val="Heading1"/>
      </w:pPr>
      <w:r>
        <w:t>Participation</w:t>
      </w:r>
    </w:p>
    <w:p w14:paraId="1990EAD5" w14:textId="00AA6B85" w:rsidR="00235BE5" w:rsidRDefault="00235BE5" w:rsidP="00CD646C">
      <w:pPr>
        <w:pStyle w:val="BodyText"/>
      </w:pPr>
      <w:r w:rsidRPr="002A3927">
        <w:t xml:space="preserve">The IEM is targeted primarily at experts </w:t>
      </w:r>
      <w:r w:rsidR="00CD646C">
        <w:t xml:space="preserve">from </w:t>
      </w:r>
      <w:r w:rsidR="00324DD4">
        <w:t xml:space="preserve">Member States </w:t>
      </w:r>
      <w:r w:rsidR="00CD646C">
        <w:t xml:space="preserve">working at </w:t>
      </w:r>
      <w:r w:rsidR="00324DD4">
        <w:t>institutes</w:t>
      </w:r>
      <w:r w:rsidR="00CD646C">
        <w:t xml:space="preserve"> that are</w:t>
      </w:r>
      <w:r w:rsidR="00324DD4">
        <w:t xml:space="preserve"> </w:t>
      </w:r>
      <w:r w:rsidR="0020789E">
        <w:t>involved in emergency preparedness and response</w:t>
      </w:r>
      <w:r w:rsidR="00CD646C">
        <w:t xml:space="preserve"> as well as</w:t>
      </w:r>
      <w:r w:rsidR="0020789E">
        <w:t xml:space="preserve"> assessment and prognosis during nuclear incidents or emergencies</w:t>
      </w:r>
      <w:r w:rsidR="00CD646C">
        <w:t>,</w:t>
      </w:r>
      <w:r w:rsidR="0020789E">
        <w:t xml:space="preserve"> and</w:t>
      </w:r>
      <w:r w:rsidR="00CD646C">
        <w:t>/or that are</w:t>
      </w:r>
      <w:r w:rsidR="0020789E">
        <w:t xml:space="preserve"> involved in the design and research</w:t>
      </w:r>
      <w:r w:rsidR="00CD646C">
        <w:t xml:space="preserve"> work</w:t>
      </w:r>
      <w:r w:rsidR="0020789E">
        <w:t xml:space="preserve"> </w:t>
      </w:r>
      <w:r w:rsidR="00CD646C">
        <w:t xml:space="preserve">to support the development of assessment and prognosis capabilities for </w:t>
      </w:r>
      <w:r w:rsidR="0020789E">
        <w:t>nuclear power reactor</w:t>
      </w:r>
      <w:r w:rsidR="00CD646C">
        <w:t>s</w:t>
      </w:r>
      <w:r w:rsidR="0020789E">
        <w:t xml:space="preserve">. This includes </w:t>
      </w:r>
      <w:r w:rsidR="00CD646C">
        <w:t xml:space="preserve">experts </w:t>
      </w:r>
      <w:r>
        <w:t xml:space="preserve">from </w:t>
      </w:r>
      <w:r w:rsidRPr="00632638">
        <w:t xml:space="preserve">operating organizations, regulatory bodies and </w:t>
      </w:r>
      <w:r w:rsidR="00CD646C">
        <w:t>TSO</w:t>
      </w:r>
      <w:r w:rsidR="0020789E">
        <w:t>s</w:t>
      </w:r>
      <w:r w:rsidRPr="002A3927">
        <w:t>.</w:t>
      </w:r>
    </w:p>
    <w:p w14:paraId="678D9B02" w14:textId="61E72A43" w:rsidR="00235BE5" w:rsidRDefault="00235BE5" w:rsidP="00457DF0">
      <w:pPr>
        <w:pStyle w:val="BodyText"/>
      </w:pPr>
      <w:r w:rsidRPr="002A3927">
        <w:t xml:space="preserve">All experts </w:t>
      </w:r>
      <w:r w:rsidR="00F07094">
        <w:t>designa</w:t>
      </w:r>
      <w:r w:rsidR="00F07094" w:rsidRPr="002A3927">
        <w:t xml:space="preserve">ted </w:t>
      </w:r>
      <w:r w:rsidRPr="002A3927">
        <w:t xml:space="preserve">by Member States to participate in the meeting are requested to </w:t>
      </w:r>
      <w:r w:rsidRPr="003455E0">
        <w:rPr>
          <w:b/>
        </w:rPr>
        <w:t>register online in advance</w:t>
      </w:r>
      <w:r w:rsidRPr="002A3927">
        <w:t xml:space="preserve"> through the </w:t>
      </w:r>
      <w:proofErr w:type="spellStart"/>
      <w:r w:rsidRPr="002A3927">
        <w:t>IEM</w:t>
      </w:r>
      <w:proofErr w:type="spellEnd"/>
      <w:r w:rsidRPr="002A3927">
        <w:t xml:space="preserve"> web page (see Section </w:t>
      </w:r>
      <w:r w:rsidR="00F07094">
        <w:fldChar w:fldCharType="begin"/>
      </w:r>
      <w:r w:rsidR="00F07094">
        <w:instrText xml:space="preserve"> REF _Ref372051245 \r \h </w:instrText>
      </w:r>
      <w:r w:rsidR="00F07094">
        <w:fldChar w:fldCharType="separate"/>
      </w:r>
      <w:r w:rsidR="00DF794B">
        <w:rPr>
          <w:cs/>
        </w:rPr>
        <w:t>‎</w:t>
      </w:r>
      <w:r w:rsidR="00DF794B">
        <w:t>L</w:t>
      </w:r>
      <w:r w:rsidR="00F07094">
        <w:fldChar w:fldCharType="end"/>
      </w:r>
      <w:r w:rsidRPr="002A3927">
        <w:t>). In addition</w:t>
      </w:r>
      <w:r w:rsidR="00F07094">
        <w:t>,</w:t>
      </w:r>
      <w:r w:rsidRPr="002A3927">
        <w:t xml:space="preserve"> they are required to send a completed Participation Form (Form A) and, if applicable, the Form for Submission of a Paper (</w:t>
      </w:r>
      <w:r w:rsidR="00F07094" w:rsidRPr="002A3927">
        <w:t>Form</w:t>
      </w:r>
      <w:r w:rsidR="00F07094">
        <w:t> </w:t>
      </w:r>
      <w:r w:rsidRPr="002A3927">
        <w:t xml:space="preserve">B) and the Grant Application Form (Form C) to the competent national authority (e.g. the Ministry of Foreign Affairs or National Atomic Energy Authority) for subsequent transmission to the IAEA </w:t>
      </w:r>
      <w:r w:rsidR="00457DF0">
        <w:t>by</w:t>
      </w:r>
      <w:r w:rsidR="00F07094">
        <w:t xml:space="preserve"> </w:t>
      </w:r>
      <w:r w:rsidR="00F07094" w:rsidRPr="00776A25">
        <w:t>email</w:t>
      </w:r>
      <w:r w:rsidR="00F07094">
        <w:t xml:space="preserve"> to</w:t>
      </w:r>
      <w:r w:rsidR="00F07094" w:rsidRPr="00776A25">
        <w:t xml:space="preserve">: </w:t>
      </w:r>
      <w:hyperlink r:id="rId12" w:history="1">
        <w:r w:rsidR="00F07094" w:rsidRPr="000B70FD">
          <w:rPr>
            <w:rStyle w:val="Hyperlink"/>
          </w:rPr>
          <w:t>O</w:t>
        </w:r>
        <w:r w:rsidR="00F07094" w:rsidRPr="00F07094">
          <w:rPr>
            <w:rStyle w:val="Hyperlink"/>
          </w:rPr>
          <w:t>fficial.</w:t>
        </w:r>
        <w:r w:rsidR="00F07094" w:rsidRPr="000B70FD">
          <w:rPr>
            <w:rStyle w:val="Hyperlink"/>
          </w:rPr>
          <w:t>M</w:t>
        </w:r>
        <w:r w:rsidR="00F07094" w:rsidRPr="00F07094">
          <w:rPr>
            <w:rStyle w:val="Hyperlink"/>
          </w:rPr>
          <w:t>ail@iaea.or</w:t>
        </w:r>
        <w:r w:rsidR="00F07094" w:rsidRPr="000B70FD">
          <w:rPr>
            <w:rStyle w:val="Hyperlink"/>
          </w:rPr>
          <w:t>g</w:t>
        </w:r>
      </w:hyperlink>
      <w:r w:rsidRPr="002A3927">
        <w:t>.</w:t>
      </w:r>
    </w:p>
    <w:p w14:paraId="3E808D51" w14:textId="5781D478" w:rsidR="00235BE5" w:rsidRDefault="00235BE5" w:rsidP="00CD646C">
      <w:pPr>
        <w:pStyle w:val="BodyText"/>
      </w:pPr>
      <w:r w:rsidRPr="002A3927">
        <w:t>Participants will be accepted only if the Participation Form is transmitted through the competent national authority of a Member State of the IAEA</w:t>
      </w:r>
      <w:r w:rsidR="00CD646C">
        <w:t xml:space="preserve"> or by an invited organization</w:t>
      </w:r>
      <w:r w:rsidRPr="002A3927">
        <w:t>.</w:t>
      </w:r>
    </w:p>
    <w:p w14:paraId="6837EEA2" w14:textId="64BA4459" w:rsidR="00BF68CA" w:rsidRPr="003332DA" w:rsidRDefault="00235BE5" w:rsidP="00235BE5">
      <w:pPr>
        <w:pStyle w:val="BodyText"/>
      </w:pPr>
      <w:r w:rsidRPr="002A3927">
        <w:t xml:space="preserve">Participants whose official designations have been received by the IAEA will receive further information on the IEM approximately </w:t>
      </w:r>
      <w:r>
        <w:t>two</w:t>
      </w:r>
      <w:r w:rsidRPr="002A3927">
        <w:t xml:space="preserve"> month</w:t>
      </w:r>
      <w:r>
        <w:t>s</w:t>
      </w:r>
      <w:r w:rsidRPr="002A3927">
        <w:t xml:space="preserve"> before the beginning of the meeting. This information will also be posted on the IEM web page.</w:t>
      </w:r>
    </w:p>
    <w:p w14:paraId="52EC5FC8" w14:textId="1E4C510D" w:rsidR="00750DF0" w:rsidRPr="001114C8" w:rsidRDefault="00235BE5" w:rsidP="00235BE5">
      <w:pPr>
        <w:pStyle w:val="Heading1"/>
      </w:pPr>
      <w:r>
        <w:lastRenderedPageBreak/>
        <w:t>Expenditures</w:t>
      </w:r>
    </w:p>
    <w:p w14:paraId="6E995D41" w14:textId="77777777" w:rsidR="00235BE5" w:rsidRPr="00235BE5" w:rsidRDefault="00235BE5" w:rsidP="00235BE5">
      <w:pPr>
        <w:pStyle w:val="BodyText"/>
      </w:pPr>
      <w:r w:rsidRPr="00235BE5">
        <w:t>No registration fee is charged to participants.</w:t>
      </w:r>
    </w:p>
    <w:p w14:paraId="0C9B75E3" w14:textId="06856DF8" w:rsidR="00235BE5" w:rsidRPr="00235BE5" w:rsidRDefault="00235BE5" w:rsidP="00235BE5">
      <w:pPr>
        <w:pStyle w:val="BodyText"/>
      </w:pPr>
      <w:r w:rsidRPr="00235BE5">
        <w:t xml:space="preserve">The IAEA is generally not in a position to bear the travel and other costs of participants in the IEM.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IEM. If governments wish to apply for a grant on behalf of one of their experts, they should address specific requests to the IAEA to this effect. Governments should ensure that applications for grants are submitted </w:t>
      </w:r>
      <w:r w:rsidRPr="008735EF">
        <w:t xml:space="preserve">by </w:t>
      </w:r>
      <w:r w:rsidR="008735EF" w:rsidRPr="008735EF">
        <w:rPr>
          <w:b/>
          <w:bCs/>
        </w:rPr>
        <w:t>15 February</w:t>
      </w:r>
      <w:r w:rsidR="0020789E" w:rsidRPr="008735EF">
        <w:rPr>
          <w:b/>
          <w:bCs/>
        </w:rPr>
        <w:t xml:space="preserve"> </w:t>
      </w:r>
      <w:r w:rsidRPr="008735EF">
        <w:rPr>
          <w:b/>
          <w:bCs/>
        </w:rPr>
        <w:t>201</w:t>
      </w:r>
      <w:r w:rsidR="0020789E" w:rsidRPr="008735EF">
        <w:rPr>
          <w:b/>
          <w:bCs/>
        </w:rPr>
        <w:t>5</w:t>
      </w:r>
      <w:r w:rsidRPr="00235BE5">
        <w:t xml:space="preserve"> and that they are accompanied by a duly completed and signed Grant Application Form (Form C).</w:t>
      </w:r>
    </w:p>
    <w:p w14:paraId="5B3E116C" w14:textId="43062EE6" w:rsidR="003332DA" w:rsidRPr="00235BE5" w:rsidRDefault="00235BE5" w:rsidP="00235BE5">
      <w:pPr>
        <w:pStyle w:val="BodyText"/>
      </w:pPr>
      <w:r w:rsidRPr="00235BE5">
        <w:t>Approved grants will be issued in the form of a lump sum payment that usually covers only part of the cost of attendance.</w:t>
      </w:r>
    </w:p>
    <w:p w14:paraId="4838A2DD" w14:textId="0279A524" w:rsidR="00E77634" w:rsidRDefault="00235BE5" w:rsidP="00F07094">
      <w:pPr>
        <w:pStyle w:val="Heading1"/>
        <w:rPr>
          <w:lang w:eastAsia="en-GB"/>
        </w:rPr>
      </w:pPr>
      <w:r>
        <w:rPr>
          <w:lang w:eastAsia="en-GB"/>
        </w:rPr>
        <w:t>Key Deadlines</w:t>
      </w:r>
    </w:p>
    <w:p w14:paraId="198C40C5" w14:textId="76D03EE9" w:rsidR="00235BE5" w:rsidRDefault="00235BE5" w:rsidP="00CD646C">
      <w:pPr>
        <w:pStyle w:val="BodyText"/>
        <w:keepNext/>
        <w:keepLines/>
        <w:spacing w:before="120" w:after="120"/>
      </w:pPr>
      <w:r>
        <w:t xml:space="preserve">Submission of </w:t>
      </w:r>
      <w:r w:rsidR="00CD646C">
        <w:t>e</w:t>
      </w:r>
      <w:r>
        <w:t xml:space="preserve">xtended </w:t>
      </w:r>
      <w:r w:rsidR="00CD646C">
        <w:t>s</w:t>
      </w:r>
      <w:r>
        <w:t>ynops</w:t>
      </w:r>
      <w:r w:rsidR="00F07094">
        <w:t>i</w:t>
      </w:r>
      <w:r>
        <w:t xml:space="preserve">s </w:t>
      </w:r>
      <w:r w:rsidR="00F07094">
        <w:t xml:space="preserve">together with </w:t>
      </w:r>
      <w:r>
        <w:t>Form</w:t>
      </w:r>
      <w:r w:rsidR="00F07094">
        <w:t>s A and</w:t>
      </w:r>
      <w:r>
        <w:t xml:space="preserve"> B</w:t>
      </w:r>
      <w:r>
        <w:tab/>
      </w:r>
      <w:r>
        <w:tab/>
      </w:r>
      <w:r w:rsidR="00F07094">
        <w:tab/>
      </w:r>
      <w:r w:rsidR="008735EF" w:rsidRPr="008735EF">
        <w:rPr>
          <w:b/>
          <w:bCs/>
        </w:rPr>
        <w:t>15 February 2015</w:t>
      </w:r>
    </w:p>
    <w:p w14:paraId="349D8209" w14:textId="74489529" w:rsidR="00235BE5" w:rsidRPr="00776A25" w:rsidRDefault="00235BE5" w:rsidP="00776A25">
      <w:pPr>
        <w:pStyle w:val="BodyText"/>
        <w:keepNext/>
        <w:keepLines/>
        <w:spacing w:before="120" w:after="120"/>
        <w:rPr>
          <w:b/>
          <w:bCs/>
        </w:rPr>
      </w:pPr>
      <w:r>
        <w:t xml:space="preserve">Submission of </w:t>
      </w:r>
      <w:r w:rsidR="00F07094">
        <w:t xml:space="preserve">Grant </w:t>
      </w:r>
      <w:r>
        <w:t xml:space="preserve">Application </w:t>
      </w:r>
      <w:r w:rsidR="00F07094">
        <w:t>F</w:t>
      </w:r>
      <w:r>
        <w:t>or</w:t>
      </w:r>
      <w:r w:rsidR="00F07094">
        <w:t>m</w:t>
      </w:r>
      <w:r>
        <w:t xml:space="preserve"> (Form C)</w:t>
      </w:r>
      <w:r w:rsidRPr="00900D96">
        <w:t>, if applicable</w:t>
      </w:r>
      <w:r>
        <w:tab/>
      </w:r>
      <w:r>
        <w:tab/>
      </w:r>
      <w:r w:rsidR="00F07094">
        <w:tab/>
      </w:r>
      <w:r w:rsidR="008735EF" w:rsidRPr="008735EF">
        <w:rPr>
          <w:b/>
          <w:bCs/>
        </w:rPr>
        <w:t>15 February 2015</w:t>
      </w:r>
    </w:p>
    <w:p w14:paraId="7135B518" w14:textId="4A078900" w:rsidR="006117D0" w:rsidRDefault="00235BE5" w:rsidP="00776A25">
      <w:pPr>
        <w:pStyle w:val="BodyTextMultiline"/>
        <w:keepNext/>
        <w:keepLines/>
        <w:numPr>
          <w:ilvl w:val="0"/>
          <w:numId w:val="0"/>
        </w:numPr>
      </w:pPr>
      <w:r>
        <w:t xml:space="preserve">Submission of </w:t>
      </w:r>
      <w:r w:rsidR="00F07094">
        <w:t>advance copy of p</w:t>
      </w:r>
      <w:r>
        <w:t>resentation/</w:t>
      </w:r>
      <w:r w:rsidR="00F07094">
        <w:t>p</w:t>
      </w:r>
      <w:r>
        <w:t>oster</w:t>
      </w:r>
      <w:r>
        <w:tab/>
      </w:r>
      <w:r>
        <w:tab/>
      </w:r>
      <w:r>
        <w:tab/>
      </w:r>
      <w:r>
        <w:tab/>
      </w:r>
      <w:r w:rsidR="00F07094">
        <w:tab/>
      </w:r>
      <w:r w:rsidR="008735EF" w:rsidRPr="004C7349">
        <w:rPr>
          <w:b/>
        </w:rPr>
        <w:t>15 April 2015</w:t>
      </w:r>
    </w:p>
    <w:p w14:paraId="501A8D3D" w14:textId="3ADC81F5" w:rsidR="00750DF0" w:rsidRPr="001114C8" w:rsidRDefault="00235BE5" w:rsidP="00235BE5">
      <w:pPr>
        <w:pStyle w:val="Heading1"/>
      </w:pPr>
      <w:r>
        <w:t>Working Language</w:t>
      </w:r>
    </w:p>
    <w:p w14:paraId="3254F098" w14:textId="3893E415" w:rsidR="00E379C7" w:rsidRDefault="00235BE5" w:rsidP="00235BE5">
      <w:pPr>
        <w:pStyle w:val="BodyText"/>
        <w:rPr>
          <w:color w:val="000000"/>
          <w:szCs w:val="22"/>
          <w:lang w:eastAsia="en-GB"/>
        </w:rPr>
      </w:pPr>
      <w:r w:rsidRPr="002A3927">
        <w:t xml:space="preserve">The working language of the IEM will be English. All communications, synopses and </w:t>
      </w:r>
      <w:r>
        <w:t>documentations</w:t>
      </w:r>
      <w:r w:rsidRPr="002A3927">
        <w:t xml:space="preserve"> must be sent to the IAEA in English.</w:t>
      </w:r>
    </w:p>
    <w:p w14:paraId="7FAFF6F4" w14:textId="062A9104" w:rsidR="005E28D8" w:rsidRPr="001114C8" w:rsidRDefault="005E28D8" w:rsidP="00235BE5">
      <w:pPr>
        <w:pStyle w:val="Heading1"/>
      </w:pPr>
      <w:r>
        <w:t>V</w:t>
      </w:r>
      <w:r w:rsidR="00235BE5">
        <w:t>isas</w:t>
      </w:r>
    </w:p>
    <w:p w14:paraId="243A82C8" w14:textId="4E246803" w:rsidR="008F3152" w:rsidRDefault="00235BE5" w:rsidP="00235BE5">
      <w:pPr>
        <w:pStyle w:val="BodyText"/>
        <w:rPr>
          <w:b/>
          <w:bCs/>
          <w:color w:val="000000"/>
          <w:szCs w:val="22"/>
          <w:lang w:eastAsia="en-GB"/>
        </w:rPr>
      </w:pPr>
      <w:r w:rsidRPr="002A3927">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14:paraId="49B65520" w14:textId="5936E4E0" w:rsidR="00750DF0" w:rsidRPr="001114C8" w:rsidRDefault="00235BE5" w:rsidP="00235BE5">
      <w:pPr>
        <w:pStyle w:val="Heading1"/>
      </w:pPr>
      <w:r>
        <w:lastRenderedPageBreak/>
        <w:t>IEM Secretariat</w:t>
      </w:r>
    </w:p>
    <w:p w14:paraId="0B7F2CC9" w14:textId="715225EF" w:rsidR="00631D6E" w:rsidRDefault="00ED36AD" w:rsidP="004267B5">
      <w:pPr>
        <w:keepNext/>
        <w:keepLines/>
        <w:overflowPunct/>
        <w:spacing w:after="170" w:line="280" w:lineRule="atLeast"/>
        <w:jc w:val="both"/>
        <w:textAlignment w:val="auto"/>
        <w:rPr>
          <w:color w:val="000000"/>
          <w:szCs w:val="22"/>
          <w:lang w:eastAsia="en-GB"/>
        </w:rPr>
      </w:pPr>
      <w:r w:rsidRPr="00ED36AD">
        <w:rPr>
          <w:b/>
          <w:bCs/>
          <w:color w:val="000000"/>
          <w:szCs w:val="22"/>
          <w:lang w:eastAsia="en-GB"/>
        </w:rPr>
        <w:t>General contact details of the IEM Secretariat:</w:t>
      </w:r>
    </w:p>
    <w:p w14:paraId="2CC7B532" w14:textId="6FD35182" w:rsidR="00CD646C" w:rsidRPr="004267B5" w:rsidRDefault="00CD646C" w:rsidP="004267B5">
      <w:pPr>
        <w:keepNext/>
        <w:keepLines/>
        <w:overflowPunct/>
        <w:spacing w:line="276" w:lineRule="auto"/>
        <w:jc w:val="both"/>
        <w:textAlignment w:val="auto"/>
        <w:rPr>
          <w:color w:val="000000"/>
          <w:szCs w:val="22"/>
          <w:lang w:eastAsia="en-GB"/>
        </w:rPr>
      </w:pPr>
      <w:r w:rsidRPr="004267B5">
        <w:rPr>
          <w:color w:val="000000"/>
          <w:szCs w:val="22"/>
          <w:lang w:eastAsia="en-GB"/>
        </w:rPr>
        <w:t>Ref.: CN-2</w:t>
      </w:r>
      <w:r>
        <w:rPr>
          <w:color w:val="000000"/>
          <w:szCs w:val="22"/>
          <w:lang w:eastAsia="en-GB"/>
        </w:rPr>
        <w:t>56</w:t>
      </w:r>
    </w:p>
    <w:p w14:paraId="7581897F" w14:textId="09E4AA1F" w:rsidR="00ED36AD" w:rsidRPr="001114C8" w:rsidRDefault="00ED36AD" w:rsidP="004267B5">
      <w:pPr>
        <w:keepNext/>
        <w:keepLines/>
        <w:overflowPunct/>
        <w:spacing w:line="276" w:lineRule="auto"/>
        <w:jc w:val="both"/>
        <w:textAlignment w:val="auto"/>
        <w:rPr>
          <w:color w:val="000000"/>
          <w:szCs w:val="22"/>
          <w:lang w:eastAsia="en-GB"/>
        </w:rPr>
      </w:pPr>
      <w:r w:rsidRPr="001114C8">
        <w:rPr>
          <w:color w:val="000000"/>
          <w:szCs w:val="22"/>
          <w:lang w:eastAsia="en-GB"/>
        </w:rPr>
        <w:t>International Atomic Energy Agency</w:t>
      </w:r>
      <w:r>
        <w:rPr>
          <w:color w:val="000000"/>
          <w:szCs w:val="22"/>
          <w:lang w:eastAsia="en-GB"/>
        </w:rPr>
        <w:t xml:space="preserve"> (IAEA)</w:t>
      </w:r>
    </w:p>
    <w:p w14:paraId="0584B30B" w14:textId="77777777" w:rsidR="00ED36AD" w:rsidRPr="00C84626" w:rsidRDefault="00ED36AD" w:rsidP="00ED36AD">
      <w:pPr>
        <w:overflowPunct/>
        <w:spacing w:line="276" w:lineRule="auto"/>
        <w:jc w:val="both"/>
        <w:textAlignment w:val="auto"/>
        <w:rPr>
          <w:color w:val="000000"/>
          <w:szCs w:val="22"/>
          <w:lang w:val="fr-FR" w:eastAsia="en-GB"/>
        </w:rPr>
      </w:pPr>
      <w:r w:rsidRPr="00C84626">
        <w:rPr>
          <w:color w:val="000000"/>
          <w:szCs w:val="22"/>
          <w:lang w:val="fr-FR" w:eastAsia="en-GB"/>
        </w:rPr>
        <w:t>Vienna International Centre</w:t>
      </w:r>
    </w:p>
    <w:p w14:paraId="4ED561AC" w14:textId="77777777" w:rsidR="00ED36AD" w:rsidRPr="00C84626" w:rsidRDefault="00ED36AD" w:rsidP="00ED36AD">
      <w:pPr>
        <w:overflowPunct/>
        <w:spacing w:line="276" w:lineRule="auto"/>
        <w:jc w:val="both"/>
        <w:textAlignment w:val="auto"/>
        <w:rPr>
          <w:color w:val="000000"/>
          <w:szCs w:val="22"/>
          <w:lang w:val="fr-FR" w:eastAsia="en-GB"/>
        </w:rPr>
      </w:pPr>
      <w:r w:rsidRPr="00C84626">
        <w:rPr>
          <w:color w:val="000000"/>
          <w:szCs w:val="22"/>
          <w:lang w:val="fr-FR" w:eastAsia="en-GB"/>
        </w:rPr>
        <w:t>PO Box 100</w:t>
      </w:r>
    </w:p>
    <w:p w14:paraId="6B10D18F" w14:textId="77777777" w:rsidR="00ED36AD" w:rsidRPr="00C84626" w:rsidRDefault="00ED36AD" w:rsidP="00ED36AD">
      <w:pPr>
        <w:overflowPunct/>
        <w:spacing w:line="276" w:lineRule="auto"/>
        <w:jc w:val="both"/>
        <w:textAlignment w:val="auto"/>
        <w:rPr>
          <w:color w:val="000000"/>
          <w:szCs w:val="22"/>
          <w:lang w:val="fr-FR" w:eastAsia="en-GB"/>
        </w:rPr>
      </w:pPr>
      <w:r w:rsidRPr="00C84626">
        <w:rPr>
          <w:color w:val="000000"/>
          <w:szCs w:val="22"/>
          <w:lang w:val="fr-FR" w:eastAsia="en-GB"/>
        </w:rPr>
        <w:t>1400 VIENNA</w:t>
      </w:r>
    </w:p>
    <w:p w14:paraId="7F443F20" w14:textId="77777777" w:rsidR="00ED36AD" w:rsidRPr="00515E32" w:rsidRDefault="00ED36AD" w:rsidP="00ED36AD">
      <w:pPr>
        <w:overflowPunct/>
        <w:spacing w:line="276" w:lineRule="auto"/>
        <w:jc w:val="both"/>
        <w:textAlignment w:val="auto"/>
        <w:rPr>
          <w:color w:val="000000"/>
          <w:szCs w:val="22"/>
          <w:lang w:eastAsia="en-GB"/>
        </w:rPr>
      </w:pPr>
      <w:r w:rsidRPr="00515E32">
        <w:rPr>
          <w:color w:val="000000"/>
          <w:szCs w:val="22"/>
          <w:lang w:eastAsia="en-GB"/>
        </w:rPr>
        <w:t>AUSTRIA</w:t>
      </w:r>
    </w:p>
    <w:p w14:paraId="0C76ECE8" w14:textId="77777777" w:rsidR="00CD646C" w:rsidRPr="00515E32" w:rsidRDefault="00CD646C" w:rsidP="00ED36AD">
      <w:pPr>
        <w:overflowPunct/>
        <w:spacing w:line="276" w:lineRule="auto"/>
        <w:jc w:val="both"/>
        <w:textAlignment w:val="auto"/>
        <w:rPr>
          <w:color w:val="000000"/>
          <w:szCs w:val="22"/>
          <w:lang w:eastAsia="en-GB"/>
        </w:rPr>
      </w:pPr>
    </w:p>
    <w:p w14:paraId="64091655" w14:textId="6F5886A9" w:rsidR="00ED36AD" w:rsidRPr="00515E32" w:rsidRDefault="00ED36AD" w:rsidP="00ED36AD">
      <w:pPr>
        <w:overflowPunct/>
        <w:spacing w:line="276" w:lineRule="auto"/>
        <w:jc w:val="both"/>
        <w:textAlignment w:val="auto"/>
        <w:rPr>
          <w:color w:val="000000"/>
          <w:szCs w:val="22"/>
          <w:lang w:eastAsia="en-GB"/>
        </w:rPr>
      </w:pPr>
      <w:r w:rsidRPr="00515E32">
        <w:rPr>
          <w:color w:val="000000"/>
          <w:szCs w:val="22"/>
          <w:lang w:eastAsia="en-GB"/>
        </w:rPr>
        <w:t>Tel.: +43 1 2600</w:t>
      </w:r>
    </w:p>
    <w:p w14:paraId="4BAA995D" w14:textId="0E8715B5" w:rsidR="00ED36AD" w:rsidRPr="00515E32" w:rsidRDefault="00ED36AD" w:rsidP="00ED36AD">
      <w:pPr>
        <w:overflowPunct/>
        <w:spacing w:line="276" w:lineRule="auto"/>
        <w:jc w:val="both"/>
        <w:textAlignment w:val="auto"/>
        <w:rPr>
          <w:color w:val="000000"/>
          <w:szCs w:val="22"/>
          <w:lang w:eastAsia="en-GB"/>
        </w:rPr>
      </w:pPr>
      <w:r w:rsidRPr="00515E32">
        <w:rPr>
          <w:color w:val="000000"/>
          <w:szCs w:val="22"/>
          <w:lang w:eastAsia="en-GB"/>
        </w:rPr>
        <w:t>Fax: +43 1 26007</w:t>
      </w:r>
    </w:p>
    <w:p w14:paraId="6ACA607F" w14:textId="2A4B599A" w:rsidR="00ED36AD" w:rsidRPr="00515E32" w:rsidRDefault="00ED36AD" w:rsidP="00ED36AD">
      <w:pPr>
        <w:overflowPunct/>
        <w:spacing w:after="120" w:line="276" w:lineRule="auto"/>
        <w:jc w:val="both"/>
        <w:textAlignment w:val="auto"/>
        <w:rPr>
          <w:color w:val="0000FF"/>
        </w:rPr>
      </w:pPr>
      <w:r w:rsidRPr="00515E32">
        <w:rPr>
          <w:color w:val="000000"/>
          <w:szCs w:val="22"/>
          <w:lang w:eastAsia="en-GB"/>
        </w:rPr>
        <w:t xml:space="preserve">Email: </w:t>
      </w:r>
      <w:hyperlink r:id="rId13" w:history="1">
        <w:r w:rsidRPr="00515E32">
          <w:rPr>
            <w:rStyle w:val="Hyperlink"/>
            <w:szCs w:val="22"/>
            <w:lang w:eastAsia="en-GB"/>
          </w:rPr>
          <w:t>Official.Mail@iaea.org</w:t>
        </w:r>
      </w:hyperlink>
    </w:p>
    <w:p w14:paraId="222B2787" w14:textId="77777777" w:rsidR="00CD646C" w:rsidRDefault="00CD646C" w:rsidP="00E71C04">
      <w:pPr>
        <w:overflowPunct/>
        <w:spacing w:after="170" w:line="280" w:lineRule="atLeast"/>
        <w:contextualSpacing/>
        <w:jc w:val="both"/>
        <w:textAlignment w:val="auto"/>
        <w:rPr>
          <w:b/>
          <w:bCs/>
          <w:color w:val="000000"/>
          <w:szCs w:val="22"/>
          <w:lang w:eastAsia="en-GB"/>
        </w:rPr>
      </w:pPr>
    </w:p>
    <w:p w14:paraId="4DAE9919" w14:textId="238AA89B" w:rsidR="00ED36AD" w:rsidRDefault="00ED36AD" w:rsidP="00E71C04">
      <w:pPr>
        <w:overflowPunct/>
        <w:spacing w:after="170" w:line="280" w:lineRule="atLeast"/>
        <w:contextualSpacing/>
        <w:jc w:val="both"/>
        <w:textAlignment w:val="auto"/>
        <w:rPr>
          <w:b/>
          <w:bCs/>
          <w:color w:val="000000"/>
          <w:szCs w:val="22"/>
          <w:lang w:eastAsia="en-GB"/>
        </w:rPr>
      </w:pPr>
      <w:r>
        <w:rPr>
          <w:b/>
          <w:bCs/>
          <w:color w:val="000000"/>
          <w:szCs w:val="22"/>
          <w:lang w:eastAsia="en-GB"/>
        </w:rPr>
        <w:t>IAEA Scientific Secretar</w:t>
      </w:r>
      <w:r w:rsidR="00DA116E" w:rsidRPr="00EA56BD">
        <w:rPr>
          <w:b/>
          <w:bCs/>
          <w:color w:val="000000"/>
          <w:szCs w:val="22"/>
          <w:lang w:eastAsia="en-GB"/>
        </w:rPr>
        <w:t>y</w:t>
      </w:r>
      <w:r w:rsidRPr="00EA56BD">
        <w:rPr>
          <w:b/>
          <w:bCs/>
          <w:color w:val="000000"/>
          <w:szCs w:val="22"/>
          <w:lang w:eastAsia="en-GB"/>
        </w:rPr>
        <w:t>:</w:t>
      </w:r>
    </w:p>
    <w:p w14:paraId="47057B9D" w14:textId="670D846E" w:rsidR="00ED36AD" w:rsidRPr="00681A10" w:rsidRDefault="00801BB4" w:rsidP="00E71C04">
      <w:pPr>
        <w:pStyle w:val="BodyText"/>
        <w:contextualSpacing/>
        <w:rPr>
          <w:b/>
          <w:bCs/>
        </w:rPr>
      </w:pPr>
      <w:r w:rsidRPr="00681A10">
        <w:rPr>
          <w:b/>
          <w:bCs/>
        </w:rPr>
        <w:t>M</w:t>
      </w:r>
      <w:r w:rsidR="00DA116E" w:rsidRPr="00681A10">
        <w:rPr>
          <w:b/>
          <w:bCs/>
        </w:rPr>
        <w:t>s</w:t>
      </w:r>
      <w:r w:rsidRPr="00681A10">
        <w:rPr>
          <w:b/>
          <w:bCs/>
        </w:rPr>
        <w:t xml:space="preserve"> </w:t>
      </w:r>
      <w:r w:rsidR="00DA116E" w:rsidRPr="00681A10">
        <w:rPr>
          <w:b/>
          <w:bCs/>
        </w:rPr>
        <w:t>Elena Buglova</w:t>
      </w:r>
    </w:p>
    <w:p w14:paraId="2A8511D2" w14:textId="0C9E5C76" w:rsidR="00631D6E" w:rsidRPr="00681A10" w:rsidRDefault="00DA116E" w:rsidP="00E71C04">
      <w:pPr>
        <w:pStyle w:val="BodyText"/>
        <w:spacing w:after="0"/>
        <w:contextualSpacing/>
      </w:pPr>
      <w:r w:rsidRPr="00681A10">
        <w:t>Incident and Emergency Centre</w:t>
      </w:r>
    </w:p>
    <w:p w14:paraId="75B03B89" w14:textId="52901483" w:rsidR="00ED36AD" w:rsidRPr="00681A10" w:rsidRDefault="00ED36AD" w:rsidP="00E71C04">
      <w:pPr>
        <w:overflowPunct/>
        <w:spacing w:after="170" w:line="280" w:lineRule="atLeast"/>
        <w:contextualSpacing/>
        <w:jc w:val="both"/>
        <w:textAlignment w:val="auto"/>
      </w:pPr>
      <w:r w:rsidRPr="00681A10">
        <w:t xml:space="preserve">Department of </w:t>
      </w:r>
      <w:r w:rsidR="00523473" w:rsidRPr="00681A10">
        <w:t xml:space="preserve">Nuclear </w:t>
      </w:r>
      <w:r w:rsidRPr="00681A10">
        <w:t>Safety and Security</w:t>
      </w:r>
    </w:p>
    <w:p w14:paraId="5BA1FB15" w14:textId="641DD717" w:rsidR="00ED36AD" w:rsidRPr="00681A10" w:rsidRDefault="00ED36AD" w:rsidP="00E71C04">
      <w:pPr>
        <w:overflowPunct/>
        <w:spacing w:after="170" w:line="280" w:lineRule="atLeast"/>
        <w:contextualSpacing/>
        <w:jc w:val="both"/>
        <w:textAlignment w:val="auto"/>
      </w:pPr>
      <w:r w:rsidRPr="00681A10">
        <w:t xml:space="preserve">Tel.: +43 1 2600 </w:t>
      </w:r>
      <w:r w:rsidR="00801BB4" w:rsidRPr="00681A10">
        <w:t>22</w:t>
      </w:r>
      <w:r w:rsidR="00DA116E" w:rsidRPr="00681A10">
        <w:t>738</w:t>
      </w:r>
    </w:p>
    <w:p w14:paraId="0508F290" w14:textId="43EED2C1" w:rsidR="00ED36AD" w:rsidRPr="00681A10" w:rsidRDefault="00ED36AD" w:rsidP="00E71C04">
      <w:pPr>
        <w:overflowPunct/>
        <w:spacing w:after="170" w:line="280" w:lineRule="atLeast"/>
        <w:contextualSpacing/>
        <w:jc w:val="both"/>
        <w:textAlignment w:val="auto"/>
      </w:pPr>
      <w:r w:rsidRPr="00681A10">
        <w:t>Fax: + 43 1 26007</w:t>
      </w:r>
      <w:r w:rsidR="00DA116E" w:rsidRPr="00681A10">
        <w:t xml:space="preserve"> 22738</w:t>
      </w:r>
    </w:p>
    <w:p w14:paraId="7C98F235" w14:textId="67D18504" w:rsidR="00ED36AD" w:rsidRPr="00DA116E" w:rsidRDefault="00ED36AD" w:rsidP="00E71C04">
      <w:pPr>
        <w:overflowPunct/>
        <w:spacing w:after="170" w:line="280" w:lineRule="atLeast"/>
        <w:contextualSpacing/>
        <w:jc w:val="both"/>
        <w:textAlignment w:val="auto"/>
        <w:rPr>
          <w:rStyle w:val="Hyperlink"/>
        </w:rPr>
      </w:pPr>
      <w:r w:rsidRPr="00681A10">
        <w:t xml:space="preserve">Email: </w:t>
      </w:r>
      <w:hyperlink r:id="rId14" w:history="1">
        <w:r w:rsidR="00DA116E" w:rsidRPr="00681A10">
          <w:rPr>
            <w:rStyle w:val="Hyperlink"/>
          </w:rPr>
          <w:t>IEM9@iaea.org</w:t>
        </w:r>
      </w:hyperlink>
    </w:p>
    <w:p w14:paraId="2362E573" w14:textId="77777777" w:rsidR="00CD646C" w:rsidRDefault="00CD646C" w:rsidP="00ED36AD">
      <w:pPr>
        <w:overflowPunct/>
        <w:spacing w:after="170" w:line="280" w:lineRule="atLeast"/>
        <w:jc w:val="both"/>
        <w:textAlignment w:val="auto"/>
        <w:rPr>
          <w:b/>
          <w:bCs/>
        </w:rPr>
      </w:pPr>
    </w:p>
    <w:p w14:paraId="2D0D8B5C" w14:textId="77777777" w:rsidR="00ED36AD" w:rsidRPr="00DA116E" w:rsidRDefault="00ED36AD" w:rsidP="00ED36AD">
      <w:pPr>
        <w:overflowPunct/>
        <w:spacing w:after="170" w:line="280" w:lineRule="atLeast"/>
        <w:jc w:val="both"/>
        <w:textAlignment w:val="auto"/>
        <w:rPr>
          <w:b/>
          <w:bCs/>
        </w:rPr>
      </w:pPr>
      <w:r w:rsidRPr="00DA116E">
        <w:rPr>
          <w:b/>
          <w:bCs/>
        </w:rPr>
        <w:t>Administration and organization:</w:t>
      </w:r>
    </w:p>
    <w:p w14:paraId="103D2034" w14:textId="77777777" w:rsidR="00ED36AD" w:rsidRPr="00681A10" w:rsidRDefault="00ED36AD" w:rsidP="00ED36AD">
      <w:pPr>
        <w:overflowPunct/>
        <w:spacing w:after="170" w:line="280" w:lineRule="atLeast"/>
        <w:contextualSpacing/>
        <w:jc w:val="both"/>
        <w:textAlignment w:val="auto"/>
        <w:rPr>
          <w:b/>
          <w:bCs/>
        </w:rPr>
      </w:pPr>
      <w:r w:rsidRPr="00681A10">
        <w:rPr>
          <w:b/>
          <w:bCs/>
        </w:rPr>
        <w:t>Ms Martina Neuhold</w:t>
      </w:r>
    </w:p>
    <w:p w14:paraId="751F1A36" w14:textId="77777777" w:rsidR="00ED36AD" w:rsidRPr="00681A10" w:rsidRDefault="00ED36AD" w:rsidP="00ED36AD">
      <w:pPr>
        <w:overflowPunct/>
        <w:spacing w:after="170" w:line="280" w:lineRule="atLeast"/>
        <w:contextualSpacing/>
        <w:jc w:val="both"/>
        <w:textAlignment w:val="auto"/>
      </w:pPr>
      <w:r w:rsidRPr="00681A10">
        <w:t>Conference Services Section</w:t>
      </w:r>
    </w:p>
    <w:p w14:paraId="3ECDA8AE" w14:textId="77777777" w:rsidR="00ED36AD" w:rsidRPr="00681A10" w:rsidRDefault="00ED36AD" w:rsidP="00ED36AD">
      <w:pPr>
        <w:overflowPunct/>
        <w:spacing w:after="170" w:line="280" w:lineRule="atLeast"/>
        <w:contextualSpacing/>
        <w:jc w:val="both"/>
        <w:textAlignment w:val="auto"/>
      </w:pPr>
      <w:r w:rsidRPr="00681A10">
        <w:t>Division of Conference and Document Services</w:t>
      </w:r>
    </w:p>
    <w:p w14:paraId="06DDBBA5" w14:textId="77777777" w:rsidR="00ED36AD" w:rsidRPr="00681A10" w:rsidRDefault="00ED36AD" w:rsidP="00ED36AD">
      <w:pPr>
        <w:overflowPunct/>
        <w:spacing w:after="170" w:line="280" w:lineRule="atLeast"/>
        <w:contextualSpacing/>
        <w:jc w:val="both"/>
        <w:textAlignment w:val="auto"/>
      </w:pPr>
      <w:r w:rsidRPr="00681A10">
        <w:t>Department of Management</w:t>
      </w:r>
    </w:p>
    <w:p w14:paraId="1E72FDBC" w14:textId="77777777" w:rsidR="00ED36AD" w:rsidRPr="00681A10" w:rsidRDefault="00ED36AD" w:rsidP="00ED36AD">
      <w:pPr>
        <w:overflowPunct/>
        <w:spacing w:after="170" w:line="280" w:lineRule="atLeast"/>
        <w:contextualSpacing/>
        <w:jc w:val="both"/>
        <w:textAlignment w:val="auto"/>
      </w:pPr>
      <w:r w:rsidRPr="00681A10">
        <w:t>Tel.: +43 1 2600 21314</w:t>
      </w:r>
    </w:p>
    <w:p w14:paraId="4B155631" w14:textId="77777777" w:rsidR="00ED36AD" w:rsidRPr="00681A10" w:rsidRDefault="00ED36AD" w:rsidP="00ED36AD">
      <w:pPr>
        <w:overflowPunct/>
        <w:spacing w:after="170" w:line="280" w:lineRule="atLeast"/>
        <w:contextualSpacing/>
        <w:jc w:val="both"/>
        <w:textAlignment w:val="auto"/>
      </w:pPr>
      <w:r w:rsidRPr="00681A10">
        <w:t>Fax: +43 1 26007</w:t>
      </w:r>
    </w:p>
    <w:p w14:paraId="6E1CCAE6" w14:textId="6BE8C75D" w:rsidR="00ED36AD" w:rsidRDefault="00ED36AD" w:rsidP="00523473">
      <w:pPr>
        <w:overflowPunct/>
        <w:spacing w:after="170" w:line="280" w:lineRule="atLeast"/>
        <w:jc w:val="both"/>
        <w:textAlignment w:val="auto"/>
      </w:pPr>
      <w:r w:rsidRPr="00681A10">
        <w:t>Email</w:t>
      </w:r>
      <w:r w:rsidR="00523473" w:rsidRPr="00681A10">
        <w:t xml:space="preserve">: </w:t>
      </w:r>
      <w:hyperlink r:id="rId15" w:history="1">
        <w:r w:rsidR="00DA116E" w:rsidRPr="00681A10">
          <w:rPr>
            <w:rStyle w:val="Hyperlink"/>
          </w:rPr>
          <w:t>IEM9@iaea.org</w:t>
        </w:r>
      </w:hyperlink>
    </w:p>
    <w:p w14:paraId="2B0C7638" w14:textId="76CA2B02" w:rsidR="00ED36AD" w:rsidRPr="00ED36AD" w:rsidRDefault="00ED36AD" w:rsidP="00CD646C">
      <w:pPr>
        <w:overflowPunct/>
        <w:spacing w:after="170" w:line="280" w:lineRule="atLeast"/>
        <w:jc w:val="both"/>
        <w:textAlignment w:val="auto"/>
        <w:rPr>
          <w:color w:val="000000"/>
          <w:szCs w:val="22"/>
          <w:lang w:eastAsia="en-GB"/>
        </w:rPr>
      </w:pPr>
      <w:r w:rsidRPr="002A3927">
        <w:t>Subsequent correspondence on scientific matters should be sent to the Scientific Secretar</w:t>
      </w:r>
      <w:r w:rsidR="00CD646C">
        <w:t>y</w:t>
      </w:r>
      <w:r w:rsidRPr="002A3927">
        <w:t xml:space="preserve"> and correspondence on administrative matters to the IAEA’s Conference Services Section</w:t>
      </w:r>
      <w:r w:rsidR="00457DF0">
        <w:t xml:space="preserve"> —</w:t>
      </w:r>
      <w:r w:rsidRPr="004656F6">
        <w:t xml:space="preserve"> </w:t>
      </w:r>
      <w:r w:rsidR="00457DF0">
        <w:t xml:space="preserve">in </w:t>
      </w:r>
      <w:r>
        <w:t xml:space="preserve">both </w:t>
      </w:r>
      <w:r w:rsidR="00457DF0">
        <w:t>cases by</w:t>
      </w:r>
      <w:r w:rsidR="00523473">
        <w:t xml:space="preserve"> email to: </w:t>
      </w:r>
      <w:hyperlink r:id="rId16" w:history="1">
        <w:r w:rsidR="0020789E" w:rsidRPr="00D60A9E">
          <w:rPr>
            <w:rStyle w:val="Hyperlink"/>
          </w:rPr>
          <w:t>IEM9@iaea.org</w:t>
        </w:r>
      </w:hyperlink>
      <w:r w:rsidRPr="002A3927">
        <w:t>.</w:t>
      </w:r>
    </w:p>
    <w:p w14:paraId="5BF9FC7C" w14:textId="022D164B" w:rsidR="00CC6750" w:rsidRDefault="00235BE5" w:rsidP="00235BE5">
      <w:pPr>
        <w:pStyle w:val="Heading1"/>
        <w:rPr>
          <w:lang w:eastAsia="en-GB"/>
        </w:rPr>
      </w:pPr>
      <w:bookmarkStart w:id="2" w:name="_Ref372051245"/>
      <w:r>
        <w:rPr>
          <w:lang w:eastAsia="en-GB"/>
        </w:rPr>
        <w:t>IEM</w:t>
      </w:r>
      <w:r w:rsidR="00CC6750">
        <w:rPr>
          <w:lang w:eastAsia="en-GB"/>
        </w:rPr>
        <w:t xml:space="preserve"> Web Page</w:t>
      </w:r>
      <w:bookmarkEnd w:id="2"/>
    </w:p>
    <w:p w14:paraId="70E31BC4" w14:textId="02076F63" w:rsidR="00CD646C" w:rsidRDefault="00235BE5" w:rsidP="00CD646C">
      <w:pPr>
        <w:overflowPunct/>
        <w:spacing w:line="276" w:lineRule="auto"/>
        <w:jc w:val="both"/>
        <w:textAlignment w:val="auto"/>
      </w:pPr>
      <w:r w:rsidRPr="002A3927">
        <w:t>Please visit the IEM web page regularly for new information regarding the meeting</w:t>
      </w:r>
      <w:r w:rsidR="00CD646C" w:rsidRPr="002A3927">
        <w:t>:</w:t>
      </w:r>
    </w:p>
    <w:p w14:paraId="676493B0" w14:textId="5F24E428" w:rsidR="00CC6750" w:rsidRPr="00776A25" w:rsidRDefault="00DF794B" w:rsidP="004267B5">
      <w:pPr>
        <w:overflowPunct/>
        <w:spacing w:line="276" w:lineRule="auto"/>
        <w:jc w:val="both"/>
        <w:textAlignment w:val="auto"/>
      </w:pPr>
      <w:hyperlink r:id="rId17" w:history="1">
        <w:r w:rsidR="004267B5" w:rsidRPr="000F0E17">
          <w:rPr>
            <w:rStyle w:val="Hyperlink"/>
          </w:rPr>
          <w:t>http://www-pub.iaea.org/iaeameetings/5071</w:t>
        </w:r>
        <w:bookmarkStart w:id="3" w:name="_GoBack"/>
        <w:bookmarkEnd w:id="3"/>
        <w:r w:rsidR="004267B5" w:rsidRPr="000F0E17">
          <w:rPr>
            <w:rStyle w:val="Hyperlink"/>
          </w:rPr>
          <w:t>8</w:t>
        </w:r>
        <w:r w:rsidR="004267B5" w:rsidRPr="000F0E17">
          <w:rPr>
            <w:rStyle w:val="Hyperlink"/>
          </w:rPr>
          <w:t>/IEM-9</w:t>
        </w:r>
      </w:hyperlink>
      <w:r w:rsidR="004267B5">
        <w:br/>
      </w:r>
    </w:p>
    <w:sectPr w:rsidR="00CC6750" w:rsidRPr="00776A25" w:rsidSect="007B0FCF">
      <w:headerReference w:type="even" r:id="rId18"/>
      <w:headerReference w:type="default" r:id="rId19"/>
      <w:footerReference w:type="even" r:id="rId20"/>
      <w:headerReference w:type="first" r:id="rId21"/>
      <w:type w:val="continuous"/>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BB21" w14:textId="77777777" w:rsidR="00AE262E" w:rsidRDefault="00AE262E">
      <w:r>
        <w:separator/>
      </w:r>
    </w:p>
  </w:endnote>
  <w:endnote w:type="continuationSeparator" w:id="0">
    <w:p w14:paraId="29DA7014" w14:textId="77777777" w:rsidR="00AE262E" w:rsidRDefault="00A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0F0A68E1" w:rsidR="00AE262E" w:rsidRDefault="00681A10">
    <w:pPr>
      <w:pStyle w:val="zyxClassification1"/>
    </w:pPr>
    <w:r>
      <w:fldChar w:fldCharType="begin"/>
    </w:r>
    <w:r>
      <w:instrText xml:space="preserve"> DOCPROPERTY "IaeaClassification"  \* MERGEFORMAT </w:instrText>
    </w:r>
    <w:r>
      <w:fldChar w:fldCharType="end"/>
    </w:r>
  </w:p>
  <w:p w14:paraId="020E85AD" w14:textId="1D66414E" w:rsidR="00AE262E" w:rsidRDefault="00681A10">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5331" w14:textId="77777777" w:rsidR="00AE262E" w:rsidRDefault="00AE262E">
      <w:r>
        <w:t>___________________________________________________________________________</w:t>
      </w:r>
    </w:p>
  </w:footnote>
  <w:footnote w:type="continuationSeparator" w:id="0">
    <w:p w14:paraId="212D901E" w14:textId="77777777" w:rsidR="00AE262E" w:rsidRDefault="00AE262E">
      <w:r>
        <w:t>___________________________________________________________________________</w:t>
      </w:r>
    </w:p>
  </w:footnote>
  <w:footnote w:type="continuationNotice" w:id="1">
    <w:p w14:paraId="20BC4D71" w14:textId="77777777" w:rsidR="00AE262E" w:rsidRDefault="00AE262E"/>
  </w:footnote>
  <w:footnote w:id="2">
    <w:p w14:paraId="2FD91862" w14:textId="7DCD126F" w:rsidR="0095487A" w:rsidRDefault="0095487A" w:rsidP="00BE3096">
      <w:pPr>
        <w:pStyle w:val="FootnoteText"/>
      </w:pPr>
      <w:r>
        <w:rPr>
          <w:rStyle w:val="FootnoteReference"/>
        </w:rPr>
        <w:footnoteRef/>
      </w:r>
      <w:r>
        <w:t xml:space="preserve"> </w:t>
      </w:r>
      <w:r w:rsidRPr="0095487A">
        <w:t xml:space="preserve">See the text of the Action Plan at: </w:t>
      </w:r>
      <w:hyperlink r:id="rId1" w:history="1">
        <w:r w:rsidR="00BE3096" w:rsidRPr="00A77453">
          <w:rPr>
            <w:rStyle w:val="Hyperlink"/>
          </w:rPr>
          <w:t>http://www.iaea.org/newscenter/focus/nuclear-safety-action-plan</w:t>
        </w:r>
      </w:hyperlink>
      <w:r w:rsidRPr="0095487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2381CA8E" w:rsidR="00AE262E" w:rsidRDefault="00AE262E" w:rsidP="00E71C04">
    <w:pPr>
      <w:pStyle w:val="Header"/>
      <w:spacing w:after="0"/>
      <w:jc w:val="both"/>
      <w:rPr>
        <w:sz w:val="8"/>
      </w:rPr>
    </w:pPr>
    <w:r>
      <w:br/>
    </w:r>
    <w:r w:rsidR="00631D6E">
      <w:t xml:space="preserve">Page </w:t>
    </w:r>
    <w:r w:rsidR="00631D6E">
      <w:fldChar w:fldCharType="begin"/>
    </w:r>
    <w:r w:rsidR="00631D6E">
      <w:instrText xml:space="preserve"> PAGE   \* MERGEFORMAT </w:instrText>
    </w:r>
    <w:r w:rsidR="00631D6E">
      <w:fldChar w:fldCharType="separate"/>
    </w:r>
    <w:r w:rsidR="00DF794B">
      <w:rPr>
        <w:noProof/>
      </w:rPr>
      <w:t>8</w:t>
    </w:r>
    <w:r w:rsidR="00631D6E">
      <w:rPr>
        <w:noProof/>
      </w:rPr>
      <w:fldChar w:fldCharType="end"/>
    </w:r>
    <w:r>
      <w:br/>
    </w:r>
  </w:p>
  <w:p w14:paraId="6ACCBE17" w14:textId="7C4D2593" w:rsidR="00AE262E" w:rsidRDefault="00681A10">
    <w:pPr>
      <w:pStyle w:val="zyxClassification1"/>
    </w:pPr>
    <w:r>
      <w:fldChar w:fldCharType="begin"/>
    </w:r>
    <w:r>
      <w:instrText xml:space="preserve"> DOCPROPERTY "IaeaClassification"  \* MERGEFORMAT </w:instrText>
    </w:r>
    <w:r>
      <w:fldChar w:fldCharType="end"/>
    </w:r>
  </w:p>
  <w:p w14:paraId="4BA556FD" w14:textId="36A7856B" w:rsidR="00AE262E" w:rsidRDefault="00681A1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20206140" w:rsidR="00AE262E" w:rsidRPr="003332DA" w:rsidRDefault="00AE262E" w:rsidP="00631D6E">
    <w:pPr>
      <w:pStyle w:val="Header"/>
      <w:spacing w:after="0"/>
      <w:jc w:val="right"/>
      <w:rPr>
        <w:sz w:val="8"/>
        <w:szCs w:val="8"/>
      </w:rPr>
    </w:pPr>
    <w:r>
      <w:br/>
    </w:r>
    <w:r w:rsidR="00631D6E">
      <w:t xml:space="preserve">Page </w:t>
    </w:r>
    <w:r w:rsidR="00631D6E">
      <w:fldChar w:fldCharType="begin"/>
    </w:r>
    <w:r w:rsidR="00631D6E">
      <w:instrText xml:space="preserve"> PAGE   \* MERGEFORMAT </w:instrText>
    </w:r>
    <w:r w:rsidR="00631D6E">
      <w:fldChar w:fldCharType="separate"/>
    </w:r>
    <w:r w:rsidR="00DF794B">
      <w:rPr>
        <w:noProof/>
      </w:rPr>
      <w:t>7</w:t>
    </w:r>
    <w:r w:rsidR="00631D6E">
      <w:rPr>
        <w:noProof/>
      </w:rPr>
      <w:fldChar w:fldCharType="end"/>
    </w:r>
    <w:r>
      <w:br/>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4" w:name="DOC_bkmClassification1"/>
        </w:p>
        <w:bookmarkEnd w:id="4"/>
        <w:p w14:paraId="2E9A7E44" w14:textId="153FA4F3" w:rsidR="00AE262E" w:rsidRDefault="00AE262E">
          <w:pPr>
            <w:pStyle w:val="zyxConfid2Red"/>
          </w:pP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26F"/>
    <w:multiLevelType w:val="hybridMultilevel"/>
    <w:tmpl w:val="589010E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4582549"/>
    <w:multiLevelType w:val="hybridMultilevel"/>
    <w:tmpl w:val="1F6AAE5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4953DBE"/>
    <w:multiLevelType w:val="hybridMultilevel"/>
    <w:tmpl w:val="E4F4E6F4"/>
    <w:lvl w:ilvl="0" w:tplc="08090003">
      <w:start w:val="1"/>
      <w:numFmt w:val="bullet"/>
      <w:lvlText w:val="o"/>
      <w:lvlJc w:val="left"/>
      <w:pPr>
        <w:ind w:left="1137" w:hanging="57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E328A"/>
    <w:multiLevelType w:val="hybridMultilevel"/>
    <w:tmpl w:val="04DCDEA6"/>
    <w:lvl w:ilvl="0" w:tplc="EFFADE4C">
      <w:start w:val="9"/>
      <w:numFmt w:val="bullet"/>
      <w:lvlText w:val="•"/>
      <w:lvlJc w:val="left"/>
      <w:pPr>
        <w:ind w:left="840" w:hanging="48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D7EE8"/>
    <w:multiLevelType w:val="hybridMultilevel"/>
    <w:tmpl w:val="BB6E18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74081"/>
    <w:multiLevelType w:val="hybridMultilevel"/>
    <w:tmpl w:val="C61A64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360D8E"/>
    <w:multiLevelType w:val="hybridMultilevel"/>
    <w:tmpl w:val="613A68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66544E6"/>
    <w:multiLevelType w:val="hybridMultilevel"/>
    <w:tmpl w:val="A14EB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33410D"/>
    <w:multiLevelType w:val="multilevel"/>
    <w:tmpl w:val="377E3F4C"/>
    <w:lvl w:ilvl="0">
      <w:start w:val="1"/>
      <w:numFmt w:val="upperLetter"/>
      <w:lvlText w:val="%1."/>
      <w:lvlJc w:val="left"/>
      <w:pPr>
        <w:ind w:left="720" w:hanging="36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E.%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260AA5"/>
    <w:multiLevelType w:val="hybridMultilevel"/>
    <w:tmpl w:val="34B0B6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1835538"/>
    <w:multiLevelType w:val="hybridMultilevel"/>
    <w:tmpl w:val="262273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E68AC"/>
    <w:multiLevelType w:val="hybridMultilevel"/>
    <w:tmpl w:val="A27027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0A317A"/>
    <w:multiLevelType w:val="hybridMultilevel"/>
    <w:tmpl w:val="B956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1">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14389E"/>
    <w:multiLevelType w:val="multilevel"/>
    <w:tmpl w:val="AEDCCD86"/>
    <w:lvl w:ilvl="0">
      <w:start w:val="1"/>
      <w:numFmt w:val="upperLetter"/>
      <w:pStyle w:val="Heading1"/>
      <w:lvlText w:val="%1."/>
      <w:lvlJc w:val="left"/>
      <w:pPr>
        <w:ind w:left="72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E.%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5"/>
  </w:num>
  <w:num w:numId="3">
    <w:abstractNumId w:val="20"/>
  </w:num>
  <w:num w:numId="4">
    <w:abstractNumId w:val="20"/>
  </w:num>
  <w:num w:numId="5">
    <w:abstractNumId w:val="20"/>
  </w:num>
  <w:num w:numId="6">
    <w:abstractNumId w:val="9"/>
  </w:num>
  <w:num w:numId="7">
    <w:abstractNumId w:val="18"/>
  </w:num>
  <w:num w:numId="8">
    <w:abstractNumId w:val="21"/>
  </w:num>
  <w:num w:numId="9">
    <w:abstractNumId w:val="1"/>
  </w:num>
  <w:num w:numId="10">
    <w:abstractNumId w:val="10"/>
  </w:num>
  <w:num w:numId="11">
    <w:abstractNumId w:val="22"/>
  </w:num>
  <w:num w:numId="12">
    <w:abstractNumId w:val="4"/>
  </w:num>
  <w:num w:numId="13">
    <w:abstractNumId w:val="15"/>
  </w:num>
  <w:num w:numId="14">
    <w:abstractNumId w:val="15"/>
  </w:num>
  <w:num w:numId="15">
    <w:abstractNumId w:val="15"/>
  </w:num>
  <w:num w:numId="16">
    <w:abstractNumId w:val="22"/>
  </w:num>
  <w:num w:numId="17">
    <w:abstractNumId w:val="23"/>
  </w:num>
  <w:num w:numId="18">
    <w:abstractNumId w:val="8"/>
  </w:num>
  <w:num w:numId="19">
    <w:abstractNumId w:val="19"/>
  </w:num>
  <w:num w:numId="20">
    <w:abstractNumId w:val="3"/>
  </w:num>
  <w:num w:numId="21">
    <w:abstractNumId w:val="0"/>
  </w:num>
  <w:num w:numId="22">
    <w:abstractNumId w:val="2"/>
  </w:num>
  <w:num w:numId="23">
    <w:abstractNumId w:val="7"/>
  </w:num>
  <w:num w:numId="24">
    <w:abstractNumId w:val="17"/>
  </w:num>
  <w:num w:numId="25">
    <w:abstractNumId w:val="14"/>
  </w:num>
  <w:num w:numId="26">
    <w:abstractNumId w:val="23"/>
  </w:num>
  <w:num w:numId="27">
    <w:abstractNumId w:val="13"/>
  </w:num>
  <w:num w:numId="28">
    <w:abstractNumId w:val="6"/>
  </w:num>
  <w:num w:numId="29">
    <w:abstractNumId w:val="16"/>
  </w:num>
  <w:num w:numId="30">
    <w:abstractNumId w:val="1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3721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31D77"/>
    <w:rsid w:val="00036E08"/>
    <w:rsid w:val="00047259"/>
    <w:rsid w:val="00063028"/>
    <w:rsid w:val="000D4173"/>
    <w:rsid w:val="000D4572"/>
    <w:rsid w:val="000E2E65"/>
    <w:rsid w:val="000E4286"/>
    <w:rsid w:val="000F033E"/>
    <w:rsid w:val="000F0519"/>
    <w:rsid w:val="000F3EDC"/>
    <w:rsid w:val="000F42D4"/>
    <w:rsid w:val="000F671E"/>
    <w:rsid w:val="000F7E94"/>
    <w:rsid w:val="001114C8"/>
    <w:rsid w:val="0011521D"/>
    <w:rsid w:val="0011636E"/>
    <w:rsid w:val="00122FF7"/>
    <w:rsid w:val="0013076F"/>
    <w:rsid w:val="00133724"/>
    <w:rsid w:val="001415D7"/>
    <w:rsid w:val="00146A53"/>
    <w:rsid w:val="0015429A"/>
    <w:rsid w:val="00165B45"/>
    <w:rsid w:val="001A14C1"/>
    <w:rsid w:val="001B20E0"/>
    <w:rsid w:val="001C3A1A"/>
    <w:rsid w:val="001C3BF9"/>
    <w:rsid w:val="001D1583"/>
    <w:rsid w:val="001F3F28"/>
    <w:rsid w:val="001F6BB4"/>
    <w:rsid w:val="001F6D93"/>
    <w:rsid w:val="0020789E"/>
    <w:rsid w:val="00235BE5"/>
    <w:rsid w:val="00243701"/>
    <w:rsid w:val="002442D6"/>
    <w:rsid w:val="00255C06"/>
    <w:rsid w:val="00260293"/>
    <w:rsid w:val="0026679E"/>
    <w:rsid w:val="00274790"/>
    <w:rsid w:val="00276559"/>
    <w:rsid w:val="00277756"/>
    <w:rsid w:val="0028541A"/>
    <w:rsid w:val="002944CA"/>
    <w:rsid w:val="002C2471"/>
    <w:rsid w:val="002C3F6D"/>
    <w:rsid w:val="002E120D"/>
    <w:rsid w:val="0031241B"/>
    <w:rsid w:val="0031580D"/>
    <w:rsid w:val="003240CB"/>
    <w:rsid w:val="0032434B"/>
    <w:rsid w:val="00324DD4"/>
    <w:rsid w:val="00327670"/>
    <w:rsid w:val="003332DA"/>
    <w:rsid w:val="00333966"/>
    <w:rsid w:val="003372F6"/>
    <w:rsid w:val="00337B52"/>
    <w:rsid w:val="00362111"/>
    <w:rsid w:val="00362BB0"/>
    <w:rsid w:val="003659D6"/>
    <w:rsid w:val="00382610"/>
    <w:rsid w:val="00385647"/>
    <w:rsid w:val="003A4CFD"/>
    <w:rsid w:val="003B1DED"/>
    <w:rsid w:val="003D255A"/>
    <w:rsid w:val="003F29DB"/>
    <w:rsid w:val="003F51F4"/>
    <w:rsid w:val="003F7D3F"/>
    <w:rsid w:val="0040319F"/>
    <w:rsid w:val="00406767"/>
    <w:rsid w:val="00415CE1"/>
    <w:rsid w:val="004267B5"/>
    <w:rsid w:val="00454DDC"/>
    <w:rsid w:val="00457DF0"/>
    <w:rsid w:val="00465127"/>
    <w:rsid w:val="00472A57"/>
    <w:rsid w:val="00497FAE"/>
    <w:rsid w:val="004B351C"/>
    <w:rsid w:val="004C7349"/>
    <w:rsid w:val="004D6687"/>
    <w:rsid w:val="004E3E7A"/>
    <w:rsid w:val="004E4BEB"/>
    <w:rsid w:val="004E663A"/>
    <w:rsid w:val="00515E32"/>
    <w:rsid w:val="00523473"/>
    <w:rsid w:val="0052445F"/>
    <w:rsid w:val="005250F7"/>
    <w:rsid w:val="00534A13"/>
    <w:rsid w:val="00544156"/>
    <w:rsid w:val="0055246E"/>
    <w:rsid w:val="0057394E"/>
    <w:rsid w:val="00573C87"/>
    <w:rsid w:val="00580C57"/>
    <w:rsid w:val="00593982"/>
    <w:rsid w:val="00594C53"/>
    <w:rsid w:val="00595DCB"/>
    <w:rsid w:val="005A7962"/>
    <w:rsid w:val="005B3ED8"/>
    <w:rsid w:val="005B6E72"/>
    <w:rsid w:val="005C11CD"/>
    <w:rsid w:val="005C2869"/>
    <w:rsid w:val="005D6BF1"/>
    <w:rsid w:val="005E28D8"/>
    <w:rsid w:val="005E4066"/>
    <w:rsid w:val="005E4431"/>
    <w:rsid w:val="006117D0"/>
    <w:rsid w:val="00615CED"/>
    <w:rsid w:val="00617C93"/>
    <w:rsid w:val="0062541E"/>
    <w:rsid w:val="00631D6E"/>
    <w:rsid w:val="00634CF0"/>
    <w:rsid w:val="0063750C"/>
    <w:rsid w:val="00654B5B"/>
    <w:rsid w:val="00657734"/>
    <w:rsid w:val="006617F7"/>
    <w:rsid w:val="006671E3"/>
    <w:rsid w:val="006727C1"/>
    <w:rsid w:val="0068054F"/>
    <w:rsid w:val="00681A10"/>
    <w:rsid w:val="006B09C6"/>
    <w:rsid w:val="006B12F9"/>
    <w:rsid w:val="006C46E0"/>
    <w:rsid w:val="006F388F"/>
    <w:rsid w:val="006F4FE7"/>
    <w:rsid w:val="00734E44"/>
    <w:rsid w:val="00740220"/>
    <w:rsid w:val="00741925"/>
    <w:rsid w:val="00743BB3"/>
    <w:rsid w:val="007445DA"/>
    <w:rsid w:val="00750DF0"/>
    <w:rsid w:val="0075412E"/>
    <w:rsid w:val="00762BA4"/>
    <w:rsid w:val="00776A25"/>
    <w:rsid w:val="007B0FCF"/>
    <w:rsid w:val="007C6642"/>
    <w:rsid w:val="007C7D6D"/>
    <w:rsid w:val="007E59E8"/>
    <w:rsid w:val="00800A94"/>
    <w:rsid w:val="00801BB4"/>
    <w:rsid w:val="00802EC4"/>
    <w:rsid w:val="008030ED"/>
    <w:rsid w:val="00822519"/>
    <w:rsid w:val="008279DA"/>
    <w:rsid w:val="00837898"/>
    <w:rsid w:val="0084624D"/>
    <w:rsid w:val="008529C1"/>
    <w:rsid w:val="008533BD"/>
    <w:rsid w:val="00857404"/>
    <w:rsid w:val="00871420"/>
    <w:rsid w:val="008735EF"/>
    <w:rsid w:val="00885935"/>
    <w:rsid w:val="0088649E"/>
    <w:rsid w:val="00897F1A"/>
    <w:rsid w:val="008A062C"/>
    <w:rsid w:val="008C1001"/>
    <w:rsid w:val="008D3425"/>
    <w:rsid w:val="008F3152"/>
    <w:rsid w:val="00905746"/>
    <w:rsid w:val="0095487A"/>
    <w:rsid w:val="0095518A"/>
    <w:rsid w:val="00962696"/>
    <w:rsid w:val="00966101"/>
    <w:rsid w:val="009943FA"/>
    <w:rsid w:val="009D0295"/>
    <w:rsid w:val="009D0B86"/>
    <w:rsid w:val="009D6F3A"/>
    <w:rsid w:val="009F6EBB"/>
    <w:rsid w:val="00A0382C"/>
    <w:rsid w:val="00A044BB"/>
    <w:rsid w:val="00A163F7"/>
    <w:rsid w:val="00A308B1"/>
    <w:rsid w:val="00A346B4"/>
    <w:rsid w:val="00A4103B"/>
    <w:rsid w:val="00A756D2"/>
    <w:rsid w:val="00A81977"/>
    <w:rsid w:val="00AB257B"/>
    <w:rsid w:val="00AC718A"/>
    <w:rsid w:val="00AD23A5"/>
    <w:rsid w:val="00AD47DA"/>
    <w:rsid w:val="00AD5242"/>
    <w:rsid w:val="00AE262E"/>
    <w:rsid w:val="00AF76A8"/>
    <w:rsid w:val="00B0440C"/>
    <w:rsid w:val="00B15F38"/>
    <w:rsid w:val="00B32755"/>
    <w:rsid w:val="00B330C0"/>
    <w:rsid w:val="00B41854"/>
    <w:rsid w:val="00B521CB"/>
    <w:rsid w:val="00B633E5"/>
    <w:rsid w:val="00B64059"/>
    <w:rsid w:val="00B77990"/>
    <w:rsid w:val="00B81415"/>
    <w:rsid w:val="00B909C5"/>
    <w:rsid w:val="00BA4EE9"/>
    <w:rsid w:val="00BC1921"/>
    <w:rsid w:val="00BC3718"/>
    <w:rsid w:val="00BC6D0C"/>
    <w:rsid w:val="00BD1400"/>
    <w:rsid w:val="00BD746E"/>
    <w:rsid w:val="00BE2A76"/>
    <w:rsid w:val="00BE3096"/>
    <w:rsid w:val="00BE6116"/>
    <w:rsid w:val="00BF037B"/>
    <w:rsid w:val="00BF68CA"/>
    <w:rsid w:val="00C21AC1"/>
    <w:rsid w:val="00C24121"/>
    <w:rsid w:val="00C5516F"/>
    <w:rsid w:val="00C62F19"/>
    <w:rsid w:val="00C7512B"/>
    <w:rsid w:val="00C7725D"/>
    <w:rsid w:val="00C8058B"/>
    <w:rsid w:val="00C84626"/>
    <w:rsid w:val="00CA05E6"/>
    <w:rsid w:val="00CA4203"/>
    <w:rsid w:val="00CA5882"/>
    <w:rsid w:val="00CA713B"/>
    <w:rsid w:val="00CA7B08"/>
    <w:rsid w:val="00CC6750"/>
    <w:rsid w:val="00CD2BF1"/>
    <w:rsid w:val="00CD3081"/>
    <w:rsid w:val="00CD646C"/>
    <w:rsid w:val="00CE5A52"/>
    <w:rsid w:val="00D626A1"/>
    <w:rsid w:val="00D7402E"/>
    <w:rsid w:val="00D846B3"/>
    <w:rsid w:val="00D900E8"/>
    <w:rsid w:val="00DA116E"/>
    <w:rsid w:val="00DA46CA"/>
    <w:rsid w:val="00DB080E"/>
    <w:rsid w:val="00DB7A50"/>
    <w:rsid w:val="00DC4155"/>
    <w:rsid w:val="00DD0331"/>
    <w:rsid w:val="00DD5F8C"/>
    <w:rsid w:val="00DF5AD2"/>
    <w:rsid w:val="00DF794B"/>
    <w:rsid w:val="00E12FF2"/>
    <w:rsid w:val="00E20E70"/>
    <w:rsid w:val="00E23813"/>
    <w:rsid w:val="00E24E0A"/>
    <w:rsid w:val="00E379C7"/>
    <w:rsid w:val="00E46E1B"/>
    <w:rsid w:val="00E54B23"/>
    <w:rsid w:val="00E60D73"/>
    <w:rsid w:val="00E65547"/>
    <w:rsid w:val="00E71C04"/>
    <w:rsid w:val="00E7421C"/>
    <w:rsid w:val="00E77634"/>
    <w:rsid w:val="00E81701"/>
    <w:rsid w:val="00E85C16"/>
    <w:rsid w:val="00EA56BD"/>
    <w:rsid w:val="00EB251B"/>
    <w:rsid w:val="00EC3570"/>
    <w:rsid w:val="00EC49FD"/>
    <w:rsid w:val="00ED36AD"/>
    <w:rsid w:val="00EE75B5"/>
    <w:rsid w:val="00F0105A"/>
    <w:rsid w:val="00F0416C"/>
    <w:rsid w:val="00F07094"/>
    <w:rsid w:val="00F1752C"/>
    <w:rsid w:val="00F1761D"/>
    <w:rsid w:val="00F342E2"/>
    <w:rsid w:val="00F4545E"/>
    <w:rsid w:val="00F556BC"/>
    <w:rsid w:val="00F837C6"/>
    <w:rsid w:val="00F952CC"/>
    <w:rsid w:val="00FC72C1"/>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B909C5"/>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235BE5"/>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rsid w:val="00235BE5"/>
    <w:pPr>
      <w:keepNext/>
      <w:keepLines/>
      <w:widowControl w:val="0"/>
      <w:numPr>
        <w:ilvl w:val="1"/>
        <w:numId w:val="27"/>
      </w:numPr>
      <w:spacing w:before="360" w:after="200" w:line="320" w:lineRule="exact"/>
      <w:ind w:left="1434" w:hanging="357"/>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link w:val="FootnoteTextChar"/>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235BE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character" w:customStyle="1" w:styleId="FootnoteTextChar">
    <w:name w:val="Footnote Text Char"/>
    <w:basedOn w:val="DefaultParagraphFont"/>
    <w:link w:val="FootnoteText"/>
    <w:semiHidden/>
    <w:rsid w:val="00CD308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B909C5"/>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235BE5"/>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rsid w:val="00235BE5"/>
    <w:pPr>
      <w:keepNext/>
      <w:keepLines/>
      <w:widowControl w:val="0"/>
      <w:numPr>
        <w:ilvl w:val="1"/>
        <w:numId w:val="27"/>
      </w:numPr>
      <w:spacing w:before="360" w:after="200" w:line="320" w:lineRule="exact"/>
      <w:ind w:left="1434" w:hanging="357"/>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link w:val="FootnoteTextChar"/>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235BE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character" w:customStyle="1" w:styleId="FootnoteTextChar">
    <w:name w:val="Footnote Text Char"/>
    <w:basedOn w:val="DefaultParagraphFont"/>
    <w:link w:val="FootnoteText"/>
    <w:semiHidden/>
    <w:rsid w:val="00CD308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8182">
      <w:bodyDiv w:val="1"/>
      <w:marLeft w:val="0"/>
      <w:marRight w:val="0"/>
      <w:marTop w:val="0"/>
      <w:marBottom w:val="0"/>
      <w:divBdr>
        <w:top w:val="none" w:sz="0" w:space="0" w:color="auto"/>
        <w:left w:val="none" w:sz="0" w:space="0" w:color="auto"/>
        <w:bottom w:val="none" w:sz="0" w:space="0" w:color="auto"/>
        <w:right w:val="none" w:sz="0" w:space="0" w:color="auto"/>
      </w:divBdr>
    </w:div>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1068530184">
      <w:bodyDiv w:val="1"/>
      <w:marLeft w:val="0"/>
      <w:marRight w:val="0"/>
      <w:marTop w:val="0"/>
      <w:marBottom w:val="0"/>
      <w:divBdr>
        <w:top w:val="none" w:sz="0" w:space="0" w:color="auto"/>
        <w:left w:val="none" w:sz="0" w:space="0" w:color="auto"/>
        <w:bottom w:val="none" w:sz="0" w:space="0" w:color="auto"/>
        <w:right w:val="none" w:sz="0" w:space="0" w:color="auto"/>
      </w:divBdr>
    </w:div>
    <w:div w:id="13617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ial.Mail@iae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yperlink" Target="http://www-pub.iaea.org/iaeameetings/50718/IEM-9" TargetMode="External"/><Relationship Id="rId2" Type="http://schemas.openxmlformats.org/officeDocument/2006/relationships/numbering" Target="numbering.xml"/><Relationship Id="rId16" Type="http://schemas.openxmlformats.org/officeDocument/2006/relationships/hyperlink" Target="mailto:IEM9@ia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iaea.org/actionplan/default.asp" TargetMode="External"/><Relationship Id="rId5" Type="http://schemas.openxmlformats.org/officeDocument/2006/relationships/settings" Target="settings.xml"/><Relationship Id="rId15" Type="http://schemas.openxmlformats.org/officeDocument/2006/relationships/hyperlink" Target="mailto:IEM9@iaea.org" TargetMode="External"/><Relationship Id="rId23" Type="http://schemas.openxmlformats.org/officeDocument/2006/relationships/theme" Target="theme/theme1.xml"/><Relationship Id="rId10" Type="http://schemas.openxmlformats.org/officeDocument/2006/relationships/hyperlink" Target="mailto:IEM9@iaea.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EM9@iae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aea.org/newscenter/focus/nuclear-safety-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672E-F33F-4847-9E13-AD3AF23A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TotalTime>
  <Pages>8</Pages>
  <Words>2631</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Luis Sundkvist</cp:lastModifiedBy>
  <cp:revision>9</cp:revision>
  <cp:lastPrinted>2014-12-12T14:08:00Z</cp:lastPrinted>
  <dcterms:created xsi:type="dcterms:W3CDTF">2014-12-12T13:59:00Z</dcterms:created>
  <dcterms:modified xsi:type="dcterms:W3CDTF">2014-12-12T14:09:00Z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