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8D326" w14:textId="30587702" w:rsidR="00E20E70" w:rsidRPr="006B59F8" w:rsidRDefault="00F1752C" w:rsidP="00F1752C">
      <w:pPr>
        <w:pStyle w:val="BodyText"/>
        <w:jc w:val="center"/>
        <w:rPr>
          <w:rFonts w:asciiTheme="minorHAnsi" w:hAnsiTheme="minorHAnsi" w:cstheme="minorHAnsi"/>
        </w:rPr>
      </w:pPr>
      <w:r w:rsidRPr="00322985">
        <w:rPr>
          <w:rFonts w:asciiTheme="minorHAnsi" w:hAnsiTheme="minorHAnsi" w:cstheme="minorHAnsi"/>
          <w:noProof/>
          <w:lang w:eastAsia="zh-CN"/>
        </w:rPr>
        <w:drawing>
          <wp:inline distT="0" distB="0" distL="0" distR="0" wp14:anchorId="4CDA5DF8" wp14:editId="6698BEC1">
            <wp:extent cx="1486800" cy="11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9">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14:paraId="3718A53A" w14:textId="77777777" w:rsidR="00F1752C" w:rsidRPr="006B59F8" w:rsidRDefault="00F1752C" w:rsidP="00F1752C">
      <w:pPr>
        <w:pStyle w:val="BodyText"/>
        <w:spacing w:after="0" w:line="276" w:lineRule="auto"/>
        <w:jc w:val="center"/>
        <w:rPr>
          <w:b/>
          <w:sz w:val="28"/>
          <w:szCs w:val="28"/>
        </w:rPr>
      </w:pPr>
    </w:p>
    <w:p w14:paraId="19CEE7A0" w14:textId="527A3012" w:rsidR="009943FA" w:rsidRDefault="006D57B9" w:rsidP="006D57B9">
      <w:pPr>
        <w:overflowPunct/>
        <w:spacing w:line="276" w:lineRule="auto"/>
        <w:jc w:val="center"/>
        <w:textAlignment w:val="auto"/>
        <w:rPr>
          <w:b/>
          <w:bCs/>
          <w:sz w:val="42"/>
          <w:szCs w:val="42"/>
        </w:rPr>
      </w:pPr>
      <w:bookmarkStart w:id="0" w:name="_GoBack"/>
      <w:bookmarkEnd w:id="0"/>
      <w:r w:rsidRPr="00322985">
        <w:rPr>
          <w:b/>
          <w:bCs/>
          <w:sz w:val="42"/>
          <w:szCs w:val="42"/>
        </w:rPr>
        <w:t xml:space="preserve">International Conference on </w:t>
      </w:r>
      <w:r w:rsidR="000C0370">
        <w:rPr>
          <w:b/>
          <w:bCs/>
          <w:sz w:val="42"/>
          <w:szCs w:val="42"/>
        </w:rPr>
        <w:t>Research Reactors:</w:t>
      </w:r>
    </w:p>
    <w:p w14:paraId="394CCDA6" w14:textId="3493096B" w:rsidR="000C0370" w:rsidRPr="00322985" w:rsidRDefault="000C0370" w:rsidP="006D57B9">
      <w:pPr>
        <w:overflowPunct/>
        <w:spacing w:line="276" w:lineRule="auto"/>
        <w:jc w:val="center"/>
        <w:textAlignment w:val="auto"/>
        <w:rPr>
          <w:b/>
          <w:bCs/>
          <w:sz w:val="42"/>
          <w:szCs w:val="42"/>
        </w:rPr>
      </w:pPr>
      <w:r>
        <w:rPr>
          <w:b/>
          <w:bCs/>
          <w:sz w:val="42"/>
          <w:szCs w:val="42"/>
        </w:rPr>
        <w:t>Safe Management and Effective Utilization</w:t>
      </w:r>
    </w:p>
    <w:p w14:paraId="3198A15E" w14:textId="77777777" w:rsidR="009943FA" w:rsidRPr="006B59F8" w:rsidRDefault="009943FA" w:rsidP="00B521CB">
      <w:pPr>
        <w:pStyle w:val="BodyText"/>
        <w:spacing w:after="0" w:line="276" w:lineRule="auto"/>
        <w:jc w:val="center"/>
        <w:rPr>
          <w:b/>
          <w:sz w:val="28"/>
          <w:szCs w:val="28"/>
        </w:rPr>
      </w:pPr>
    </w:p>
    <w:p w14:paraId="5FD553C2" w14:textId="77777777" w:rsidR="00F1752C" w:rsidRPr="00322985" w:rsidRDefault="00F1752C" w:rsidP="003B1DED">
      <w:pPr>
        <w:overflowPunct/>
        <w:spacing w:line="276" w:lineRule="auto"/>
        <w:jc w:val="center"/>
        <w:textAlignment w:val="auto"/>
        <w:rPr>
          <w:b/>
          <w:bCs/>
          <w:color w:val="000000"/>
          <w:sz w:val="28"/>
          <w:szCs w:val="28"/>
          <w:lang w:eastAsia="en-GB"/>
        </w:rPr>
      </w:pPr>
    </w:p>
    <w:p w14:paraId="66D7CEB6" w14:textId="77777777" w:rsidR="003B1DED" w:rsidRPr="00322985" w:rsidRDefault="009943FA" w:rsidP="003B1DED">
      <w:pPr>
        <w:overflowPunct/>
        <w:spacing w:line="276" w:lineRule="auto"/>
        <w:jc w:val="center"/>
        <w:textAlignment w:val="auto"/>
        <w:rPr>
          <w:b/>
          <w:bCs/>
          <w:color w:val="000000"/>
          <w:sz w:val="28"/>
          <w:szCs w:val="28"/>
          <w:lang w:eastAsia="en-GB"/>
        </w:rPr>
      </w:pPr>
      <w:r w:rsidRPr="00322985">
        <w:rPr>
          <w:b/>
          <w:bCs/>
          <w:color w:val="000000"/>
          <w:sz w:val="28"/>
          <w:szCs w:val="28"/>
          <w:lang w:eastAsia="en-GB"/>
        </w:rPr>
        <w:t>IAEA Headquarters</w:t>
      </w:r>
    </w:p>
    <w:p w14:paraId="4034E15B" w14:textId="77777777" w:rsidR="009943FA" w:rsidRPr="00322985" w:rsidRDefault="009943FA" w:rsidP="00B521CB">
      <w:pPr>
        <w:overflowPunct/>
        <w:spacing w:line="276" w:lineRule="auto"/>
        <w:jc w:val="center"/>
        <w:textAlignment w:val="auto"/>
        <w:rPr>
          <w:b/>
          <w:bCs/>
          <w:color w:val="000000"/>
          <w:sz w:val="28"/>
          <w:szCs w:val="28"/>
          <w:lang w:eastAsia="en-GB"/>
        </w:rPr>
      </w:pPr>
      <w:r w:rsidRPr="00322985">
        <w:rPr>
          <w:b/>
          <w:bCs/>
          <w:color w:val="000000"/>
          <w:sz w:val="28"/>
          <w:szCs w:val="28"/>
          <w:lang w:eastAsia="en-GB"/>
        </w:rPr>
        <w:t>Vienna, Austria</w:t>
      </w:r>
    </w:p>
    <w:p w14:paraId="46F3D7B0" w14:textId="77777777" w:rsidR="003B1DED" w:rsidRPr="00322985" w:rsidRDefault="003B1DED" w:rsidP="00B521CB">
      <w:pPr>
        <w:overflowPunct/>
        <w:spacing w:line="276" w:lineRule="auto"/>
        <w:jc w:val="center"/>
        <w:textAlignment w:val="auto"/>
        <w:rPr>
          <w:b/>
          <w:bCs/>
          <w:color w:val="000000"/>
          <w:sz w:val="24"/>
          <w:szCs w:val="24"/>
          <w:lang w:eastAsia="en-GB"/>
        </w:rPr>
      </w:pPr>
    </w:p>
    <w:p w14:paraId="35C3B39F" w14:textId="07DD1069" w:rsidR="00362111" w:rsidRPr="00322985" w:rsidRDefault="000C0370" w:rsidP="006D57B9">
      <w:pPr>
        <w:overflowPunct/>
        <w:spacing w:line="276" w:lineRule="auto"/>
        <w:jc w:val="center"/>
        <w:textAlignment w:val="auto"/>
        <w:rPr>
          <w:b/>
          <w:bCs/>
          <w:sz w:val="28"/>
          <w:szCs w:val="28"/>
          <w:lang w:eastAsia="en-GB"/>
        </w:rPr>
      </w:pPr>
      <w:r>
        <w:rPr>
          <w:b/>
          <w:bCs/>
          <w:sz w:val="28"/>
          <w:szCs w:val="28"/>
        </w:rPr>
        <w:t xml:space="preserve">16–20 November </w:t>
      </w:r>
      <w:r w:rsidR="006D57B9" w:rsidRPr="00322985">
        <w:rPr>
          <w:b/>
          <w:bCs/>
          <w:sz w:val="28"/>
          <w:szCs w:val="28"/>
        </w:rPr>
        <w:t>2015</w:t>
      </w:r>
    </w:p>
    <w:p w14:paraId="116F97B1" w14:textId="77777777" w:rsidR="00F1752C" w:rsidRPr="00322985" w:rsidRDefault="00F1752C" w:rsidP="00B521CB">
      <w:pPr>
        <w:overflowPunct/>
        <w:spacing w:line="276" w:lineRule="auto"/>
        <w:jc w:val="center"/>
        <w:textAlignment w:val="auto"/>
        <w:rPr>
          <w:b/>
          <w:bCs/>
          <w:sz w:val="24"/>
          <w:szCs w:val="24"/>
        </w:rPr>
      </w:pPr>
    </w:p>
    <w:p w14:paraId="2FCEBB7F" w14:textId="46200CD6" w:rsidR="00276559" w:rsidRPr="00322985" w:rsidRDefault="00F1752C" w:rsidP="00C57127">
      <w:pPr>
        <w:overflowPunct/>
        <w:spacing w:line="276" w:lineRule="auto"/>
        <w:jc w:val="center"/>
        <w:textAlignment w:val="auto"/>
        <w:rPr>
          <w:b/>
          <w:bCs/>
          <w:sz w:val="24"/>
          <w:szCs w:val="24"/>
          <w:lang w:eastAsia="en-GB"/>
        </w:rPr>
      </w:pPr>
      <w:r w:rsidRPr="00322985">
        <w:rPr>
          <w:b/>
          <w:bCs/>
          <w:sz w:val="24"/>
          <w:szCs w:val="24"/>
        </w:rPr>
        <w:t>Ref. No</w:t>
      </w:r>
      <w:r w:rsidR="008B22A2">
        <w:rPr>
          <w:b/>
          <w:bCs/>
          <w:sz w:val="24"/>
          <w:szCs w:val="24"/>
        </w:rPr>
        <w:t>.</w:t>
      </w:r>
      <w:r w:rsidRPr="00322985">
        <w:rPr>
          <w:b/>
          <w:bCs/>
          <w:sz w:val="24"/>
          <w:szCs w:val="24"/>
        </w:rPr>
        <w:t xml:space="preserve">: </w:t>
      </w:r>
      <w:r w:rsidR="00C57127" w:rsidRPr="00060C39">
        <w:rPr>
          <w:b/>
          <w:bCs/>
          <w:sz w:val="24"/>
          <w:szCs w:val="24"/>
        </w:rPr>
        <w:t>IAEA</w:t>
      </w:r>
      <w:r w:rsidR="00920B19" w:rsidRPr="00060C39">
        <w:rPr>
          <w:b/>
          <w:bCs/>
          <w:sz w:val="24"/>
          <w:szCs w:val="24"/>
        </w:rPr>
        <w:t>-CN-231</w:t>
      </w:r>
    </w:p>
    <w:p w14:paraId="26EA7C73" w14:textId="30EA1436" w:rsidR="002944CA" w:rsidRPr="00322985" w:rsidRDefault="002944CA" w:rsidP="00CC6750">
      <w:pPr>
        <w:overflowPunct/>
        <w:spacing w:line="276" w:lineRule="auto"/>
        <w:jc w:val="center"/>
        <w:textAlignment w:val="auto"/>
        <w:rPr>
          <w:color w:val="000000"/>
          <w:sz w:val="28"/>
          <w:szCs w:val="28"/>
          <w:lang w:eastAsia="en-GB"/>
        </w:rPr>
      </w:pPr>
    </w:p>
    <w:p w14:paraId="28FBBDB9" w14:textId="77777777" w:rsidR="00276559" w:rsidRPr="00322985" w:rsidRDefault="00276559" w:rsidP="00B521CB">
      <w:pPr>
        <w:overflowPunct/>
        <w:spacing w:line="276" w:lineRule="auto"/>
        <w:jc w:val="center"/>
        <w:textAlignment w:val="auto"/>
        <w:rPr>
          <w:b/>
          <w:bCs/>
          <w:color w:val="000000"/>
          <w:sz w:val="28"/>
          <w:szCs w:val="28"/>
          <w:lang w:eastAsia="en-GB"/>
        </w:rPr>
      </w:pPr>
    </w:p>
    <w:p w14:paraId="5CAA19BA" w14:textId="397612F2" w:rsidR="00276559" w:rsidRPr="00322985" w:rsidRDefault="00333966" w:rsidP="006D57B9">
      <w:pPr>
        <w:overflowPunct/>
        <w:spacing w:line="276" w:lineRule="auto"/>
        <w:jc w:val="center"/>
        <w:textAlignment w:val="auto"/>
        <w:rPr>
          <w:b/>
          <w:bCs/>
          <w:sz w:val="36"/>
          <w:szCs w:val="36"/>
          <w:lang w:eastAsia="en-GB"/>
        </w:rPr>
      </w:pPr>
      <w:r w:rsidRPr="00322985">
        <w:rPr>
          <w:b/>
          <w:bCs/>
          <w:color w:val="000000"/>
          <w:sz w:val="36"/>
          <w:szCs w:val="36"/>
          <w:lang w:eastAsia="en-GB"/>
        </w:rPr>
        <w:t>Announcement</w:t>
      </w:r>
      <w:r w:rsidR="00B77990" w:rsidRPr="00322985">
        <w:rPr>
          <w:b/>
          <w:bCs/>
          <w:color w:val="000000"/>
          <w:sz w:val="36"/>
          <w:szCs w:val="36"/>
          <w:lang w:eastAsia="en-GB"/>
        </w:rPr>
        <w:t xml:space="preserve"> and Call for Papers</w:t>
      </w:r>
    </w:p>
    <w:p w14:paraId="4BC64AF8" w14:textId="5FE0186A" w:rsidR="00750DF0" w:rsidRDefault="006D57B9" w:rsidP="00BB2B0C">
      <w:pPr>
        <w:pStyle w:val="Heading1"/>
        <w:ind w:left="709" w:hanging="709"/>
      </w:pPr>
      <w:r w:rsidRPr="00322985">
        <w:t>Background</w:t>
      </w:r>
    </w:p>
    <w:p w14:paraId="10EAB0DC" w14:textId="07F297E2" w:rsidR="000C0370" w:rsidRPr="003105DD" w:rsidRDefault="000C0370" w:rsidP="0084477E">
      <w:pPr>
        <w:pStyle w:val="BodyText"/>
        <w:rPr>
          <w:lang w:eastAsia="en-GB"/>
        </w:rPr>
      </w:pPr>
      <w:r w:rsidRPr="003105DD">
        <w:rPr>
          <w:lang w:eastAsia="en-GB"/>
        </w:rPr>
        <w:t xml:space="preserve">The </w:t>
      </w:r>
      <w:r w:rsidR="00FE1A6A">
        <w:rPr>
          <w:lang w:eastAsia="en-GB"/>
        </w:rPr>
        <w:t>International Atomic Energy Agency (</w:t>
      </w:r>
      <w:r w:rsidRPr="003105DD">
        <w:rPr>
          <w:lang w:eastAsia="en-GB"/>
        </w:rPr>
        <w:t>IAEA</w:t>
      </w:r>
      <w:r w:rsidR="00FE1A6A">
        <w:rPr>
          <w:lang w:eastAsia="en-GB"/>
        </w:rPr>
        <w:t>)</w:t>
      </w:r>
      <w:r w:rsidRPr="003105DD">
        <w:rPr>
          <w:lang w:eastAsia="en-GB"/>
        </w:rPr>
        <w:t xml:space="preserve"> has promoted and fostered </w:t>
      </w:r>
      <w:r w:rsidR="00FE1A6A">
        <w:rPr>
          <w:lang w:eastAsia="en-GB"/>
        </w:rPr>
        <w:t xml:space="preserve">the </w:t>
      </w:r>
      <w:r w:rsidRPr="003105DD">
        <w:rPr>
          <w:lang w:eastAsia="en-GB"/>
        </w:rPr>
        <w:t xml:space="preserve">exchange of scientific and technical information on research reactors for many years. An important mechanism for this exchange </w:t>
      </w:r>
      <w:r w:rsidR="00FE1A6A">
        <w:rPr>
          <w:lang w:eastAsia="en-GB"/>
        </w:rPr>
        <w:t>is the organization of</w:t>
      </w:r>
      <w:r w:rsidRPr="003105DD">
        <w:rPr>
          <w:lang w:eastAsia="en-GB"/>
        </w:rPr>
        <w:t xml:space="preserve"> periodic meetings, seminars, symposia and conferences. </w:t>
      </w:r>
      <w:r w:rsidR="0097467F">
        <w:rPr>
          <w:lang w:eastAsia="en-GB"/>
        </w:rPr>
        <w:t xml:space="preserve">Since 2003 </w:t>
      </w:r>
      <w:r w:rsidRPr="003105DD">
        <w:rPr>
          <w:lang w:eastAsia="en-GB"/>
        </w:rPr>
        <w:t xml:space="preserve">the </w:t>
      </w:r>
      <w:r w:rsidR="00FE1A6A">
        <w:rPr>
          <w:lang w:eastAsia="en-GB"/>
        </w:rPr>
        <w:t>IAEA</w:t>
      </w:r>
      <w:r w:rsidR="00FE1A6A" w:rsidRPr="003105DD">
        <w:rPr>
          <w:lang w:eastAsia="en-GB"/>
        </w:rPr>
        <w:t xml:space="preserve"> </w:t>
      </w:r>
      <w:r w:rsidRPr="003105DD">
        <w:rPr>
          <w:lang w:eastAsia="en-GB"/>
        </w:rPr>
        <w:t xml:space="preserve">has </w:t>
      </w:r>
      <w:r w:rsidR="00FE1A6A">
        <w:rPr>
          <w:lang w:eastAsia="en-GB"/>
        </w:rPr>
        <w:t xml:space="preserve">been </w:t>
      </w:r>
      <w:r w:rsidRPr="003105DD">
        <w:rPr>
          <w:lang w:eastAsia="en-GB"/>
        </w:rPr>
        <w:t>organiz</w:t>
      </w:r>
      <w:r w:rsidR="00FE1A6A">
        <w:rPr>
          <w:lang w:eastAsia="en-GB"/>
        </w:rPr>
        <w:t>ing</w:t>
      </w:r>
      <w:r w:rsidRPr="003105DD">
        <w:rPr>
          <w:lang w:eastAsia="en-GB"/>
        </w:rPr>
        <w:t xml:space="preserve"> major international conference</w:t>
      </w:r>
      <w:r w:rsidR="0097467F">
        <w:rPr>
          <w:lang w:eastAsia="en-GB"/>
        </w:rPr>
        <w:t>s</w:t>
      </w:r>
      <w:r w:rsidRPr="003105DD">
        <w:rPr>
          <w:lang w:eastAsia="en-GB"/>
        </w:rPr>
        <w:t xml:space="preserve"> on topics of interest to the research reactor community every four years. The last such </w:t>
      </w:r>
      <w:r w:rsidR="00FE1A6A">
        <w:rPr>
          <w:lang w:eastAsia="en-GB"/>
        </w:rPr>
        <w:t>event</w:t>
      </w:r>
      <w:r w:rsidR="00FE1A6A" w:rsidRPr="003105DD">
        <w:rPr>
          <w:lang w:eastAsia="en-GB"/>
        </w:rPr>
        <w:t xml:space="preserve"> </w:t>
      </w:r>
      <w:r w:rsidRPr="003105DD">
        <w:rPr>
          <w:lang w:eastAsia="en-GB"/>
        </w:rPr>
        <w:t xml:space="preserve">was the International Conference on Research Reactors: Safe Management and Effective Utilization </w:t>
      </w:r>
      <w:r w:rsidR="00FE1A6A">
        <w:rPr>
          <w:lang w:eastAsia="en-GB"/>
        </w:rPr>
        <w:t xml:space="preserve">held </w:t>
      </w:r>
      <w:r w:rsidRPr="003105DD">
        <w:rPr>
          <w:lang w:eastAsia="en-GB"/>
        </w:rPr>
        <w:t>in Rabat, Morocco, in November 2011.</w:t>
      </w:r>
    </w:p>
    <w:p w14:paraId="1F299FA4" w14:textId="19FCA3BA" w:rsidR="000C0370" w:rsidRPr="003105DD" w:rsidRDefault="000C0370" w:rsidP="0084477E">
      <w:pPr>
        <w:pStyle w:val="BodyText"/>
        <w:rPr>
          <w:bCs/>
          <w:lang w:eastAsia="en-GB"/>
        </w:rPr>
      </w:pPr>
      <w:r w:rsidRPr="003105DD">
        <w:rPr>
          <w:lang w:eastAsia="en-GB"/>
        </w:rPr>
        <w:t>A number of significant issues still being faced by the research reactor community are primarily related to operation,</w:t>
      </w:r>
      <w:r>
        <w:rPr>
          <w:lang w:eastAsia="en-GB"/>
        </w:rPr>
        <w:t xml:space="preserve"> maintenance,</w:t>
      </w:r>
      <w:r w:rsidRPr="003105DD">
        <w:rPr>
          <w:lang w:eastAsia="en-GB"/>
        </w:rPr>
        <w:t xml:space="preserve"> utilization</w:t>
      </w:r>
      <w:r>
        <w:rPr>
          <w:lang w:eastAsia="en-GB"/>
        </w:rPr>
        <w:t>,</w:t>
      </w:r>
      <w:r w:rsidRPr="003105DD">
        <w:rPr>
          <w:lang w:eastAsia="en-GB"/>
        </w:rPr>
        <w:t xml:space="preserve"> safety,</w:t>
      </w:r>
      <w:r>
        <w:rPr>
          <w:lang w:eastAsia="en-GB"/>
        </w:rPr>
        <w:t xml:space="preserve"> security,</w:t>
      </w:r>
      <w:r w:rsidRPr="003105DD">
        <w:rPr>
          <w:lang w:eastAsia="en-GB"/>
        </w:rPr>
        <w:t xml:space="preserve"> ageing</w:t>
      </w:r>
      <w:r>
        <w:rPr>
          <w:lang w:eastAsia="en-GB"/>
        </w:rPr>
        <w:t xml:space="preserve"> management</w:t>
      </w:r>
      <w:r w:rsidRPr="003105DD">
        <w:rPr>
          <w:lang w:eastAsia="en-GB"/>
        </w:rPr>
        <w:t>, decommissioning</w:t>
      </w:r>
      <w:r w:rsidR="0084477E">
        <w:rPr>
          <w:lang w:eastAsia="en-GB"/>
        </w:rPr>
        <w:t>, spent fuel</w:t>
      </w:r>
      <w:r w:rsidRPr="003105DD">
        <w:rPr>
          <w:lang w:eastAsia="en-GB"/>
        </w:rPr>
        <w:t xml:space="preserve"> and waste management. More recent challenges </w:t>
      </w:r>
      <w:r w:rsidR="00FE1A6A">
        <w:rPr>
          <w:lang w:eastAsia="en-GB"/>
        </w:rPr>
        <w:t>have</w:t>
      </w:r>
      <w:r>
        <w:rPr>
          <w:lang w:eastAsia="en-GB"/>
        </w:rPr>
        <w:t xml:space="preserve"> to</w:t>
      </w:r>
      <w:r w:rsidR="00FE1A6A">
        <w:rPr>
          <w:lang w:eastAsia="en-GB"/>
        </w:rPr>
        <w:t xml:space="preserve"> do with</w:t>
      </w:r>
      <w:r w:rsidRPr="003105DD">
        <w:rPr>
          <w:lang w:eastAsia="en-GB"/>
        </w:rPr>
        <w:t xml:space="preserve"> initiatives </w:t>
      </w:r>
      <w:r>
        <w:rPr>
          <w:lang w:eastAsia="en-GB"/>
        </w:rPr>
        <w:t>to support</w:t>
      </w:r>
      <w:r w:rsidRPr="003105DD">
        <w:rPr>
          <w:lang w:eastAsia="en-GB"/>
        </w:rPr>
        <w:t xml:space="preserve"> new </w:t>
      </w:r>
      <w:r w:rsidR="00FE1A6A">
        <w:rPr>
          <w:lang w:eastAsia="en-GB"/>
        </w:rPr>
        <w:t>research reactor</w:t>
      </w:r>
      <w:r w:rsidR="00FE1A6A" w:rsidRPr="003105DD">
        <w:rPr>
          <w:lang w:eastAsia="en-GB"/>
        </w:rPr>
        <w:t xml:space="preserve"> </w:t>
      </w:r>
      <w:r>
        <w:rPr>
          <w:lang w:eastAsia="en-GB"/>
        </w:rPr>
        <w:t xml:space="preserve">projects (including national infrastructure development), safety reassessment of facilities </w:t>
      </w:r>
      <w:r w:rsidRPr="00EC35AF">
        <w:rPr>
          <w:lang w:eastAsia="en-GB"/>
        </w:rPr>
        <w:t>following the accident at the Fukushima</w:t>
      </w:r>
      <w:r w:rsidR="00506377">
        <w:rPr>
          <w:lang w:eastAsia="en-GB"/>
        </w:rPr>
        <w:t xml:space="preserve"> </w:t>
      </w:r>
      <w:r w:rsidRPr="00EC35AF">
        <w:rPr>
          <w:lang w:eastAsia="en-GB"/>
        </w:rPr>
        <w:t>Daiichi nuclear power plant</w:t>
      </w:r>
      <w:r w:rsidR="00506377">
        <w:rPr>
          <w:lang w:eastAsia="en-GB"/>
        </w:rPr>
        <w:t xml:space="preserve"> in March 2011,</w:t>
      </w:r>
      <w:r w:rsidRPr="00EC35AF">
        <w:rPr>
          <w:lang w:eastAsia="en-GB"/>
        </w:rPr>
        <w:t xml:space="preserve"> and</w:t>
      </w:r>
      <w:r>
        <w:rPr>
          <w:lang w:eastAsia="en-GB"/>
        </w:rPr>
        <w:t xml:space="preserve"> </w:t>
      </w:r>
      <w:r w:rsidR="0097467F">
        <w:rPr>
          <w:lang w:eastAsia="en-GB"/>
        </w:rPr>
        <w:t xml:space="preserve">fresh </w:t>
      </w:r>
      <w:r>
        <w:rPr>
          <w:lang w:eastAsia="en-GB"/>
        </w:rPr>
        <w:t>fuel supply. Additional challenges</w:t>
      </w:r>
      <w:r w:rsidR="00506377">
        <w:rPr>
          <w:lang w:eastAsia="en-GB"/>
        </w:rPr>
        <w:t>,</w:t>
      </w:r>
      <w:r>
        <w:rPr>
          <w:lang w:eastAsia="en-GB"/>
        </w:rPr>
        <w:t xml:space="preserve"> such as </w:t>
      </w:r>
      <w:r w:rsidRPr="003105DD">
        <w:rPr>
          <w:lang w:eastAsia="en-GB"/>
        </w:rPr>
        <w:t xml:space="preserve">securing isotope production, </w:t>
      </w:r>
      <w:r w:rsidRPr="00EC35AF">
        <w:rPr>
          <w:lang w:eastAsia="en-GB"/>
        </w:rPr>
        <w:t>competence management</w:t>
      </w:r>
      <w:r>
        <w:rPr>
          <w:lang w:eastAsia="en-GB"/>
        </w:rPr>
        <w:t xml:space="preserve"> and succession planning, strategic planning</w:t>
      </w:r>
      <w:r w:rsidRPr="003105DD">
        <w:rPr>
          <w:lang w:eastAsia="en-GB"/>
        </w:rPr>
        <w:t xml:space="preserve"> and </w:t>
      </w:r>
      <w:r w:rsidR="00506377">
        <w:rPr>
          <w:lang w:eastAsia="en-GB"/>
        </w:rPr>
        <w:t xml:space="preserve">the </w:t>
      </w:r>
      <w:r w:rsidRPr="003105DD">
        <w:rPr>
          <w:lang w:eastAsia="en-GB"/>
        </w:rPr>
        <w:t xml:space="preserve">sustainability of </w:t>
      </w:r>
      <w:r w:rsidR="00506377">
        <w:rPr>
          <w:lang w:eastAsia="en-GB"/>
        </w:rPr>
        <w:t>research reactor</w:t>
      </w:r>
      <w:r w:rsidR="00506377" w:rsidRPr="003105DD">
        <w:rPr>
          <w:lang w:eastAsia="en-GB"/>
        </w:rPr>
        <w:t xml:space="preserve"> </w:t>
      </w:r>
      <w:r w:rsidRPr="003105DD">
        <w:rPr>
          <w:lang w:eastAsia="en-GB"/>
        </w:rPr>
        <w:t>programmes</w:t>
      </w:r>
      <w:r w:rsidR="00506377">
        <w:rPr>
          <w:lang w:eastAsia="en-GB"/>
        </w:rPr>
        <w:t>,</w:t>
      </w:r>
      <w:r w:rsidRPr="003105DD">
        <w:rPr>
          <w:lang w:eastAsia="en-GB"/>
        </w:rPr>
        <w:t xml:space="preserve"> are </w:t>
      </w:r>
      <w:r>
        <w:rPr>
          <w:lang w:eastAsia="en-GB"/>
        </w:rPr>
        <w:t xml:space="preserve">also </w:t>
      </w:r>
      <w:r w:rsidRPr="003105DD">
        <w:rPr>
          <w:lang w:eastAsia="en-GB"/>
        </w:rPr>
        <w:lastRenderedPageBreak/>
        <w:t xml:space="preserve">receiving greater attention. In view of the </w:t>
      </w:r>
      <w:r>
        <w:rPr>
          <w:lang w:eastAsia="en-GB"/>
        </w:rPr>
        <w:t xml:space="preserve">above, </w:t>
      </w:r>
      <w:r w:rsidR="00506377">
        <w:rPr>
          <w:lang w:eastAsia="en-GB"/>
        </w:rPr>
        <w:t>a new</w:t>
      </w:r>
      <w:r>
        <w:rPr>
          <w:lang w:eastAsia="en-GB"/>
        </w:rPr>
        <w:t xml:space="preserve"> international conference</w:t>
      </w:r>
      <w:r w:rsidRPr="003105DD">
        <w:rPr>
          <w:lang w:eastAsia="en-GB"/>
        </w:rPr>
        <w:t xml:space="preserve"> </w:t>
      </w:r>
      <w:r w:rsidR="00506377">
        <w:rPr>
          <w:lang w:eastAsia="en-GB"/>
        </w:rPr>
        <w:t xml:space="preserve">is being convened in 2015 </w:t>
      </w:r>
      <w:r w:rsidRPr="003105DD">
        <w:rPr>
          <w:lang w:eastAsia="en-GB"/>
        </w:rPr>
        <w:t>to discuss the</w:t>
      </w:r>
      <w:r>
        <w:rPr>
          <w:lang w:eastAsia="en-GB"/>
        </w:rPr>
        <w:t>se</w:t>
      </w:r>
      <w:r w:rsidRPr="003105DD">
        <w:rPr>
          <w:lang w:eastAsia="en-GB"/>
        </w:rPr>
        <w:t xml:space="preserve"> issues, report </w:t>
      </w:r>
      <w:r w:rsidR="00506377">
        <w:rPr>
          <w:lang w:eastAsia="en-GB"/>
        </w:rPr>
        <w:t xml:space="preserve">on relevant </w:t>
      </w:r>
      <w:r w:rsidRPr="003105DD">
        <w:rPr>
          <w:lang w:eastAsia="en-GB"/>
        </w:rPr>
        <w:t>progress and plans, exchange information</w:t>
      </w:r>
      <w:r w:rsidR="00506377">
        <w:rPr>
          <w:lang w:eastAsia="en-GB"/>
        </w:rPr>
        <w:t>,</w:t>
      </w:r>
      <w:r w:rsidRPr="003105DD">
        <w:rPr>
          <w:lang w:eastAsia="en-GB"/>
        </w:rPr>
        <w:t xml:space="preserve"> and foster cooperation among the research reactor community.</w:t>
      </w:r>
    </w:p>
    <w:p w14:paraId="2CE593FE" w14:textId="5A88545D" w:rsidR="00362111" w:rsidRDefault="00750DF0" w:rsidP="00BB2B0C">
      <w:pPr>
        <w:pStyle w:val="Heading1"/>
        <w:ind w:left="709" w:hanging="709"/>
      </w:pPr>
      <w:r w:rsidRPr="00322985">
        <w:t>Objectives</w:t>
      </w:r>
    </w:p>
    <w:p w14:paraId="56B56468" w14:textId="56993FA3" w:rsidR="000C0370" w:rsidRPr="000C0370" w:rsidRDefault="000C0370" w:rsidP="00C57127">
      <w:pPr>
        <w:pStyle w:val="BodyText"/>
        <w:rPr>
          <w:lang w:eastAsia="en-GB"/>
        </w:rPr>
      </w:pPr>
      <w:r w:rsidRPr="00C446DE">
        <w:rPr>
          <w:lang w:eastAsia="en-GB"/>
        </w:rPr>
        <w:t xml:space="preserve">The </w:t>
      </w:r>
      <w:r w:rsidR="00C57127">
        <w:rPr>
          <w:lang w:eastAsia="en-GB"/>
        </w:rPr>
        <w:t>purpose</w:t>
      </w:r>
      <w:r w:rsidR="00C57127" w:rsidRPr="00C446DE">
        <w:rPr>
          <w:lang w:eastAsia="en-GB"/>
        </w:rPr>
        <w:t xml:space="preserve"> </w:t>
      </w:r>
      <w:r w:rsidRPr="00C446DE">
        <w:rPr>
          <w:lang w:eastAsia="en-GB"/>
        </w:rPr>
        <w:t xml:space="preserve">of this conference is to foster </w:t>
      </w:r>
      <w:r w:rsidR="00506377">
        <w:rPr>
          <w:lang w:eastAsia="en-GB"/>
        </w:rPr>
        <w:t xml:space="preserve">the </w:t>
      </w:r>
      <w:r w:rsidRPr="00C446DE">
        <w:rPr>
          <w:lang w:eastAsia="en-GB"/>
        </w:rPr>
        <w:t xml:space="preserve">exchange of information on operating and planned </w:t>
      </w:r>
      <w:r w:rsidR="00506377">
        <w:rPr>
          <w:lang w:eastAsia="en-GB"/>
        </w:rPr>
        <w:t>research reactor</w:t>
      </w:r>
      <w:r w:rsidR="00506377" w:rsidRPr="00C446DE">
        <w:rPr>
          <w:lang w:eastAsia="en-GB"/>
        </w:rPr>
        <w:t xml:space="preserve">s </w:t>
      </w:r>
      <w:r w:rsidRPr="00C446DE">
        <w:rPr>
          <w:lang w:eastAsia="en-GB"/>
        </w:rPr>
        <w:t xml:space="preserve">and to provide a forum </w:t>
      </w:r>
      <w:r w:rsidR="00506377">
        <w:rPr>
          <w:lang w:eastAsia="en-GB"/>
        </w:rPr>
        <w:t>at which</w:t>
      </w:r>
      <w:r w:rsidR="00506377" w:rsidRPr="00C446DE">
        <w:rPr>
          <w:lang w:eastAsia="en-GB"/>
        </w:rPr>
        <w:t xml:space="preserve"> </w:t>
      </w:r>
      <w:r w:rsidRPr="00C446DE">
        <w:rPr>
          <w:lang w:eastAsia="en-GB"/>
        </w:rPr>
        <w:t>reactor operators, managers, users</w:t>
      </w:r>
      <w:r>
        <w:rPr>
          <w:lang w:eastAsia="en-GB"/>
        </w:rPr>
        <w:t xml:space="preserve">, </w:t>
      </w:r>
      <w:r w:rsidRPr="00C446DE">
        <w:rPr>
          <w:lang w:eastAsia="en-GB"/>
        </w:rPr>
        <w:t xml:space="preserve">regulators, designers and suppliers </w:t>
      </w:r>
      <w:r w:rsidR="00506377">
        <w:rPr>
          <w:lang w:eastAsia="en-GB"/>
        </w:rPr>
        <w:t>can</w:t>
      </w:r>
      <w:r w:rsidR="00506377" w:rsidRPr="00C446DE">
        <w:rPr>
          <w:lang w:eastAsia="en-GB"/>
        </w:rPr>
        <w:t xml:space="preserve"> </w:t>
      </w:r>
      <w:r w:rsidRPr="00C446DE">
        <w:rPr>
          <w:lang w:eastAsia="en-GB"/>
        </w:rPr>
        <w:t>share experience and lessons</w:t>
      </w:r>
      <w:r w:rsidR="00506377">
        <w:rPr>
          <w:lang w:eastAsia="en-GB"/>
        </w:rPr>
        <w:t xml:space="preserve"> learned</w:t>
      </w:r>
      <w:r w:rsidRPr="00C446DE">
        <w:rPr>
          <w:lang w:eastAsia="en-GB"/>
        </w:rPr>
        <w:t xml:space="preserve">, </w:t>
      </w:r>
      <w:r w:rsidR="00506377">
        <w:rPr>
          <w:lang w:eastAsia="en-GB"/>
        </w:rPr>
        <w:t xml:space="preserve">as well as </w:t>
      </w:r>
      <w:r w:rsidRPr="00C446DE">
        <w:rPr>
          <w:lang w:eastAsia="en-GB"/>
        </w:rPr>
        <w:t>address common issues, challenges, and strategies.</w:t>
      </w:r>
    </w:p>
    <w:p w14:paraId="23619D22" w14:textId="45E87169" w:rsidR="00322985" w:rsidRDefault="008F1F84" w:rsidP="00BB2B0C">
      <w:pPr>
        <w:pStyle w:val="Heading1"/>
        <w:ind w:left="709" w:hanging="709"/>
      </w:pPr>
      <w:bookmarkStart w:id="1" w:name="_Ref393205873"/>
      <w:r>
        <w:t>List of</w:t>
      </w:r>
      <w:r w:rsidR="00322985" w:rsidRPr="006B59F8">
        <w:t xml:space="preserve"> Topics</w:t>
      </w:r>
      <w:bookmarkEnd w:id="1"/>
    </w:p>
    <w:p w14:paraId="6B714C1D" w14:textId="06959840" w:rsidR="000C0370" w:rsidRPr="00C446DE" w:rsidRDefault="000C0370" w:rsidP="0084477E">
      <w:pPr>
        <w:pStyle w:val="BodyText"/>
        <w:rPr>
          <w:lang w:eastAsia="en-GB"/>
        </w:rPr>
      </w:pPr>
      <w:r w:rsidRPr="00C446DE">
        <w:rPr>
          <w:lang w:eastAsia="en-GB"/>
        </w:rPr>
        <w:t xml:space="preserve">The conference will have a number of technical sessions dealing with specific topical areas. Sessions are expected to include papers </w:t>
      </w:r>
      <w:r w:rsidR="00506377">
        <w:rPr>
          <w:lang w:eastAsia="en-GB"/>
        </w:rPr>
        <w:t>by</w:t>
      </w:r>
      <w:r w:rsidR="00506377" w:rsidRPr="00C446DE">
        <w:rPr>
          <w:lang w:eastAsia="en-GB"/>
        </w:rPr>
        <w:t xml:space="preserve"> </w:t>
      </w:r>
      <w:r w:rsidRPr="00C446DE">
        <w:rPr>
          <w:lang w:eastAsia="en-GB"/>
        </w:rPr>
        <w:t>invited speakers as well as contributions by participants. While most papers will focus on one of the principal areas below, authors are encouraged to consider integration with the other areas as appropriate.</w:t>
      </w:r>
    </w:p>
    <w:p w14:paraId="7481F722" w14:textId="77777777" w:rsidR="000C0370" w:rsidRPr="0084477E" w:rsidRDefault="000C0370" w:rsidP="0084477E">
      <w:pPr>
        <w:pStyle w:val="BodyText"/>
        <w:rPr>
          <w:szCs w:val="22"/>
          <w:lang w:eastAsia="en-GB"/>
        </w:rPr>
      </w:pPr>
      <w:r w:rsidRPr="00EF150D">
        <w:rPr>
          <w:szCs w:val="22"/>
          <w:lang w:eastAsia="en-GB"/>
        </w:rPr>
        <w:t>The topical areas are grouped below under se</w:t>
      </w:r>
      <w:r w:rsidRPr="0084477E">
        <w:rPr>
          <w:szCs w:val="22"/>
          <w:lang w:eastAsia="en-GB"/>
        </w:rPr>
        <w:t>ven major headings:</w:t>
      </w:r>
    </w:p>
    <w:p w14:paraId="54605AB7" w14:textId="51098364" w:rsidR="000C0370" w:rsidRPr="0084477E" w:rsidRDefault="00C965AF" w:rsidP="0084477E">
      <w:pPr>
        <w:pStyle w:val="ListParagraph"/>
        <w:keepNext/>
        <w:spacing w:before="360" w:after="170" w:line="280" w:lineRule="atLeast"/>
        <w:ind w:left="0"/>
        <w:contextualSpacing w:val="0"/>
        <w:jc w:val="both"/>
        <w:rPr>
          <w:b/>
          <w:color w:val="000000"/>
          <w:szCs w:val="22"/>
        </w:rPr>
      </w:pPr>
      <w:r w:rsidRPr="0084477E">
        <w:rPr>
          <w:b/>
          <w:color w:val="000000"/>
          <w:szCs w:val="22"/>
        </w:rPr>
        <w:t xml:space="preserve">1. </w:t>
      </w:r>
      <w:r w:rsidR="000C0370" w:rsidRPr="0084477E">
        <w:rPr>
          <w:b/>
          <w:color w:val="000000"/>
          <w:szCs w:val="22"/>
        </w:rPr>
        <w:t>Utilization and Applications of R</w:t>
      </w:r>
      <w:r w:rsidR="00506377" w:rsidRPr="00421F1A">
        <w:rPr>
          <w:b/>
          <w:color w:val="000000"/>
          <w:szCs w:val="22"/>
        </w:rPr>
        <w:t xml:space="preserve">esearch </w:t>
      </w:r>
      <w:r w:rsidR="000C0370" w:rsidRPr="0084477E">
        <w:rPr>
          <w:b/>
          <w:color w:val="000000"/>
          <w:szCs w:val="22"/>
        </w:rPr>
        <w:t>R</w:t>
      </w:r>
      <w:r w:rsidR="00506377" w:rsidRPr="00421F1A">
        <w:rPr>
          <w:b/>
          <w:color w:val="000000"/>
          <w:szCs w:val="22"/>
        </w:rPr>
        <w:t>eactor</w:t>
      </w:r>
      <w:r w:rsidR="000C0370" w:rsidRPr="0084477E">
        <w:rPr>
          <w:b/>
          <w:color w:val="000000"/>
          <w:szCs w:val="22"/>
        </w:rPr>
        <w:t>s</w:t>
      </w:r>
    </w:p>
    <w:p w14:paraId="0F84FB8B" w14:textId="77777777" w:rsidR="000C0370" w:rsidRPr="0084477E" w:rsidRDefault="000C0370" w:rsidP="00421F1A">
      <w:pPr>
        <w:numPr>
          <w:ilvl w:val="0"/>
          <w:numId w:val="40"/>
        </w:numPr>
        <w:overflowPunct/>
        <w:autoSpaceDE/>
        <w:autoSpaceDN/>
        <w:adjustRightInd/>
        <w:spacing w:after="170" w:line="280" w:lineRule="atLeast"/>
        <w:jc w:val="both"/>
        <w:textAlignment w:val="auto"/>
        <w:rPr>
          <w:color w:val="000000"/>
          <w:szCs w:val="22"/>
        </w:rPr>
      </w:pPr>
      <w:r w:rsidRPr="00EF150D">
        <w:rPr>
          <w:color w:val="000000"/>
          <w:szCs w:val="22"/>
        </w:rPr>
        <w:t>Advances and challenges in:</w:t>
      </w:r>
    </w:p>
    <w:p w14:paraId="7BB2CDE6" w14:textId="75026526" w:rsidR="000C0370" w:rsidRPr="0084477E" w:rsidRDefault="000C0370" w:rsidP="0084477E">
      <w:pPr>
        <w:numPr>
          <w:ilvl w:val="0"/>
          <w:numId w:val="41"/>
        </w:numPr>
        <w:spacing w:after="170" w:line="280" w:lineRule="atLeast"/>
        <w:jc w:val="both"/>
        <w:rPr>
          <w:color w:val="000000"/>
          <w:szCs w:val="22"/>
        </w:rPr>
      </w:pPr>
      <w:r w:rsidRPr="0084477E">
        <w:rPr>
          <w:color w:val="000000"/>
          <w:szCs w:val="22"/>
        </w:rPr>
        <w:t>Production of radioisotopes</w:t>
      </w:r>
    </w:p>
    <w:p w14:paraId="1591D88F" w14:textId="62C9BDDC" w:rsidR="000C0370" w:rsidRPr="0084477E" w:rsidRDefault="0097467F" w:rsidP="0084477E">
      <w:pPr>
        <w:numPr>
          <w:ilvl w:val="0"/>
          <w:numId w:val="41"/>
        </w:numPr>
        <w:spacing w:after="170" w:line="280" w:lineRule="atLeast"/>
        <w:jc w:val="both"/>
        <w:rPr>
          <w:color w:val="000000"/>
          <w:szCs w:val="22"/>
        </w:rPr>
      </w:pPr>
      <w:r>
        <w:rPr>
          <w:color w:val="000000"/>
          <w:szCs w:val="22"/>
        </w:rPr>
        <w:t>Research with n</w:t>
      </w:r>
      <w:r w:rsidR="000C0370" w:rsidRPr="0084477E">
        <w:rPr>
          <w:color w:val="000000"/>
          <w:szCs w:val="22"/>
        </w:rPr>
        <w:t>eutron beam</w:t>
      </w:r>
      <w:r>
        <w:rPr>
          <w:color w:val="000000"/>
          <w:szCs w:val="22"/>
        </w:rPr>
        <w:t>s</w:t>
      </w:r>
    </w:p>
    <w:p w14:paraId="172D9DEC" w14:textId="77777777" w:rsidR="000C0370" w:rsidRPr="0084477E" w:rsidRDefault="000C0370" w:rsidP="0084477E">
      <w:pPr>
        <w:numPr>
          <w:ilvl w:val="0"/>
          <w:numId w:val="41"/>
        </w:numPr>
        <w:spacing w:after="170" w:line="280" w:lineRule="atLeast"/>
        <w:jc w:val="both"/>
        <w:rPr>
          <w:color w:val="000000"/>
          <w:szCs w:val="22"/>
        </w:rPr>
      </w:pPr>
      <w:r w:rsidRPr="0084477E">
        <w:rPr>
          <w:color w:val="000000"/>
          <w:szCs w:val="22"/>
        </w:rPr>
        <w:t>Neutron imaging</w:t>
      </w:r>
    </w:p>
    <w:p w14:paraId="4C103482" w14:textId="77777777" w:rsidR="000C0370" w:rsidRPr="0084477E" w:rsidRDefault="000C0370" w:rsidP="0084477E">
      <w:pPr>
        <w:numPr>
          <w:ilvl w:val="0"/>
          <w:numId w:val="41"/>
        </w:numPr>
        <w:spacing w:after="170" w:line="280" w:lineRule="atLeast"/>
        <w:jc w:val="both"/>
        <w:rPr>
          <w:color w:val="000000"/>
          <w:szCs w:val="22"/>
        </w:rPr>
      </w:pPr>
      <w:r w:rsidRPr="0084477E">
        <w:rPr>
          <w:color w:val="000000"/>
          <w:szCs w:val="22"/>
        </w:rPr>
        <w:t>Irradiation services and products</w:t>
      </w:r>
    </w:p>
    <w:p w14:paraId="24BB4DE6" w14:textId="1EA38B35" w:rsidR="000C0370" w:rsidRPr="0084477E" w:rsidRDefault="000C0370" w:rsidP="0084477E">
      <w:pPr>
        <w:numPr>
          <w:ilvl w:val="0"/>
          <w:numId w:val="41"/>
        </w:numPr>
        <w:spacing w:after="170" w:line="280" w:lineRule="atLeast"/>
        <w:jc w:val="both"/>
        <w:rPr>
          <w:color w:val="000000"/>
          <w:szCs w:val="22"/>
        </w:rPr>
      </w:pPr>
      <w:r w:rsidRPr="0084477E">
        <w:rPr>
          <w:color w:val="000000"/>
          <w:szCs w:val="22"/>
        </w:rPr>
        <w:t xml:space="preserve">Neutron </w:t>
      </w:r>
      <w:r w:rsidR="007D5941">
        <w:rPr>
          <w:color w:val="000000"/>
          <w:szCs w:val="22"/>
        </w:rPr>
        <w:t>a</w:t>
      </w:r>
      <w:r w:rsidRPr="00EF150D">
        <w:rPr>
          <w:color w:val="000000"/>
          <w:szCs w:val="22"/>
        </w:rPr>
        <w:t xml:space="preserve">ctivation </w:t>
      </w:r>
      <w:r w:rsidR="007D5941">
        <w:rPr>
          <w:color w:val="000000"/>
          <w:szCs w:val="22"/>
        </w:rPr>
        <w:t>a</w:t>
      </w:r>
      <w:r w:rsidRPr="00EF150D">
        <w:rPr>
          <w:color w:val="000000"/>
          <w:szCs w:val="22"/>
        </w:rPr>
        <w:t>nalysis</w:t>
      </w:r>
    </w:p>
    <w:p w14:paraId="40A82EE5" w14:textId="77777777" w:rsidR="000C0370" w:rsidRPr="0084477E" w:rsidRDefault="000C0370" w:rsidP="0084477E">
      <w:pPr>
        <w:numPr>
          <w:ilvl w:val="0"/>
          <w:numId w:val="41"/>
        </w:numPr>
        <w:spacing w:after="170" w:line="280" w:lineRule="atLeast"/>
        <w:jc w:val="both"/>
        <w:rPr>
          <w:color w:val="000000"/>
          <w:szCs w:val="22"/>
        </w:rPr>
      </w:pPr>
      <w:r w:rsidRPr="0084477E">
        <w:rPr>
          <w:szCs w:val="22"/>
        </w:rPr>
        <w:t>Material and fuel testing</w:t>
      </w:r>
    </w:p>
    <w:p w14:paraId="0F1BE5D4" w14:textId="77777777" w:rsidR="000C0370" w:rsidRPr="0084477E" w:rsidRDefault="000C0370" w:rsidP="0084477E">
      <w:pPr>
        <w:pStyle w:val="Index1"/>
        <w:numPr>
          <w:ilvl w:val="0"/>
          <w:numId w:val="41"/>
        </w:numPr>
        <w:spacing w:after="170" w:line="280" w:lineRule="atLeast"/>
        <w:rPr>
          <w:sz w:val="22"/>
          <w:szCs w:val="22"/>
        </w:rPr>
      </w:pPr>
      <w:r w:rsidRPr="0084477E">
        <w:rPr>
          <w:sz w:val="22"/>
          <w:szCs w:val="22"/>
        </w:rPr>
        <w:t>Other applications</w:t>
      </w:r>
    </w:p>
    <w:p w14:paraId="3C4CB94D" w14:textId="03202ADA" w:rsidR="000C0370" w:rsidRPr="0084477E" w:rsidRDefault="000C0370" w:rsidP="0084477E">
      <w:pPr>
        <w:numPr>
          <w:ilvl w:val="0"/>
          <w:numId w:val="40"/>
        </w:numPr>
        <w:overflowPunct/>
        <w:autoSpaceDE/>
        <w:autoSpaceDN/>
        <w:adjustRightInd/>
        <w:spacing w:after="170" w:line="280" w:lineRule="atLeast"/>
        <w:jc w:val="both"/>
        <w:textAlignment w:val="auto"/>
        <w:rPr>
          <w:color w:val="000000"/>
          <w:szCs w:val="22"/>
        </w:rPr>
      </w:pPr>
      <w:r w:rsidRPr="00EF150D">
        <w:rPr>
          <w:color w:val="000000"/>
          <w:szCs w:val="22"/>
        </w:rPr>
        <w:t>Utilization programmes for critical and sub</w:t>
      </w:r>
      <w:r w:rsidRPr="0084477E">
        <w:rPr>
          <w:color w:val="000000"/>
          <w:szCs w:val="22"/>
        </w:rPr>
        <w:t>critical facilities</w:t>
      </w:r>
    </w:p>
    <w:p w14:paraId="666D9D28" w14:textId="0418A253" w:rsidR="000C0370" w:rsidRPr="0084477E" w:rsidRDefault="000C0370" w:rsidP="0084477E">
      <w:pPr>
        <w:numPr>
          <w:ilvl w:val="0"/>
          <w:numId w:val="40"/>
        </w:numPr>
        <w:overflowPunct/>
        <w:autoSpaceDE/>
        <w:autoSpaceDN/>
        <w:adjustRightInd/>
        <w:spacing w:after="170" w:line="280" w:lineRule="atLeast"/>
        <w:jc w:val="both"/>
        <w:textAlignment w:val="auto"/>
        <w:rPr>
          <w:color w:val="000000"/>
          <w:szCs w:val="22"/>
        </w:rPr>
      </w:pPr>
      <w:r w:rsidRPr="0084477E">
        <w:rPr>
          <w:color w:val="000000"/>
          <w:szCs w:val="22"/>
        </w:rPr>
        <w:t xml:space="preserve">Education and </w:t>
      </w:r>
      <w:r w:rsidR="007D5941">
        <w:rPr>
          <w:color w:val="000000"/>
          <w:szCs w:val="22"/>
        </w:rPr>
        <w:t>t</w:t>
      </w:r>
      <w:r w:rsidRPr="00EF150D">
        <w:rPr>
          <w:color w:val="000000"/>
          <w:szCs w:val="22"/>
        </w:rPr>
        <w:t>raining programmes, including e-learning</w:t>
      </w:r>
    </w:p>
    <w:p w14:paraId="1632EDBC" w14:textId="77777777" w:rsidR="000C0370" w:rsidRPr="0084477E" w:rsidRDefault="000C0370" w:rsidP="0084477E">
      <w:pPr>
        <w:numPr>
          <w:ilvl w:val="0"/>
          <w:numId w:val="40"/>
        </w:numPr>
        <w:overflowPunct/>
        <w:autoSpaceDE/>
        <w:autoSpaceDN/>
        <w:adjustRightInd/>
        <w:spacing w:after="170" w:line="280" w:lineRule="atLeast"/>
        <w:jc w:val="both"/>
        <w:textAlignment w:val="auto"/>
        <w:rPr>
          <w:color w:val="000000"/>
          <w:szCs w:val="22"/>
        </w:rPr>
      </w:pPr>
      <w:r w:rsidRPr="0084477E">
        <w:rPr>
          <w:color w:val="000000"/>
          <w:szCs w:val="22"/>
        </w:rPr>
        <w:t>Strategies for enhanced utilization and sustainability, including networking, coalitions, and regional and international cooperation</w:t>
      </w:r>
    </w:p>
    <w:p w14:paraId="3AD715D8" w14:textId="32244BE1" w:rsidR="000C0370" w:rsidRPr="0084477E" w:rsidRDefault="000C0370" w:rsidP="0084477E">
      <w:pPr>
        <w:numPr>
          <w:ilvl w:val="0"/>
          <w:numId w:val="40"/>
        </w:numPr>
        <w:overflowPunct/>
        <w:autoSpaceDE/>
        <w:autoSpaceDN/>
        <w:adjustRightInd/>
        <w:spacing w:after="170" w:line="280" w:lineRule="atLeast"/>
        <w:jc w:val="both"/>
        <w:textAlignment w:val="auto"/>
        <w:rPr>
          <w:color w:val="000000"/>
          <w:szCs w:val="22"/>
        </w:rPr>
      </w:pPr>
      <w:r w:rsidRPr="0084477E">
        <w:rPr>
          <w:color w:val="000000"/>
          <w:szCs w:val="22"/>
        </w:rPr>
        <w:lastRenderedPageBreak/>
        <w:t xml:space="preserve">Role of research reactors in </w:t>
      </w:r>
      <w:r w:rsidR="007D5941">
        <w:rPr>
          <w:color w:val="000000"/>
          <w:szCs w:val="22"/>
        </w:rPr>
        <w:t xml:space="preserve">the </w:t>
      </w:r>
      <w:r w:rsidRPr="00EF150D">
        <w:rPr>
          <w:color w:val="000000"/>
          <w:szCs w:val="22"/>
        </w:rPr>
        <w:t>development of nuclear science and technology programmes, including nuclear power programmes</w:t>
      </w:r>
    </w:p>
    <w:p w14:paraId="5ABA8BE9" w14:textId="35F33D27" w:rsidR="000C0370" w:rsidRPr="0084477E" w:rsidRDefault="00C965AF" w:rsidP="0084477E">
      <w:pPr>
        <w:pStyle w:val="ListParagraph"/>
        <w:keepNext/>
        <w:spacing w:before="360" w:after="170" w:line="280" w:lineRule="atLeast"/>
        <w:ind w:left="0"/>
        <w:contextualSpacing w:val="0"/>
        <w:jc w:val="both"/>
        <w:rPr>
          <w:b/>
          <w:color w:val="000000"/>
          <w:szCs w:val="22"/>
        </w:rPr>
      </w:pPr>
      <w:r>
        <w:rPr>
          <w:b/>
          <w:color w:val="000000"/>
          <w:szCs w:val="22"/>
        </w:rPr>
        <w:t xml:space="preserve">2. </w:t>
      </w:r>
      <w:r w:rsidR="000C0370" w:rsidRPr="0084477E">
        <w:rPr>
          <w:b/>
          <w:color w:val="000000"/>
          <w:szCs w:val="22"/>
        </w:rPr>
        <w:t>R</w:t>
      </w:r>
      <w:r w:rsidR="00100998">
        <w:rPr>
          <w:b/>
          <w:color w:val="000000"/>
          <w:szCs w:val="22"/>
        </w:rPr>
        <w:t xml:space="preserve">esearch </w:t>
      </w:r>
      <w:r w:rsidR="000C0370" w:rsidRPr="0084477E">
        <w:rPr>
          <w:b/>
          <w:color w:val="000000"/>
          <w:szCs w:val="22"/>
        </w:rPr>
        <w:t>R</w:t>
      </w:r>
      <w:r w:rsidR="00100998">
        <w:rPr>
          <w:b/>
          <w:color w:val="000000"/>
          <w:szCs w:val="22"/>
        </w:rPr>
        <w:t>eactor</w:t>
      </w:r>
      <w:r w:rsidR="000C0370" w:rsidRPr="0084477E">
        <w:rPr>
          <w:b/>
          <w:color w:val="000000"/>
          <w:szCs w:val="22"/>
        </w:rPr>
        <w:t xml:space="preserve"> Operation and Maintenance</w:t>
      </w:r>
    </w:p>
    <w:p w14:paraId="41965624" w14:textId="77777777" w:rsidR="000C0370" w:rsidRPr="0084477E" w:rsidRDefault="000C0370" w:rsidP="0084477E">
      <w:pPr>
        <w:numPr>
          <w:ilvl w:val="0"/>
          <w:numId w:val="37"/>
        </w:numPr>
        <w:overflowPunct/>
        <w:autoSpaceDE/>
        <w:autoSpaceDN/>
        <w:adjustRightInd/>
        <w:spacing w:after="170" w:line="280" w:lineRule="atLeast"/>
        <w:jc w:val="both"/>
        <w:textAlignment w:val="auto"/>
        <w:rPr>
          <w:color w:val="000000"/>
          <w:szCs w:val="22"/>
        </w:rPr>
      </w:pPr>
      <w:r w:rsidRPr="00EF150D">
        <w:rPr>
          <w:color w:val="000000"/>
          <w:szCs w:val="22"/>
        </w:rPr>
        <w:t>Operating experience and lessons learned</w:t>
      </w:r>
    </w:p>
    <w:p w14:paraId="3F737D84" w14:textId="2A0E2FFD" w:rsidR="000C0370" w:rsidRPr="0084477E" w:rsidRDefault="000C0370" w:rsidP="0084477E">
      <w:pPr>
        <w:numPr>
          <w:ilvl w:val="0"/>
          <w:numId w:val="37"/>
        </w:numPr>
        <w:overflowPunct/>
        <w:autoSpaceDE/>
        <w:autoSpaceDN/>
        <w:adjustRightInd/>
        <w:spacing w:after="170" w:line="280" w:lineRule="atLeast"/>
        <w:jc w:val="both"/>
        <w:textAlignment w:val="auto"/>
        <w:rPr>
          <w:color w:val="000000"/>
          <w:szCs w:val="22"/>
        </w:rPr>
      </w:pPr>
      <w:r w:rsidRPr="0084477E">
        <w:rPr>
          <w:color w:val="000000"/>
          <w:szCs w:val="22"/>
        </w:rPr>
        <w:t xml:space="preserve">Ageing management, maintenance and recent </w:t>
      </w:r>
      <w:r w:rsidR="00976995" w:rsidRPr="00655878">
        <w:rPr>
          <w:color w:val="000000"/>
          <w:szCs w:val="22"/>
        </w:rPr>
        <w:t>major repair/refurbishment and upgrade</w:t>
      </w:r>
      <w:r w:rsidR="00976995">
        <w:rPr>
          <w:color w:val="000000"/>
          <w:szCs w:val="22"/>
        </w:rPr>
        <w:t xml:space="preserve"> </w:t>
      </w:r>
      <w:r w:rsidRPr="00EF150D">
        <w:rPr>
          <w:color w:val="000000"/>
          <w:szCs w:val="22"/>
        </w:rPr>
        <w:t>projects</w:t>
      </w:r>
    </w:p>
    <w:p w14:paraId="4CA31402" w14:textId="7D53B5A1" w:rsidR="000C0370" w:rsidRPr="0084477E" w:rsidRDefault="000C0370" w:rsidP="0084477E">
      <w:pPr>
        <w:numPr>
          <w:ilvl w:val="0"/>
          <w:numId w:val="37"/>
        </w:numPr>
        <w:overflowPunct/>
        <w:autoSpaceDE/>
        <w:autoSpaceDN/>
        <w:adjustRightInd/>
        <w:spacing w:after="170" w:line="280" w:lineRule="atLeast"/>
        <w:jc w:val="both"/>
        <w:textAlignment w:val="auto"/>
        <w:rPr>
          <w:color w:val="000000"/>
          <w:szCs w:val="22"/>
        </w:rPr>
      </w:pPr>
      <w:r w:rsidRPr="0084477E">
        <w:rPr>
          <w:color w:val="000000"/>
          <w:szCs w:val="22"/>
        </w:rPr>
        <w:t>Fuel management experience, related issues and lessons learned</w:t>
      </w:r>
      <w:r w:rsidR="00976995">
        <w:rPr>
          <w:color w:val="000000"/>
          <w:szCs w:val="22"/>
        </w:rPr>
        <w:t>:</w:t>
      </w:r>
    </w:p>
    <w:p w14:paraId="27436F83" w14:textId="35E115F4" w:rsidR="000C0370" w:rsidRPr="0084477E" w:rsidRDefault="000C0370" w:rsidP="0084477E">
      <w:pPr>
        <w:numPr>
          <w:ilvl w:val="0"/>
          <w:numId w:val="35"/>
        </w:numPr>
        <w:tabs>
          <w:tab w:val="clear" w:pos="1080"/>
          <w:tab w:val="num" w:pos="709"/>
        </w:tabs>
        <w:overflowPunct/>
        <w:autoSpaceDE/>
        <w:autoSpaceDN/>
        <w:adjustRightInd/>
        <w:spacing w:after="170" w:line="280" w:lineRule="atLeast"/>
        <w:ind w:left="709" w:hanging="283"/>
        <w:jc w:val="both"/>
        <w:textAlignment w:val="auto"/>
        <w:rPr>
          <w:color w:val="000000"/>
          <w:szCs w:val="22"/>
        </w:rPr>
      </w:pPr>
      <w:r w:rsidRPr="0084477E">
        <w:rPr>
          <w:color w:val="000000"/>
          <w:szCs w:val="22"/>
        </w:rPr>
        <w:t>Fuel performance</w:t>
      </w:r>
      <w:r w:rsidR="00976995">
        <w:rPr>
          <w:color w:val="000000"/>
          <w:szCs w:val="22"/>
        </w:rPr>
        <w:t xml:space="preserve"> and</w:t>
      </w:r>
      <w:r w:rsidRPr="0084477E">
        <w:rPr>
          <w:color w:val="000000"/>
          <w:szCs w:val="22"/>
        </w:rPr>
        <w:t xml:space="preserve"> corrosion issues</w:t>
      </w:r>
    </w:p>
    <w:p w14:paraId="6119C5CF" w14:textId="1713F3BB" w:rsidR="000C0370" w:rsidRPr="0084477E" w:rsidRDefault="000C0370" w:rsidP="0084477E">
      <w:pPr>
        <w:numPr>
          <w:ilvl w:val="0"/>
          <w:numId w:val="35"/>
        </w:numPr>
        <w:tabs>
          <w:tab w:val="clear" w:pos="1080"/>
          <w:tab w:val="num" w:pos="709"/>
        </w:tabs>
        <w:overflowPunct/>
        <w:autoSpaceDE/>
        <w:autoSpaceDN/>
        <w:adjustRightInd/>
        <w:spacing w:after="170" w:line="280" w:lineRule="atLeast"/>
        <w:ind w:left="709" w:hanging="283"/>
        <w:jc w:val="both"/>
        <w:textAlignment w:val="auto"/>
        <w:rPr>
          <w:color w:val="000000"/>
          <w:szCs w:val="22"/>
        </w:rPr>
      </w:pPr>
      <w:r w:rsidRPr="0084477E">
        <w:rPr>
          <w:color w:val="000000"/>
          <w:szCs w:val="22"/>
        </w:rPr>
        <w:t xml:space="preserve">Qualification of new fuels for </w:t>
      </w:r>
      <w:r w:rsidR="00976995">
        <w:rPr>
          <w:color w:val="000000"/>
          <w:szCs w:val="22"/>
        </w:rPr>
        <w:t>research reactor</w:t>
      </w:r>
      <w:r w:rsidR="00976995" w:rsidRPr="00EF150D">
        <w:rPr>
          <w:color w:val="000000"/>
          <w:szCs w:val="22"/>
        </w:rPr>
        <w:t>s</w:t>
      </w:r>
    </w:p>
    <w:p w14:paraId="34C69282" w14:textId="737A0859" w:rsidR="000C0370" w:rsidRPr="0084477E" w:rsidRDefault="000C0370" w:rsidP="0084477E">
      <w:pPr>
        <w:numPr>
          <w:ilvl w:val="0"/>
          <w:numId w:val="34"/>
        </w:numPr>
        <w:tabs>
          <w:tab w:val="clear" w:pos="1080"/>
          <w:tab w:val="num" w:pos="709"/>
        </w:tabs>
        <w:overflowPunct/>
        <w:autoSpaceDE/>
        <w:autoSpaceDN/>
        <w:adjustRightInd/>
        <w:spacing w:after="170" w:line="280" w:lineRule="atLeast"/>
        <w:ind w:left="709" w:hanging="283"/>
        <w:jc w:val="both"/>
        <w:textAlignment w:val="auto"/>
        <w:rPr>
          <w:color w:val="000000"/>
          <w:szCs w:val="22"/>
        </w:rPr>
      </w:pPr>
      <w:r w:rsidRPr="0084477E">
        <w:rPr>
          <w:color w:val="000000"/>
          <w:szCs w:val="22"/>
        </w:rPr>
        <w:t>Fuel storage and transportation</w:t>
      </w:r>
    </w:p>
    <w:p w14:paraId="40EF45D1" w14:textId="277E33F6" w:rsidR="000C0370" w:rsidRPr="0084477E" w:rsidRDefault="000C0370" w:rsidP="0084477E">
      <w:pPr>
        <w:numPr>
          <w:ilvl w:val="0"/>
          <w:numId w:val="37"/>
        </w:numPr>
        <w:overflowPunct/>
        <w:autoSpaceDE/>
        <w:autoSpaceDN/>
        <w:adjustRightInd/>
        <w:spacing w:after="170" w:line="280" w:lineRule="atLeast"/>
        <w:jc w:val="both"/>
        <w:textAlignment w:val="auto"/>
        <w:rPr>
          <w:color w:val="000000"/>
          <w:szCs w:val="22"/>
        </w:rPr>
      </w:pPr>
      <w:r w:rsidRPr="0084477E">
        <w:rPr>
          <w:color w:val="000000"/>
          <w:szCs w:val="22"/>
        </w:rPr>
        <w:t>Member States</w:t>
      </w:r>
      <w:r w:rsidR="00976995">
        <w:rPr>
          <w:color w:val="000000"/>
          <w:szCs w:val="22"/>
        </w:rPr>
        <w:t>’</w:t>
      </w:r>
      <w:r w:rsidRPr="00EF150D">
        <w:rPr>
          <w:color w:val="000000"/>
          <w:szCs w:val="22"/>
        </w:rPr>
        <w:t xml:space="preserve"> experience from Operation and Maintenance </w:t>
      </w:r>
      <w:r w:rsidRPr="00421F1A">
        <w:rPr>
          <w:color w:val="000000"/>
          <w:szCs w:val="22"/>
        </w:rPr>
        <w:t>Assessment</w:t>
      </w:r>
      <w:r w:rsidRPr="00EF150D">
        <w:rPr>
          <w:color w:val="000000"/>
          <w:szCs w:val="22"/>
        </w:rPr>
        <w:t xml:space="preserve"> for Research Reactor</w:t>
      </w:r>
      <w:r w:rsidR="00976995">
        <w:rPr>
          <w:color w:val="000000"/>
          <w:szCs w:val="22"/>
        </w:rPr>
        <w:t>s</w:t>
      </w:r>
      <w:r w:rsidRPr="00EF150D">
        <w:rPr>
          <w:color w:val="000000"/>
          <w:szCs w:val="22"/>
        </w:rPr>
        <w:t xml:space="preserve"> (OMARR) missions</w:t>
      </w:r>
    </w:p>
    <w:p w14:paraId="36562C6E" w14:textId="2B9F401C" w:rsidR="000C0370" w:rsidRPr="0084477E" w:rsidRDefault="000C0370" w:rsidP="0084477E">
      <w:pPr>
        <w:numPr>
          <w:ilvl w:val="0"/>
          <w:numId w:val="37"/>
        </w:numPr>
        <w:overflowPunct/>
        <w:autoSpaceDE/>
        <w:autoSpaceDN/>
        <w:adjustRightInd/>
        <w:spacing w:after="170" w:line="280" w:lineRule="atLeast"/>
        <w:jc w:val="both"/>
        <w:textAlignment w:val="auto"/>
        <w:rPr>
          <w:color w:val="000000"/>
          <w:szCs w:val="22"/>
        </w:rPr>
      </w:pPr>
      <w:r w:rsidRPr="0084477E">
        <w:rPr>
          <w:color w:val="000000"/>
          <w:szCs w:val="22"/>
        </w:rPr>
        <w:t>Recent core conversion programmes</w:t>
      </w:r>
    </w:p>
    <w:p w14:paraId="6CACCA99" w14:textId="176B3CBA" w:rsidR="000C0370" w:rsidRPr="00100998" w:rsidRDefault="000C0370" w:rsidP="0084477E">
      <w:pPr>
        <w:numPr>
          <w:ilvl w:val="0"/>
          <w:numId w:val="37"/>
        </w:numPr>
        <w:overflowPunct/>
        <w:autoSpaceDE/>
        <w:autoSpaceDN/>
        <w:adjustRightInd/>
        <w:spacing w:after="170" w:line="280" w:lineRule="atLeast"/>
        <w:jc w:val="both"/>
        <w:textAlignment w:val="auto"/>
        <w:rPr>
          <w:b/>
          <w:color w:val="000000"/>
          <w:szCs w:val="22"/>
          <w:u w:val="single"/>
          <w:lang w:eastAsia="ko-KR"/>
        </w:rPr>
      </w:pPr>
      <w:r w:rsidRPr="0084477E">
        <w:rPr>
          <w:color w:val="000000"/>
          <w:szCs w:val="22"/>
        </w:rPr>
        <w:t>Operational waste management and disposal</w:t>
      </w:r>
    </w:p>
    <w:p w14:paraId="3BE53F3A" w14:textId="08057B26" w:rsidR="000C0370" w:rsidRPr="0084477E" w:rsidRDefault="00C965AF" w:rsidP="0084477E">
      <w:pPr>
        <w:pStyle w:val="ListParagraph"/>
        <w:keepNext/>
        <w:spacing w:before="360" w:after="170" w:line="280" w:lineRule="atLeast"/>
        <w:ind w:left="0"/>
        <w:contextualSpacing w:val="0"/>
        <w:jc w:val="both"/>
        <w:rPr>
          <w:b/>
          <w:color w:val="000000"/>
          <w:szCs w:val="22"/>
        </w:rPr>
      </w:pPr>
      <w:r>
        <w:rPr>
          <w:b/>
          <w:color w:val="000000"/>
          <w:szCs w:val="22"/>
        </w:rPr>
        <w:t xml:space="preserve">3. </w:t>
      </w:r>
      <w:r w:rsidR="000C0370" w:rsidRPr="0084477E">
        <w:rPr>
          <w:b/>
          <w:color w:val="000000"/>
          <w:szCs w:val="22"/>
        </w:rPr>
        <w:t>New R</w:t>
      </w:r>
      <w:r w:rsidR="00E11535">
        <w:rPr>
          <w:b/>
          <w:color w:val="000000"/>
          <w:szCs w:val="22"/>
        </w:rPr>
        <w:t xml:space="preserve">esearch </w:t>
      </w:r>
      <w:r w:rsidR="000C0370" w:rsidRPr="0084477E">
        <w:rPr>
          <w:b/>
          <w:color w:val="000000"/>
          <w:szCs w:val="22"/>
        </w:rPr>
        <w:t>R</w:t>
      </w:r>
      <w:r w:rsidR="00E11535">
        <w:rPr>
          <w:b/>
          <w:color w:val="000000"/>
          <w:szCs w:val="22"/>
        </w:rPr>
        <w:t>eactor</w:t>
      </w:r>
      <w:r w:rsidR="000C0370" w:rsidRPr="0084477E">
        <w:rPr>
          <w:b/>
          <w:color w:val="000000"/>
          <w:szCs w:val="22"/>
        </w:rPr>
        <w:t xml:space="preserve"> Projects</w:t>
      </w:r>
    </w:p>
    <w:p w14:paraId="64B76045" w14:textId="37564BC4" w:rsidR="000C0370" w:rsidRPr="0084477E" w:rsidRDefault="000C0370" w:rsidP="0084477E">
      <w:pPr>
        <w:numPr>
          <w:ilvl w:val="0"/>
          <w:numId w:val="37"/>
        </w:numPr>
        <w:overflowPunct/>
        <w:autoSpaceDE/>
        <w:autoSpaceDN/>
        <w:adjustRightInd/>
        <w:spacing w:after="170" w:line="280" w:lineRule="atLeast"/>
        <w:jc w:val="both"/>
        <w:textAlignment w:val="auto"/>
        <w:rPr>
          <w:color w:val="000000"/>
          <w:szCs w:val="22"/>
        </w:rPr>
      </w:pPr>
      <w:r w:rsidRPr="00EF150D">
        <w:rPr>
          <w:color w:val="000000"/>
          <w:szCs w:val="22"/>
        </w:rPr>
        <w:t xml:space="preserve">Strategy and rationale for new </w:t>
      </w:r>
      <w:r w:rsidR="00E11535">
        <w:rPr>
          <w:color w:val="000000"/>
          <w:szCs w:val="22"/>
        </w:rPr>
        <w:t>research reactor</w:t>
      </w:r>
      <w:r w:rsidR="00E11535" w:rsidRPr="00EF150D">
        <w:rPr>
          <w:color w:val="000000"/>
          <w:szCs w:val="22"/>
        </w:rPr>
        <w:t xml:space="preserve"> </w:t>
      </w:r>
      <w:r w:rsidRPr="0084477E">
        <w:rPr>
          <w:color w:val="000000"/>
          <w:szCs w:val="22"/>
        </w:rPr>
        <w:t>acquisitions in support of nuclear science and technology, including nuclear power programmes</w:t>
      </w:r>
    </w:p>
    <w:p w14:paraId="69F52CDA" w14:textId="0C2028E2" w:rsidR="000C0370" w:rsidRPr="0084477E" w:rsidRDefault="000C0370" w:rsidP="0084477E">
      <w:pPr>
        <w:numPr>
          <w:ilvl w:val="0"/>
          <w:numId w:val="37"/>
        </w:numPr>
        <w:overflowPunct/>
        <w:autoSpaceDE/>
        <w:autoSpaceDN/>
        <w:adjustRightInd/>
        <w:spacing w:after="170" w:line="280" w:lineRule="atLeast"/>
        <w:jc w:val="both"/>
        <w:textAlignment w:val="auto"/>
        <w:rPr>
          <w:color w:val="000000"/>
          <w:szCs w:val="22"/>
        </w:rPr>
      </w:pPr>
      <w:r w:rsidRPr="0084477E">
        <w:rPr>
          <w:color w:val="000000"/>
          <w:szCs w:val="22"/>
        </w:rPr>
        <w:t>Experience in the application of the IAEA</w:t>
      </w:r>
      <w:r w:rsidR="00E11535">
        <w:rPr>
          <w:color w:val="000000"/>
          <w:szCs w:val="22"/>
        </w:rPr>
        <w:t>-developed</w:t>
      </w:r>
      <w:r w:rsidRPr="00EF150D">
        <w:rPr>
          <w:color w:val="000000"/>
          <w:szCs w:val="22"/>
        </w:rPr>
        <w:t xml:space="preserve"> </w:t>
      </w:r>
      <w:r w:rsidR="00E11535">
        <w:rPr>
          <w:color w:val="000000"/>
          <w:szCs w:val="22"/>
        </w:rPr>
        <w:t>‘research reactor</w:t>
      </w:r>
      <w:r w:rsidR="00E11535" w:rsidRPr="00EF150D">
        <w:rPr>
          <w:color w:val="000000"/>
          <w:szCs w:val="22"/>
        </w:rPr>
        <w:t xml:space="preserve"> </w:t>
      </w:r>
      <w:r w:rsidR="00E11535">
        <w:rPr>
          <w:color w:val="000000"/>
          <w:szCs w:val="22"/>
        </w:rPr>
        <w:t>m</w:t>
      </w:r>
      <w:r w:rsidRPr="00EF150D">
        <w:rPr>
          <w:color w:val="000000"/>
          <w:szCs w:val="22"/>
        </w:rPr>
        <w:t>ilestones</w:t>
      </w:r>
      <w:r w:rsidR="00E11535">
        <w:rPr>
          <w:color w:val="000000"/>
          <w:szCs w:val="22"/>
        </w:rPr>
        <w:t>’</w:t>
      </w:r>
      <w:r w:rsidRPr="00EF150D">
        <w:rPr>
          <w:color w:val="000000"/>
          <w:szCs w:val="22"/>
        </w:rPr>
        <w:t xml:space="preserve"> approach for new </w:t>
      </w:r>
      <w:r w:rsidR="00E11535">
        <w:rPr>
          <w:color w:val="000000"/>
          <w:szCs w:val="22"/>
        </w:rPr>
        <w:t>research reactor</w:t>
      </w:r>
      <w:r w:rsidR="00E11535" w:rsidRPr="00EF150D">
        <w:rPr>
          <w:color w:val="000000"/>
          <w:szCs w:val="22"/>
        </w:rPr>
        <w:t xml:space="preserve"> </w:t>
      </w:r>
      <w:r w:rsidRPr="0084477E">
        <w:rPr>
          <w:color w:val="000000"/>
          <w:szCs w:val="22"/>
        </w:rPr>
        <w:t>projects</w:t>
      </w:r>
      <w:r w:rsidRPr="00EF150D">
        <w:rPr>
          <w:rStyle w:val="FootnoteReference"/>
          <w:color w:val="000000"/>
          <w:szCs w:val="22"/>
        </w:rPr>
        <w:footnoteReference w:id="2"/>
      </w:r>
      <w:r w:rsidR="0084477E">
        <w:rPr>
          <w:color w:val="000000"/>
          <w:szCs w:val="22"/>
        </w:rPr>
        <w:t xml:space="preserve">, </w:t>
      </w:r>
      <w:r w:rsidR="00E11535">
        <w:rPr>
          <w:color w:val="000000"/>
          <w:szCs w:val="22"/>
        </w:rPr>
        <w:t>with r</w:t>
      </w:r>
      <w:r w:rsidRPr="00EF150D">
        <w:rPr>
          <w:color w:val="000000"/>
          <w:szCs w:val="22"/>
        </w:rPr>
        <w:t>elevant topics including:</w:t>
      </w:r>
    </w:p>
    <w:p w14:paraId="7DC695B6" w14:textId="48CD1F92" w:rsidR="000C0370" w:rsidRPr="0084477E" w:rsidRDefault="000C0370" w:rsidP="0084477E">
      <w:pPr>
        <w:numPr>
          <w:ilvl w:val="0"/>
          <w:numId w:val="34"/>
        </w:numPr>
        <w:overflowPunct/>
        <w:autoSpaceDE/>
        <w:autoSpaceDN/>
        <w:adjustRightInd/>
        <w:spacing w:after="170" w:line="280" w:lineRule="atLeast"/>
        <w:jc w:val="both"/>
        <w:textAlignment w:val="auto"/>
        <w:rPr>
          <w:color w:val="000000"/>
          <w:szCs w:val="22"/>
          <w:lang w:eastAsia="ko-KR"/>
        </w:rPr>
      </w:pPr>
      <w:r w:rsidRPr="0084477E">
        <w:rPr>
          <w:color w:val="000000"/>
          <w:szCs w:val="22"/>
          <w:lang w:eastAsia="ko-KR"/>
        </w:rPr>
        <w:t>Assessment of needs, development of users</w:t>
      </w:r>
      <w:r w:rsidR="009C0BF2">
        <w:rPr>
          <w:color w:val="000000"/>
          <w:szCs w:val="22"/>
          <w:lang w:eastAsia="ko-KR"/>
        </w:rPr>
        <w:t>’</w:t>
      </w:r>
      <w:r w:rsidRPr="00EF150D">
        <w:rPr>
          <w:color w:val="000000"/>
          <w:szCs w:val="22"/>
          <w:lang w:eastAsia="ko-KR"/>
        </w:rPr>
        <w:t xml:space="preserve"> community, stakeholder</w:t>
      </w:r>
      <w:r w:rsidRPr="0084477E">
        <w:rPr>
          <w:color w:val="000000"/>
          <w:szCs w:val="22"/>
          <w:lang w:eastAsia="ko-KR"/>
        </w:rPr>
        <w:t xml:space="preserve"> involvement and strategic planning</w:t>
      </w:r>
    </w:p>
    <w:p w14:paraId="466A643F" w14:textId="5A2CFD54" w:rsidR="000C0370" w:rsidRPr="0084477E" w:rsidRDefault="000C0370" w:rsidP="0084477E">
      <w:pPr>
        <w:numPr>
          <w:ilvl w:val="0"/>
          <w:numId w:val="34"/>
        </w:numPr>
        <w:overflowPunct/>
        <w:autoSpaceDE/>
        <w:autoSpaceDN/>
        <w:adjustRightInd/>
        <w:spacing w:after="170" w:line="280" w:lineRule="atLeast"/>
        <w:jc w:val="both"/>
        <w:textAlignment w:val="auto"/>
        <w:rPr>
          <w:color w:val="000000"/>
          <w:szCs w:val="22"/>
          <w:lang w:eastAsia="ko-KR"/>
        </w:rPr>
      </w:pPr>
      <w:r w:rsidRPr="0084477E">
        <w:rPr>
          <w:color w:val="000000"/>
          <w:szCs w:val="22"/>
          <w:lang w:eastAsia="ko-KR"/>
        </w:rPr>
        <w:t xml:space="preserve">Development and assessment of the national infrastructure to support the first/a new </w:t>
      </w:r>
      <w:r w:rsidR="009C0BF2">
        <w:rPr>
          <w:color w:val="000000"/>
          <w:szCs w:val="22"/>
          <w:lang w:eastAsia="ko-KR"/>
        </w:rPr>
        <w:t>research reactor</w:t>
      </w:r>
      <w:r w:rsidR="009C0BF2" w:rsidRPr="00EF150D">
        <w:rPr>
          <w:color w:val="000000"/>
          <w:szCs w:val="22"/>
          <w:lang w:eastAsia="ko-KR"/>
        </w:rPr>
        <w:t xml:space="preserve"> </w:t>
      </w:r>
      <w:r w:rsidRPr="0084477E">
        <w:rPr>
          <w:color w:val="000000"/>
          <w:szCs w:val="22"/>
          <w:lang w:eastAsia="ko-KR"/>
        </w:rPr>
        <w:t xml:space="preserve">in each </w:t>
      </w:r>
      <w:r w:rsidR="009C0BF2">
        <w:rPr>
          <w:color w:val="000000"/>
          <w:szCs w:val="22"/>
          <w:lang w:eastAsia="ko-KR"/>
        </w:rPr>
        <w:t xml:space="preserve">of the </w:t>
      </w:r>
      <w:r w:rsidRPr="00EF150D">
        <w:rPr>
          <w:color w:val="000000"/>
          <w:szCs w:val="22"/>
          <w:lang w:eastAsia="ko-KR"/>
        </w:rPr>
        <w:t>project</w:t>
      </w:r>
      <w:r w:rsidRPr="0084477E">
        <w:rPr>
          <w:color w:val="000000"/>
          <w:szCs w:val="22"/>
          <w:lang w:eastAsia="ko-KR"/>
        </w:rPr>
        <w:t xml:space="preserve"> implementation phases</w:t>
      </w:r>
    </w:p>
    <w:p w14:paraId="7A94ABC3" w14:textId="03D41870" w:rsidR="000C0370" w:rsidRPr="0084477E" w:rsidRDefault="000C0370" w:rsidP="0084477E">
      <w:pPr>
        <w:pStyle w:val="Index1"/>
        <w:numPr>
          <w:ilvl w:val="0"/>
          <w:numId w:val="34"/>
        </w:numPr>
        <w:spacing w:after="170" w:line="280" w:lineRule="atLeast"/>
        <w:rPr>
          <w:sz w:val="22"/>
          <w:szCs w:val="22"/>
        </w:rPr>
      </w:pPr>
      <w:r w:rsidRPr="0084477E">
        <w:rPr>
          <w:sz w:val="22"/>
          <w:szCs w:val="22"/>
        </w:rPr>
        <w:t xml:space="preserve">Safety considerations in different phases of a </w:t>
      </w:r>
      <w:r w:rsidR="009C0BF2">
        <w:rPr>
          <w:sz w:val="22"/>
          <w:szCs w:val="22"/>
        </w:rPr>
        <w:t>research reactor</w:t>
      </w:r>
      <w:r w:rsidR="009C0BF2" w:rsidRPr="0084477E">
        <w:rPr>
          <w:sz w:val="22"/>
          <w:szCs w:val="22"/>
        </w:rPr>
        <w:t xml:space="preserve"> </w:t>
      </w:r>
      <w:r w:rsidRPr="0084477E">
        <w:rPr>
          <w:sz w:val="22"/>
          <w:szCs w:val="22"/>
        </w:rPr>
        <w:t>project</w:t>
      </w:r>
    </w:p>
    <w:p w14:paraId="348E40BE" w14:textId="09CA2368" w:rsidR="000C0370" w:rsidRPr="0084477E" w:rsidRDefault="000C0370" w:rsidP="0084477E">
      <w:pPr>
        <w:numPr>
          <w:ilvl w:val="0"/>
          <w:numId w:val="34"/>
        </w:numPr>
        <w:overflowPunct/>
        <w:autoSpaceDE/>
        <w:autoSpaceDN/>
        <w:adjustRightInd/>
        <w:spacing w:after="170" w:line="280" w:lineRule="atLeast"/>
        <w:jc w:val="both"/>
        <w:textAlignment w:val="auto"/>
        <w:rPr>
          <w:color w:val="000000"/>
          <w:szCs w:val="22"/>
          <w:lang w:eastAsia="ko-KR"/>
        </w:rPr>
      </w:pPr>
      <w:r w:rsidRPr="00EF150D">
        <w:rPr>
          <w:color w:val="000000"/>
          <w:szCs w:val="22"/>
          <w:lang w:eastAsia="ko-KR"/>
        </w:rPr>
        <w:t xml:space="preserve">Preparation of the </w:t>
      </w:r>
      <w:r w:rsidR="009C0BF2">
        <w:rPr>
          <w:color w:val="000000"/>
          <w:szCs w:val="22"/>
          <w:lang w:eastAsia="ko-KR"/>
        </w:rPr>
        <w:t>f</w:t>
      </w:r>
      <w:r w:rsidRPr="00EF150D">
        <w:rPr>
          <w:color w:val="000000"/>
          <w:szCs w:val="22"/>
          <w:lang w:eastAsia="ko-KR"/>
        </w:rPr>
        <w:t xml:space="preserve">easibility </w:t>
      </w:r>
      <w:r w:rsidR="009C0BF2">
        <w:rPr>
          <w:color w:val="000000"/>
          <w:szCs w:val="22"/>
          <w:lang w:eastAsia="ko-KR"/>
        </w:rPr>
        <w:t>s</w:t>
      </w:r>
      <w:r w:rsidRPr="00EF150D">
        <w:rPr>
          <w:color w:val="000000"/>
          <w:szCs w:val="22"/>
          <w:lang w:eastAsia="ko-KR"/>
        </w:rPr>
        <w:t xml:space="preserve">tudy for a new </w:t>
      </w:r>
      <w:r w:rsidR="009C0BF2">
        <w:rPr>
          <w:color w:val="000000"/>
          <w:szCs w:val="22"/>
          <w:lang w:eastAsia="ko-KR"/>
        </w:rPr>
        <w:t>research reactor</w:t>
      </w:r>
      <w:r w:rsidRPr="00EF150D">
        <w:rPr>
          <w:color w:val="000000"/>
          <w:szCs w:val="22"/>
          <w:lang w:eastAsia="ko-KR"/>
        </w:rPr>
        <w:t>, including consideration of alternative neutron sources</w:t>
      </w:r>
    </w:p>
    <w:p w14:paraId="505677E3" w14:textId="77777777" w:rsidR="000C0370" w:rsidRPr="0084477E" w:rsidRDefault="000C0370" w:rsidP="0084477E">
      <w:pPr>
        <w:numPr>
          <w:ilvl w:val="0"/>
          <w:numId w:val="34"/>
        </w:numPr>
        <w:overflowPunct/>
        <w:autoSpaceDE/>
        <w:autoSpaceDN/>
        <w:adjustRightInd/>
        <w:spacing w:after="170" w:line="280" w:lineRule="atLeast"/>
        <w:jc w:val="both"/>
        <w:textAlignment w:val="auto"/>
        <w:rPr>
          <w:color w:val="000000"/>
          <w:szCs w:val="22"/>
          <w:lang w:eastAsia="ko-KR"/>
        </w:rPr>
      </w:pPr>
      <w:r w:rsidRPr="0084477E">
        <w:rPr>
          <w:color w:val="000000"/>
          <w:szCs w:val="22"/>
          <w:lang w:eastAsia="ko-KR"/>
        </w:rPr>
        <w:t>Development of the technical requirements for the bidding process</w:t>
      </w:r>
    </w:p>
    <w:p w14:paraId="25191CC2" w14:textId="6C240C2D" w:rsidR="000C0370" w:rsidRPr="00E11535" w:rsidRDefault="000C0370" w:rsidP="00A27BCE">
      <w:pPr>
        <w:numPr>
          <w:ilvl w:val="0"/>
          <w:numId w:val="37"/>
        </w:numPr>
        <w:overflowPunct/>
        <w:autoSpaceDE/>
        <w:autoSpaceDN/>
        <w:adjustRightInd/>
        <w:spacing w:after="170" w:line="280" w:lineRule="atLeast"/>
        <w:jc w:val="both"/>
        <w:textAlignment w:val="auto"/>
        <w:rPr>
          <w:b/>
          <w:color w:val="000000"/>
          <w:szCs w:val="22"/>
          <w:u w:val="single"/>
          <w:lang w:eastAsia="ko-KR"/>
        </w:rPr>
      </w:pPr>
      <w:r w:rsidRPr="0084477E">
        <w:rPr>
          <w:color w:val="000000"/>
          <w:szCs w:val="22"/>
        </w:rPr>
        <w:t xml:space="preserve">Status reports on new </w:t>
      </w:r>
      <w:r w:rsidR="009C0BF2">
        <w:rPr>
          <w:color w:val="000000"/>
          <w:szCs w:val="22"/>
        </w:rPr>
        <w:t>research reactor</w:t>
      </w:r>
      <w:r w:rsidR="009C0BF2" w:rsidRPr="00EF150D">
        <w:rPr>
          <w:color w:val="000000"/>
          <w:szCs w:val="22"/>
        </w:rPr>
        <w:t xml:space="preserve"> </w:t>
      </w:r>
      <w:r w:rsidRPr="0084477E">
        <w:rPr>
          <w:color w:val="000000"/>
          <w:szCs w:val="22"/>
        </w:rPr>
        <w:t xml:space="preserve">projects in progress, </w:t>
      </w:r>
      <w:r w:rsidR="009C0BF2">
        <w:rPr>
          <w:color w:val="000000"/>
          <w:szCs w:val="22"/>
        </w:rPr>
        <w:t xml:space="preserve">including on relevant </w:t>
      </w:r>
      <w:r w:rsidRPr="00EF150D">
        <w:rPr>
          <w:color w:val="000000"/>
          <w:szCs w:val="22"/>
        </w:rPr>
        <w:t>experience and lessons learned</w:t>
      </w:r>
    </w:p>
    <w:p w14:paraId="4F70F8EC" w14:textId="575DF3F8" w:rsidR="000C0370" w:rsidRPr="00A27BCE" w:rsidRDefault="00C965AF" w:rsidP="00A27BCE">
      <w:pPr>
        <w:pStyle w:val="ListParagraph"/>
        <w:keepNext/>
        <w:spacing w:before="360" w:after="170" w:line="280" w:lineRule="atLeast"/>
        <w:ind w:left="0"/>
        <w:contextualSpacing w:val="0"/>
        <w:jc w:val="both"/>
        <w:rPr>
          <w:b/>
          <w:color w:val="000000"/>
          <w:szCs w:val="22"/>
        </w:rPr>
      </w:pPr>
      <w:r>
        <w:rPr>
          <w:b/>
          <w:color w:val="000000"/>
          <w:szCs w:val="22"/>
        </w:rPr>
        <w:t xml:space="preserve">4. </w:t>
      </w:r>
      <w:r w:rsidR="000C0370" w:rsidRPr="00A27BCE">
        <w:rPr>
          <w:b/>
          <w:color w:val="000000"/>
          <w:szCs w:val="22"/>
        </w:rPr>
        <w:t>Safety of R</w:t>
      </w:r>
      <w:r w:rsidR="00100998">
        <w:rPr>
          <w:b/>
          <w:color w:val="000000"/>
          <w:szCs w:val="22"/>
        </w:rPr>
        <w:t xml:space="preserve">esearch </w:t>
      </w:r>
      <w:r w:rsidR="000C0370" w:rsidRPr="00A27BCE">
        <w:rPr>
          <w:b/>
          <w:color w:val="000000"/>
          <w:szCs w:val="22"/>
        </w:rPr>
        <w:t>R</w:t>
      </w:r>
      <w:r w:rsidR="00100998">
        <w:rPr>
          <w:b/>
          <w:color w:val="000000"/>
          <w:szCs w:val="22"/>
        </w:rPr>
        <w:t>eactor</w:t>
      </w:r>
      <w:r w:rsidR="000C0370" w:rsidRPr="00A27BCE">
        <w:rPr>
          <w:b/>
          <w:color w:val="000000"/>
          <w:szCs w:val="22"/>
        </w:rPr>
        <w:t>s</w:t>
      </w:r>
    </w:p>
    <w:p w14:paraId="3C0A4349" w14:textId="3DD77036" w:rsidR="000C0370" w:rsidRPr="0084477E" w:rsidRDefault="000C0370" w:rsidP="00A27BCE">
      <w:pPr>
        <w:numPr>
          <w:ilvl w:val="0"/>
          <w:numId w:val="39"/>
        </w:numPr>
        <w:overflowPunct/>
        <w:autoSpaceDE/>
        <w:autoSpaceDN/>
        <w:adjustRightInd/>
        <w:spacing w:after="170" w:line="280" w:lineRule="atLeast"/>
        <w:jc w:val="both"/>
        <w:textAlignment w:val="auto"/>
        <w:rPr>
          <w:color w:val="000000"/>
          <w:szCs w:val="22"/>
        </w:rPr>
      </w:pPr>
      <w:r w:rsidRPr="00EF150D">
        <w:rPr>
          <w:color w:val="000000"/>
          <w:szCs w:val="22"/>
        </w:rPr>
        <w:t xml:space="preserve">Experience with the application of the Code of Conduct on the Safety of Research Reactors and </w:t>
      </w:r>
      <w:r w:rsidR="009C0BF2">
        <w:rPr>
          <w:color w:val="000000"/>
          <w:szCs w:val="22"/>
        </w:rPr>
        <w:t xml:space="preserve">the relevant </w:t>
      </w:r>
      <w:r w:rsidRPr="00EF150D">
        <w:rPr>
          <w:color w:val="000000"/>
          <w:szCs w:val="22"/>
        </w:rPr>
        <w:t xml:space="preserve">IAEA </w:t>
      </w:r>
      <w:r w:rsidR="009C0BF2">
        <w:rPr>
          <w:color w:val="000000"/>
          <w:szCs w:val="22"/>
        </w:rPr>
        <w:t>s</w:t>
      </w:r>
      <w:r w:rsidRPr="00EF150D">
        <w:rPr>
          <w:color w:val="000000"/>
          <w:szCs w:val="22"/>
        </w:rPr>
        <w:t xml:space="preserve">afety </w:t>
      </w:r>
      <w:r w:rsidR="009C0BF2">
        <w:rPr>
          <w:color w:val="000000"/>
          <w:szCs w:val="22"/>
        </w:rPr>
        <w:t>s</w:t>
      </w:r>
      <w:r w:rsidRPr="00EF150D">
        <w:rPr>
          <w:color w:val="000000"/>
          <w:szCs w:val="22"/>
        </w:rPr>
        <w:t>tandards</w:t>
      </w:r>
    </w:p>
    <w:p w14:paraId="70C42148" w14:textId="0CF89BC4" w:rsidR="000C0370" w:rsidRPr="00A27BCE" w:rsidRDefault="000C0370" w:rsidP="00A27BCE">
      <w:pPr>
        <w:numPr>
          <w:ilvl w:val="0"/>
          <w:numId w:val="39"/>
        </w:numPr>
        <w:overflowPunct/>
        <w:autoSpaceDE/>
        <w:autoSpaceDN/>
        <w:adjustRightInd/>
        <w:spacing w:after="170" w:line="280" w:lineRule="atLeast"/>
        <w:jc w:val="both"/>
        <w:textAlignment w:val="auto"/>
        <w:rPr>
          <w:color w:val="000000"/>
          <w:szCs w:val="22"/>
        </w:rPr>
      </w:pPr>
      <w:r w:rsidRPr="0084477E">
        <w:rPr>
          <w:color w:val="000000"/>
          <w:szCs w:val="22"/>
        </w:rPr>
        <w:t>Lessons learned from safety assessments performed following the accident at the Fukushima</w:t>
      </w:r>
      <w:r w:rsidR="00A8012A">
        <w:rPr>
          <w:color w:val="000000"/>
          <w:szCs w:val="22"/>
        </w:rPr>
        <w:t xml:space="preserve"> </w:t>
      </w:r>
      <w:r w:rsidRPr="00EF150D">
        <w:rPr>
          <w:color w:val="000000"/>
          <w:szCs w:val="22"/>
        </w:rPr>
        <w:t>Daiichi nuclear power plant</w:t>
      </w:r>
    </w:p>
    <w:p w14:paraId="2F3DB839" w14:textId="6EE9D018" w:rsidR="000C0370" w:rsidRPr="00A27BCE" w:rsidRDefault="000C0370" w:rsidP="00A27BCE">
      <w:pPr>
        <w:numPr>
          <w:ilvl w:val="0"/>
          <w:numId w:val="39"/>
        </w:numPr>
        <w:overflowPunct/>
        <w:autoSpaceDE/>
        <w:autoSpaceDN/>
        <w:adjustRightInd/>
        <w:spacing w:after="170" w:line="280" w:lineRule="atLeast"/>
        <w:jc w:val="both"/>
        <w:textAlignment w:val="auto"/>
        <w:rPr>
          <w:color w:val="000000"/>
          <w:szCs w:val="22"/>
        </w:rPr>
      </w:pPr>
      <w:r w:rsidRPr="00A27BCE">
        <w:rPr>
          <w:color w:val="000000"/>
          <w:szCs w:val="22"/>
        </w:rPr>
        <w:t xml:space="preserve">Operational safety issues and </w:t>
      </w:r>
      <w:r w:rsidR="00273F3D">
        <w:rPr>
          <w:color w:val="000000"/>
          <w:szCs w:val="22"/>
        </w:rPr>
        <w:t xml:space="preserve">safety </w:t>
      </w:r>
      <w:r w:rsidRPr="00A27BCE">
        <w:rPr>
          <w:color w:val="000000"/>
          <w:szCs w:val="22"/>
        </w:rPr>
        <w:t>documents, including:</w:t>
      </w:r>
    </w:p>
    <w:p w14:paraId="6DD1404A" w14:textId="77777777" w:rsidR="000C0370" w:rsidRPr="00A27BCE" w:rsidRDefault="000C0370" w:rsidP="00A27BCE">
      <w:pPr>
        <w:numPr>
          <w:ilvl w:val="1"/>
          <w:numId w:val="43"/>
        </w:numPr>
        <w:overflowPunct/>
        <w:autoSpaceDE/>
        <w:autoSpaceDN/>
        <w:adjustRightInd/>
        <w:spacing w:after="170" w:line="280" w:lineRule="atLeast"/>
        <w:jc w:val="both"/>
        <w:textAlignment w:val="auto"/>
        <w:rPr>
          <w:color w:val="000000"/>
          <w:szCs w:val="22"/>
        </w:rPr>
      </w:pPr>
      <w:r w:rsidRPr="00A27BCE">
        <w:rPr>
          <w:color w:val="000000"/>
          <w:szCs w:val="22"/>
        </w:rPr>
        <w:t>Safety analysis methods and approaches</w:t>
      </w:r>
    </w:p>
    <w:p w14:paraId="0F9C5211" w14:textId="77777777" w:rsidR="000C0370" w:rsidRPr="00A27BCE" w:rsidRDefault="000C0370" w:rsidP="00A27BCE">
      <w:pPr>
        <w:numPr>
          <w:ilvl w:val="1"/>
          <w:numId w:val="43"/>
        </w:numPr>
        <w:overflowPunct/>
        <w:autoSpaceDE/>
        <w:autoSpaceDN/>
        <w:adjustRightInd/>
        <w:spacing w:after="170" w:line="280" w:lineRule="atLeast"/>
        <w:jc w:val="both"/>
        <w:textAlignment w:val="auto"/>
        <w:rPr>
          <w:color w:val="000000"/>
          <w:szCs w:val="22"/>
        </w:rPr>
      </w:pPr>
      <w:r w:rsidRPr="00A27BCE">
        <w:rPr>
          <w:color w:val="000000"/>
          <w:szCs w:val="22"/>
        </w:rPr>
        <w:t>Safety of utilization, modifications and upgrades</w:t>
      </w:r>
    </w:p>
    <w:p w14:paraId="7B052153" w14:textId="77777777" w:rsidR="000C0370" w:rsidRPr="00A27BCE" w:rsidRDefault="000C0370" w:rsidP="00A27BCE">
      <w:pPr>
        <w:numPr>
          <w:ilvl w:val="1"/>
          <w:numId w:val="43"/>
        </w:numPr>
        <w:overflowPunct/>
        <w:autoSpaceDE/>
        <w:autoSpaceDN/>
        <w:adjustRightInd/>
        <w:spacing w:after="170" w:line="280" w:lineRule="atLeast"/>
        <w:jc w:val="both"/>
        <w:textAlignment w:val="auto"/>
        <w:rPr>
          <w:color w:val="000000"/>
          <w:szCs w:val="22"/>
        </w:rPr>
      </w:pPr>
      <w:r w:rsidRPr="00A27BCE">
        <w:rPr>
          <w:color w:val="000000"/>
          <w:szCs w:val="22"/>
        </w:rPr>
        <w:t>Periodic safety reviews</w:t>
      </w:r>
    </w:p>
    <w:p w14:paraId="0EDC747A" w14:textId="76396D58" w:rsidR="000C0370" w:rsidRPr="00A27BCE" w:rsidRDefault="000C0370" w:rsidP="00A27BCE">
      <w:pPr>
        <w:numPr>
          <w:ilvl w:val="0"/>
          <w:numId w:val="39"/>
        </w:numPr>
        <w:overflowPunct/>
        <w:autoSpaceDE/>
        <w:autoSpaceDN/>
        <w:adjustRightInd/>
        <w:spacing w:after="170" w:line="280" w:lineRule="atLeast"/>
        <w:jc w:val="both"/>
        <w:textAlignment w:val="auto"/>
        <w:rPr>
          <w:color w:val="000000"/>
          <w:szCs w:val="22"/>
        </w:rPr>
      </w:pPr>
      <w:r w:rsidRPr="00A27BCE">
        <w:rPr>
          <w:color w:val="000000"/>
          <w:szCs w:val="22"/>
        </w:rPr>
        <w:t>Member States</w:t>
      </w:r>
      <w:r w:rsidR="00A8012A">
        <w:rPr>
          <w:color w:val="000000"/>
          <w:szCs w:val="22"/>
        </w:rPr>
        <w:t>’</w:t>
      </w:r>
      <w:r w:rsidRPr="00A27BCE">
        <w:rPr>
          <w:color w:val="000000"/>
          <w:szCs w:val="22"/>
        </w:rPr>
        <w:t xml:space="preserve"> experience from Integrated Safety Assessment for Research Reactor</w:t>
      </w:r>
      <w:r w:rsidR="00A8012A">
        <w:rPr>
          <w:color w:val="000000"/>
          <w:szCs w:val="22"/>
        </w:rPr>
        <w:t>s</w:t>
      </w:r>
      <w:r w:rsidRPr="00A27BCE">
        <w:rPr>
          <w:color w:val="000000"/>
          <w:szCs w:val="22"/>
        </w:rPr>
        <w:t xml:space="preserve"> (INSARR) missions</w:t>
      </w:r>
    </w:p>
    <w:p w14:paraId="3A6D2172" w14:textId="77777777" w:rsidR="000C0370" w:rsidRPr="0084477E" w:rsidRDefault="000C0370" w:rsidP="00A27BCE">
      <w:pPr>
        <w:numPr>
          <w:ilvl w:val="0"/>
          <w:numId w:val="39"/>
        </w:numPr>
        <w:overflowPunct/>
        <w:autoSpaceDE/>
        <w:autoSpaceDN/>
        <w:adjustRightInd/>
        <w:spacing w:after="170" w:line="280" w:lineRule="atLeast"/>
        <w:jc w:val="both"/>
        <w:textAlignment w:val="auto"/>
        <w:rPr>
          <w:color w:val="000000"/>
          <w:szCs w:val="22"/>
        </w:rPr>
      </w:pPr>
      <w:r w:rsidRPr="00EF150D">
        <w:rPr>
          <w:color w:val="000000"/>
          <w:szCs w:val="22"/>
        </w:rPr>
        <w:t>Regulatory oversight, including developing and maintaining regulatory capability</w:t>
      </w:r>
    </w:p>
    <w:p w14:paraId="07A8E3F1" w14:textId="77777777" w:rsidR="000C0370" w:rsidRPr="00A27BCE" w:rsidRDefault="000C0370" w:rsidP="00A27BCE">
      <w:pPr>
        <w:numPr>
          <w:ilvl w:val="0"/>
          <w:numId w:val="38"/>
        </w:numPr>
        <w:overflowPunct/>
        <w:autoSpaceDE/>
        <w:autoSpaceDN/>
        <w:adjustRightInd/>
        <w:spacing w:after="170" w:line="280" w:lineRule="atLeast"/>
        <w:jc w:val="both"/>
        <w:textAlignment w:val="auto"/>
        <w:rPr>
          <w:color w:val="000000"/>
          <w:szCs w:val="22"/>
        </w:rPr>
      </w:pPr>
      <w:r w:rsidRPr="00A27BCE">
        <w:rPr>
          <w:color w:val="000000"/>
          <w:szCs w:val="22"/>
        </w:rPr>
        <w:t>Reactor core safety calculations and measurements, including verification and validation of computer codes</w:t>
      </w:r>
    </w:p>
    <w:p w14:paraId="48D91F0C" w14:textId="69F2FB79" w:rsidR="000C0370" w:rsidRPr="00A27BCE" w:rsidRDefault="00C965AF" w:rsidP="00A27BCE">
      <w:pPr>
        <w:pStyle w:val="ListParagraph"/>
        <w:keepNext/>
        <w:spacing w:before="360" w:after="170" w:line="280" w:lineRule="atLeast"/>
        <w:ind w:left="0"/>
        <w:contextualSpacing w:val="0"/>
        <w:jc w:val="both"/>
        <w:rPr>
          <w:b/>
          <w:color w:val="000000"/>
          <w:szCs w:val="22"/>
        </w:rPr>
      </w:pPr>
      <w:r>
        <w:rPr>
          <w:b/>
          <w:color w:val="000000"/>
          <w:szCs w:val="22"/>
        </w:rPr>
        <w:t xml:space="preserve">5. </w:t>
      </w:r>
      <w:r w:rsidR="000C0370" w:rsidRPr="00A27BCE">
        <w:rPr>
          <w:b/>
          <w:color w:val="000000"/>
          <w:szCs w:val="22"/>
        </w:rPr>
        <w:t>Security of R</w:t>
      </w:r>
      <w:r w:rsidR="00100998">
        <w:rPr>
          <w:b/>
          <w:color w:val="000000"/>
          <w:szCs w:val="22"/>
        </w:rPr>
        <w:t xml:space="preserve">esearch </w:t>
      </w:r>
      <w:r w:rsidR="000C0370" w:rsidRPr="00A27BCE">
        <w:rPr>
          <w:b/>
          <w:color w:val="000000"/>
          <w:szCs w:val="22"/>
        </w:rPr>
        <w:t>R</w:t>
      </w:r>
      <w:r w:rsidR="00100998">
        <w:rPr>
          <w:b/>
          <w:color w:val="000000"/>
          <w:szCs w:val="22"/>
        </w:rPr>
        <w:t>eactor</w:t>
      </w:r>
      <w:r w:rsidR="000C0370" w:rsidRPr="00A27BCE">
        <w:rPr>
          <w:b/>
          <w:color w:val="000000"/>
          <w:szCs w:val="22"/>
        </w:rPr>
        <w:t>s</w:t>
      </w:r>
    </w:p>
    <w:p w14:paraId="4C88DA5D" w14:textId="06E9D0F0" w:rsidR="000C0370" w:rsidRPr="0084477E" w:rsidRDefault="000C0370" w:rsidP="00A27BCE">
      <w:pPr>
        <w:numPr>
          <w:ilvl w:val="0"/>
          <w:numId w:val="38"/>
        </w:numPr>
        <w:overflowPunct/>
        <w:autoSpaceDE/>
        <w:autoSpaceDN/>
        <w:adjustRightInd/>
        <w:spacing w:after="170" w:line="280" w:lineRule="atLeast"/>
        <w:jc w:val="both"/>
        <w:textAlignment w:val="auto"/>
        <w:rPr>
          <w:color w:val="000000"/>
          <w:szCs w:val="22"/>
        </w:rPr>
      </w:pPr>
      <w:r w:rsidRPr="00EF150D">
        <w:rPr>
          <w:color w:val="000000"/>
          <w:szCs w:val="22"/>
        </w:rPr>
        <w:t xml:space="preserve">Experience with </w:t>
      </w:r>
      <w:r w:rsidR="00A8012A" w:rsidRPr="0084477E">
        <w:rPr>
          <w:color w:val="000000"/>
          <w:szCs w:val="22"/>
        </w:rPr>
        <w:t>Inte</w:t>
      </w:r>
      <w:r w:rsidR="00A8012A">
        <w:rPr>
          <w:color w:val="000000"/>
          <w:szCs w:val="22"/>
        </w:rPr>
        <w:t>rnational</w:t>
      </w:r>
      <w:r w:rsidR="00A8012A" w:rsidRPr="00EF150D">
        <w:rPr>
          <w:color w:val="000000"/>
          <w:szCs w:val="22"/>
        </w:rPr>
        <w:t xml:space="preserve"> </w:t>
      </w:r>
      <w:r w:rsidRPr="0084477E">
        <w:rPr>
          <w:color w:val="000000"/>
          <w:szCs w:val="22"/>
        </w:rPr>
        <w:t>Physic</w:t>
      </w:r>
      <w:r w:rsidR="00A8012A">
        <w:rPr>
          <w:color w:val="000000"/>
          <w:szCs w:val="22"/>
        </w:rPr>
        <w:t>al</w:t>
      </w:r>
      <w:r w:rsidRPr="00EF150D">
        <w:rPr>
          <w:color w:val="000000"/>
          <w:szCs w:val="22"/>
        </w:rPr>
        <w:t xml:space="preserve"> Protection Advisory Service (IPPAS) missions</w:t>
      </w:r>
    </w:p>
    <w:p w14:paraId="392DF4CE" w14:textId="00B1110B" w:rsidR="000C0370" w:rsidRPr="00EF150D" w:rsidRDefault="000C0370" w:rsidP="008124CA">
      <w:pPr>
        <w:numPr>
          <w:ilvl w:val="0"/>
          <w:numId w:val="38"/>
        </w:numPr>
        <w:overflowPunct/>
        <w:autoSpaceDE/>
        <w:autoSpaceDN/>
        <w:adjustRightInd/>
        <w:spacing w:after="170" w:line="280" w:lineRule="atLeast"/>
        <w:jc w:val="both"/>
        <w:textAlignment w:val="auto"/>
        <w:rPr>
          <w:color w:val="000000"/>
          <w:szCs w:val="22"/>
        </w:rPr>
      </w:pPr>
      <w:r w:rsidRPr="0084477E">
        <w:rPr>
          <w:color w:val="000000"/>
          <w:szCs w:val="22"/>
        </w:rPr>
        <w:t xml:space="preserve">Experience with </w:t>
      </w:r>
      <w:r w:rsidR="00485194">
        <w:rPr>
          <w:color w:val="000000"/>
          <w:szCs w:val="22"/>
        </w:rPr>
        <w:t>implementation</w:t>
      </w:r>
      <w:r w:rsidRPr="0084477E">
        <w:rPr>
          <w:color w:val="000000"/>
          <w:szCs w:val="22"/>
        </w:rPr>
        <w:t xml:space="preserve"> of IAEA </w:t>
      </w:r>
      <w:r w:rsidR="008124CA">
        <w:rPr>
          <w:color w:val="000000"/>
          <w:szCs w:val="22"/>
        </w:rPr>
        <w:t>N</w:t>
      </w:r>
      <w:r w:rsidRPr="00EF150D">
        <w:rPr>
          <w:color w:val="000000"/>
          <w:szCs w:val="22"/>
        </w:rPr>
        <w:t xml:space="preserve">uclear </w:t>
      </w:r>
      <w:r w:rsidR="008124CA">
        <w:rPr>
          <w:color w:val="000000"/>
          <w:szCs w:val="22"/>
        </w:rPr>
        <w:t>S</w:t>
      </w:r>
      <w:r w:rsidRPr="00EF150D">
        <w:rPr>
          <w:color w:val="000000"/>
          <w:szCs w:val="22"/>
        </w:rPr>
        <w:t>ecurity</w:t>
      </w:r>
      <w:r w:rsidR="00485194">
        <w:rPr>
          <w:color w:val="000000"/>
          <w:szCs w:val="22"/>
        </w:rPr>
        <w:t xml:space="preserve"> </w:t>
      </w:r>
      <w:r w:rsidR="008124CA">
        <w:rPr>
          <w:color w:val="000000"/>
          <w:szCs w:val="22"/>
        </w:rPr>
        <w:t>S</w:t>
      </w:r>
      <w:r w:rsidR="00485194">
        <w:rPr>
          <w:color w:val="000000"/>
          <w:szCs w:val="22"/>
        </w:rPr>
        <w:t xml:space="preserve">eries </w:t>
      </w:r>
      <w:r w:rsidR="008E679B">
        <w:rPr>
          <w:color w:val="000000"/>
          <w:szCs w:val="22"/>
        </w:rPr>
        <w:t>publications</w:t>
      </w:r>
      <w:r w:rsidRPr="00EF150D">
        <w:rPr>
          <w:rStyle w:val="FootnoteReference"/>
          <w:color w:val="000000"/>
          <w:szCs w:val="22"/>
        </w:rPr>
        <w:footnoteReference w:id="3"/>
      </w:r>
    </w:p>
    <w:p w14:paraId="33156691" w14:textId="77777777" w:rsidR="000C0370" w:rsidRPr="0084477E" w:rsidRDefault="000C0370" w:rsidP="00A27BCE">
      <w:pPr>
        <w:numPr>
          <w:ilvl w:val="1"/>
          <w:numId w:val="44"/>
        </w:numPr>
        <w:overflowPunct/>
        <w:autoSpaceDE/>
        <w:autoSpaceDN/>
        <w:adjustRightInd/>
        <w:spacing w:after="170" w:line="280" w:lineRule="atLeast"/>
        <w:jc w:val="both"/>
        <w:textAlignment w:val="auto"/>
        <w:rPr>
          <w:color w:val="000000"/>
          <w:szCs w:val="22"/>
        </w:rPr>
      </w:pPr>
      <w:r w:rsidRPr="00EF150D">
        <w:rPr>
          <w:color w:val="000000"/>
          <w:szCs w:val="22"/>
        </w:rPr>
        <w:t xml:space="preserve">National regulatory </w:t>
      </w:r>
      <w:r w:rsidRPr="0084477E">
        <w:rPr>
          <w:color w:val="000000"/>
          <w:szCs w:val="22"/>
        </w:rPr>
        <w:t>oversight by the competent authorities</w:t>
      </w:r>
    </w:p>
    <w:p w14:paraId="570C9973" w14:textId="77777777" w:rsidR="000C0370" w:rsidRPr="00A27BCE" w:rsidRDefault="000C0370" w:rsidP="00A27BCE">
      <w:pPr>
        <w:numPr>
          <w:ilvl w:val="1"/>
          <w:numId w:val="44"/>
        </w:numPr>
        <w:overflowPunct/>
        <w:autoSpaceDE/>
        <w:autoSpaceDN/>
        <w:adjustRightInd/>
        <w:spacing w:after="170" w:line="280" w:lineRule="atLeast"/>
        <w:jc w:val="both"/>
        <w:textAlignment w:val="auto"/>
        <w:rPr>
          <w:color w:val="000000"/>
          <w:szCs w:val="22"/>
        </w:rPr>
      </w:pPr>
      <w:r w:rsidRPr="0084477E">
        <w:rPr>
          <w:color w:val="000000"/>
          <w:szCs w:val="22"/>
        </w:rPr>
        <w:t>Processes for licensing, inspections, compliance checking and enforcement of the nuclear security regime</w:t>
      </w:r>
    </w:p>
    <w:p w14:paraId="1967A347" w14:textId="75E14767" w:rsidR="000C0370" w:rsidRPr="0084477E" w:rsidRDefault="000C0370" w:rsidP="00A27BCE">
      <w:pPr>
        <w:numPr>
          <w:ilvl w:val="1"/>
          <w:numId w:val="44"/>
        </w:numPr>
        <w:overflowPunct/>
        <w:autoSpaceDE/>
        <w:autoSpaceDN/>
        <w:adjustRightInd/>
        <w:spacing w:after="170" w:line="280" w:lineRule="atLeast"/>
        <w:jc w:val="both"/>
        <w:textAlignment w:val="auto"/>
        <w:rPr>
          <w:color w:val="000000"/>
          <w:szCs w:val="22"/>
        </w:rPr>
      </w:pPr>
      <w:r w:rsidRPr="00A27BCE">
        <w:rPr>
          <w:color w:val="000000"/>
          <w:szCs w:val="22"/>
        </w:rPr>
        <w:t>Risk based approach</w:t>
      </w:r>
      <w:r w:rsidR="0071020A">
        <w:rPr>
          <w:color w:val="000000"/>
          <w:szCs w:val="22"/>
        </w:rPr>
        <w:t>,</w:t>
      </w:r>
      <w:r w:rsidRPr="00EF150D">
        <w:rPr>
          <w:color w:val="000000"/>
          <w:szCs w:val="22"/>
        </w:rPr>
        <w:t xml:space="preserve"> including threat assessment, design basis threat, risk management, graded approach and defe</w:t>
      </w:r>
      <w:r w:rsidRPr="0084477E">
        <w:rPr>
          <w:color w:val="000000"/>
          <w:szCs w:val="22"/>
        </w:rPr>
        <w:t>n</w:t>
      </w:r>
      <w:r w:rsidR="0071020A">
        <w:rPr>
          <w:color w:val="000000"/>
          <w:szCs w:val="22"/>
        </w:rPr>
        <w:t>c</w:t>
      </w:r>
      <w:r w:rsidRPr="00EF150D">
        <w:rPr>
          <w:color w:val="000000"/>
          <w:szCs w:val="22"/>
        </w:rPr>
        <w:t>e in depth</w:t>
      </w:r>
    </w:p>
    <w:p w14:paraId="37EF8DBF" w14:textId="77777777" w:rsidR="000C0370" w:rsidRPr="00A27BCE" w:rsidRDefault="000C0370" w:rsidP="00A27BCE">
      <w:pPr>
        <w:numPr>
          <w:ilvl w:val="1"/>
          <w:numId w:val="44"/>
        </w:numPr>
        <w:overflowPunct/>
        <w:autoSpaceDE/>
        <w:autoSpaceDN/>
        <w:adjustRightInd/>
        <w:spacing w:after="170" w:line="280" w:lineRule="atLeast"/>
        <w:jc w:val="both"/>
        <w:textAlignment w:val="auto"/>
        <w:rPr>
          <w:color w:val="000000"/>
          <w:szCs w:val="22"/>
        </w:rPr>
      </w:pPr>
      <w:r w:rsidRPr="0084477E">
        <w:rPr>
          <w:color w:val="000000"/>
          <w:szCs w:val="22"/>
        </w:rPr>
        <w:t>Transport security</w:t>
      </w:r>
    </w:p>
    <w:p w14:paraId="7C1D9FA4" w14:textId="77777777" w:rsidR="000C0370" w:rsidRPr="00A27BCE" w:rsidRDefault="000C0370" w:rsidP="00A27BCE">
      <w:pPr>
        <w:numPr>
          <w:ilvl w:val="0"/>
          <w:numId w:val="38"/>
        </w:numPr>
        <w:overflowPunct/>
        <w:autoSpaceDE/>
        <w:autoSpaceDN/>
        <w:adjustRightInd/>
        <w:spacing w:after="170" w:line="280" w:lineRule="atLeast"/>
        <w:jc w:val="both"/>
        <w:textAlignment w:val="auto"/>
        <w:rPr>
          <w:color w:val="000000"/>
          <w:szCs w:val="22"/>
        </w:rPr>
      </w:pPr>
      <w:r w:rsidRPr="00A27BCE">
        <w:rPr>
          <w:color w:val="000000"/>
          <w:szCs w:val="22"/>
        </w:rPr>
        <w:t>Implementing and sustaining facility security systems:</w:t>
      </w:r>
    </w:p>
    <w:p w14:paraId="17824CD1" w14:textId="77777777" w:rsidR="000C0370" w:rsidRPr="00A27BCE" w:rsidRDefault="000C0370" w:rsidP="00A27BCE">
      <w:pPr>
        <w:numPr>
          <w:ilvl w:val="1"/>
          <w:numId w:val="45"/>
        </w:numPr>
        <w:overflowPunct/>
        <w:autoSpaceDE/>
        <w:autoSpaceDN/>
        <w:adjustRightInd/>
        <w:spacing w:after="170" w:line="280" w:lineRule="atLeast"/>
        <w:jc w:val="both"/>
        <w:textAlignment w:val="auto"/>
        <w:rPr>
          <w:color w:val="000000"/>
          <w:szCs w:val="22"/>
        </w:rPr>
      </w:pPr>
      <w:r w:rsidRPr="00A27BCE">
        <w:rPr>
          <w:color w:val="000000"/>
          <w:szCs w:val="22"/>
        </w:rPr>
        <w:t>Threat assessment</w:t>
      </w:r>
    </w:p>
    <w:p w14:paraId="7CC9B986" w14:textId="77777777" w:rsidR="000C0370" w:rsidRPr="00A27BCE" w:rsidRDefault="000C0370" w:rsidP="00A27BCE">
      <w:pPr>
        <w:numPr>
          <w:ilvl w:val="1"/>
          <w:numId w:val="45"/>
        </w:numPr>
        <w:overflowPunct/>
        <w:autoSpaceDE/>
        <w:autoSpaceDN/>
        <w:adjustRightInd/>
        <w:spacing w:after="170" w:line="280" w:lineRule="atLeast"/>
        <w:jc w:val="both"/>
        <w:textAlignment w:val="auto"/>
        <w:rPr>
          <w:color w:val="000000"/>
          <w:szCs w:val="22"/>
        </w:rPr>
      </w:pPr>
      <w:r w:rsidRPr="00A27BCE">
        <w:rPr>
          <w:color w:val="000000"/>
          <w:szCs w:val="22"/>
        </w:rPr>
        <w:t>Protection systems and security plans, including computer security</w:t>
      </w:r>
    </w:p>
    <w:p w14:paraId="61DF5472" w14:textId="77777777" w:rsidR="000C0370" w:rsidRPr="00A27BCE" w:rsidRDefault="000C0370" w:rsidP="00A27BCE">
      <w:pPr>
        <w:numPr>
          <w:ilvl w:val="1"/>
          <w:numId w:val="45"/>
        </w:numPr>
        <w:overflowPunct/>
        <w:autoSpaceDE/>
        <w:autoSpaceDN/>
        <w:adjustRightInd/>
        <w:spacing w:after="170" w:line="280" w:lineRule="atLeast"/>
        <w:jc w:val="both"/>
        <w:textAlignment w:val="auto"/>
        <w:rPr>
          <w:color w:val="000000"/>
          <w:szCs w:val="22"/>
        </w:rPr>
      </w:pPr>
      <w:r w:rsidRPr="00A27BCE">
        <w:rPr>
          <w:color w:val="000000"/>
          <w:szCs w:val="22"/>
        </w:rPr>
        <w:t>Response and mitigation strategies</w:t>
      </w:r>
    </w:p>
    <w:p w14:paraId="4E17BBE7" w14:textId="684B973E" w:rsidR="000C0370" w:rsidRPr="00A27BCE" w:rsidRDefault="00C965AF" w:rsidP="00A27BCE">
      <w:pPr>
        <w:pStyle w:val="ListParagraph"/>
        <w:keepNext/>
        <w:spacing w:before="360" w:after="170" w:line="280" w:lineRule="atLeast"/>
        <w:ind w:left="0"/>
        <w:contextualSpacing w:val="0"/>
        <w:jc w:val="both"/>
        <w:rPr>
          <w:b/>
          <w:color w:val="000000"/>
          <w:szCs w:val="22"/>
        </w:rPr>
      </w:pPr>
      <w:r>
        <w:rPr>
          <w:b/>
          <w:color w:val="000000"/>
          <w:szCs w:val="22"/>
        </w:rPr>
        <w:t xml:space="preserve">6. </w:t>
      </w:r>
      <w:r w:rsidR="000C0370" w:rsidRPr="00A27BCE">
        <w:rPr>
          <w:b/>
          <w:color w:val="000000"/>
          <w:szCs w:val="22"/>
        </w:rPr>
        <w:t>R</w:t>
      </w:r>
      <w:r w:rsidR="00100998">
        <w:rPr>
          <w:b/>
          <w:color w:val="000000"/>
          <w:szCs w:val="22"/>
        </w:rPr>
        <w:t xml:space="preserve">esearch </w:t>
      </w:r>
      <w:r w:rsidR="000C0370" w:rsidRPr="00A27BCE">
        <w:rPr>
          <w:b/>
          <w:color w:val="000000"/>
          <w:szCs w:val="22"/>
        </w:rPr>
        <w:t>R</w:t>
      </w:r>
      <w:r w:rsidR="00100998">
        <w:rPr>
          <w:b/>
          <w:color w:val="000000"/>
          <w:szCs w:val="22"/>
        </w:rPr>
        <w:t>eactor</w:t>
      </w:r>
      <w:r w:rsidR="000C0370" w:rsidRPr="00A27BCE">
        <w:rPr>
          <w:b/>
          <w:color w:val="000000"/>
          <w:szCs w:val="22"/>
        </w:rPr>
        <w:t xml:space="preserve"> Spent Fuel Management and Decommissioning</w:t>
      </w:r>
    </w:p>
    <w:p w14:paraId="7F90699A" w14:textId="77777777" w:rsidR="000C0370" w:rsidRPr="0084477E" w:rsidRDefault="000C0370" w:rsidP="00A27BCE">
      <w:pPr>
        <w:numPr>
          <w:ilvl w:val="0"/>
          <w:numId w:val="36"/>
        </w:numPr>
        <w:tabs>
          <w:tab w:val="num" w:pos="-1264"/>
        </w:tabs>
        <w:spacing w:after="170" w:line="280" w:lineRule="atLeast"/>
        <w:ind w:left="284"/>
        <w:jc w:val="both"/>
        <w:rPr>
          <w:color w:val="000000"/>
          <w:szCs w:val="22"/>
        </w:rPr>
      </w:pPr>
      <w:r w:rsidRPr="00EF150D">
        <w:rPr>
          <w:color w:val="000000"/>
          <w:szCs w:val="22"/>
        </w:rPr>
        <w:t>Strategies for spent fuel disposal, including fuel return programmes</w:t>
      </w:r>
    </w:p>
    <w:p w14:paraId="62302D3B" w14:textId="77777777" w:rsidR="000C0370" w:rsidRPr="00A27BCE" w:rsidRDefault="000C0370" w:rsidP="00A27BCE">
      <w:pPr>
        <w:numPr>
          <w:ilvl w:val="0"/>
          <w:numId w:val="36"/>
        </w:numPr>
        <w:tabs>
          <w:tab w:val="num" w:pos="-1264"/>
        </w:tabs>
        <w:spacing w:after="170" w:line="280" w:lineRule="atLeast"/>
        <w:ind w:left="284"/>
        <w:jc w:val="both"/>
        <w:rPr>
          <w:color w:val="000000"/>
          <w:szCs w:val="22"/>
        </w:rPr>
      </w:pPr>
      <w:r w:rsidRPr="00A27BCE">
        <w:rPr>
          <w:color w:val="000000"/>
          <w:szCs w:val="22"/>
        </w:rPr>
        <w:t>Strategies for decommissioning, including waste management and disposal</w:t>
      </w:r>
    </w:p>
    <w:p w14:paraId="6D442D09" w14:textId="1ABC11A2" w:rsidR="000C0370" w:rsidRPr="00A27BCE" w:rsidRDefault="000C0370" w:rsidP="00A27BCE">
      <w:pPr>
        <w:numPr>
          <w:ilvl w:val="0"/>
          <w:numId w:val="36"/>
        </w:numPr>
        <w:tabs>
          <w:tab w:val="num" w:pos="-1264"/>
        </w:tabs>
        <w:spacing w:after="170" w:line="280" w:lineRule="atLeast"/>
        <w:ind w:left="284"/>
        <w:jc w:val="both"/>
        <w:rPr>
          <w:color w:val="000000"/>
          <w:szCs w:val="22"/>
        </w:rPr>
      </w:pPr>
      <w:r w:rsidRPr="00A27BCE">
        <w:rPr>
          <w:color w:val="000000"/>
          <w:szCs w:val="22"/>
        </w:rPr>
        <w:t>Management of the transition between definitive shutdown and decommissioning</w:t>
      </w:r>
    </w:p>
    <w:p w14:paraId="6B80B518" w14:textId="77777777" w:rsidR="000C0370" w:rsidRPr="00A27BCE" w:rsidRDefault="000C0370" w:rsidP="00A27BCE">
      <w:pPr>
        <w:numPr>
          <w:ilvl w:val="0"/>
          <w:numId w:val="36"/>
        </w:numPr>
        <w:tabs>
          <w:tab w:val="num" w:pos="-1264"/>
        </w:tabs>
        <w:spacing w:after="170" w:line="280" w:lineRule="atLeast"/>
        <w:ind w:left="284"/>
        <w:jc w:val="both"/>
        <w:rPr>
          <w:color w:val="000000"/>
          <w:szCs w:val="22"/>
        </w:rPr>
      </w:pPr>
      <w:r w:rsidRPr="00A27BCE">
        <w:rPr>
          <w:color w:val="000000"/>
          <w:szCs w:val="22"/>
        </w:rPr>
        <w:t>Experience with ongoing and recently completed decommissioning projects</w:t>
      </w:r>
    </w:p>
    <w:p w14:paraId="5A8B7D20" w14:textId="7E4A001A" w:rsidR="000C0370" w:rsidRPr="00A27BCE" w:rsidRDefault="00C965AF" w:rsidP="00421F1A">
      <w:pPr>
        <w:pStyle w:val="ListParagraph"/>
        <w:keepNext/>
        <w:spacing w:before="360" w:after="170" w:line="280" w:lineRule="atLeast"/>
        <w:ind w:left="0"/>
        <w:contextualSpacing w:val="0"/>
        <w:jc w:val="both"/>
        <w:rPr>
          <w:b/>
          <w:color w:val="000000"/>
          <w:szCs w:val="22"/>
        </w:rPr>
      </w:pPr>
      <w:r>
        <w:rPr>
          <w:b/>
          <w:color w:val="000000"/>
          <w:szCs w:val="22"/>
        </w:rPr>
        <w:t xml:space="preserve">7. </w:t>
      </w:r>
      <w:r w:rsidR="000C0370" w:rsidRPr="00A27BCE">
        <w:rPr>
          <w:b/>
          <w:color w:val="000000"/>
          <w:szCs w:val="22"/>
        </w:rPr>
        <w:t>Common Management Considerations for R</w:t>
      </w:r>
      <w:r w:rsidR="00100998">
        <w:rPr>
          <w:b/>
          <w:color w:val="000000"/>
          <w:szCs w:val="22"/>
        </w:rPr>
        <w:t xml:space="preserve">esearch </w:t>
      </w:r>
      <w:r w:rsidR="000C0370" w:rsidRPr="00A27BCE">
        <w:rPr>
          <w:b/>
          <w:color w:val="000000"/>
          <w:szCs w:val="22"/>
        </w:rPr>
        <w:t>R</w:t>
      </w:r>
      <w:r w:rsidR="00100998">
        <w:rPr>
          <w:b/>
          <w:color w:val="000000"/>
          <w:szCs w:val="22"/>
        </w:rPr>
        <w:t>eactor</w:t>
      </w:r>
      <w:r w:rsidR="000C0370" w:rsidRPr="00A27BCE">
        <w:rPr>
          <w:b/>
          <w:color w:val="000000"/>
          <w:szCs w:val="22"/>
        </w:rPr>
        <w:t>s</w:t>
      </w:r>
    </w:p>
    <w:p w14:paraId="344C16EF" w14:textId="39D46056" w:rsidR="000C0370" w:rsidRPr="0084477E" w:rsidRDefault="000C0370" w:rsidP="00A27BCE">
      <w:pPr>
        <w:numPr>
          <w:ilvl w:val="0"/>
          <w:numId w:val="36"/>
        </w:numPr>
        <w:tabs>
          <w:tab w:val="num" w:pos="-1264"/>
        </w:tabs>
        <w:spacing w:after="170" w:line="280" w:lineRule="atLeast"/>
        <w:ind w:left="284"/>
        <w:jc w:val="both"/>
        <w:rPr>
          <w:color w:val="000000"/>
          <w:szCs w:val="22"/>
        </w:rPr>
      </w:pPr>
      <w:r w:rsidRPr="00EF150D">
        <w:rPr>
          <w:color w:val="000000"/>
          <w:szCs w:val="22"/>
        </w:rPr>
        <w:t xml:space="preserve">Establishment and implementation of </w:t>
      </w:r>
      <w:r w:rsidR="0071020A">
        <w:rPr>
          <w:color w:val="000000"/>
          <w:szCs w:val="22"/>
        </w:rPr>
        <w:t xml:space="preserve">an </w:t>
      </w:r>
      <w:r w:rsidRPr="00EF150D">
        <w:rPr>
          <w:color w:val="000000"/>
          <w:szCs w:val="22"/>
        </w:rPr>
        <w:t xml:space="preserve">integrated management system, including </w:t>
      </w:r>
      <w:r w:rsidR="0071020A">
        <w:rPr>
          <w:color w:val="000000"/>
          <w:szCs w:val="22"/>
        </w:rPr>
        <w:t>q</w:t>
      </w:r>
      <w:r w:rsidRPr="00EF150D">
        <w:rPr>
          <w:color w:val="000000"/>
          <w:szCs w:val="22"/>
        </w:rPr>
        <w:t xml:space="preserve">uality </w:t>
      </w:r>
      <w:r w:rsidR="0071020A">
        <w:rPr>
          <w:color w:val="000000"/>
          <w:szCs w:val="22"/>
        </w:rPr>
        <w:t>a</w:t>
      </w:r>
      <w:r w:rsidRPr="00EF150D">
        <w:rPr>
          <w:color w:val="000000"/>
          <w:szCs w:val="22"/>
        </w:rPr>
        <w:t>ssurance programmes</w:t>
      </w:r>
    </w:p>
    <w:p w14:paraId="66188E49" w14:textId="25C1B93B" w:rsidR="000C0370" w:rsidRPr="00EF150D" w:rsidRDefault="000C0370" w:rsidP="00A27BCE">
      <w:pPr>
        <w:numPr>
          <w:ilvl w:val="0"/>
          <w:numId w:val="36"/>
        </w:numPr>
        <w:tabs>
          <w:tab w:val="num" w:pos="-1264"/>
        </w:tabs>
        <w:spacing w:after="170" w:line="280" w:lineRule="atLeast"/>
        <w:ind w:left="284"/>
        <w:jc w:val="both"/>
        <w:rPr>
          <w:color w:val="000000"/>
          <w:szCs w:val="22"/>
        </w:rPr>
      </w:pPr>
      <w:r w:rsidRPr="0084477E">
        <w:rPr>
          <w:color w:val="000000"/>
          <w:szCs w:val="22"/>
        </w:rPr>
        <w:t xml:space="preserve">Graded approach in application of </w:t>
      </w:r>
      <w:r w:rsidR="0068628A">
        <w:rPr>
          <w:color w:val="000000"/>
          <w:szCs w:val="22"/>
        </w:rPr>
        <w:t>management, technical and safety</w:t>
      </w:r>
      <w:r w:rsidRPr="0084477E">
        <w:rPr>
          <w:color w:val="000000"/>
          <w:szCs w:val="22"/>
        </w:rPr>
        <w:t xml:space="preserve"> requirements</w:t>
      </w:r>
    </w:p>
    <w:p w14:paraId="571780F4" w14:textId="147F29B0" w:rsidR="000C0370" w:rsidRPr="0084477E" w:rsidRDefault="000C0370" w:rsidP="00A27BCE">
      <w:pPr>
        <w:numPr>
          <w:ilvl w:val="0"/>
          <w:numId w:val="36"/>
        </w:numPr>
        <w:tabs>
          <w:tab w:val="num" w:pos="-1264"/>
        </w:tabs>
        <w:spacing w:after="170" w:line="280" w:lineRule="atLeast"/>
        <w:ind w:left="284"/>
        <w:jc w:val="both"/>
        <w:rPr>
          <w:color w:val="000000"/>
          <w:szCs w:val="22"/>
        </w:rPr>
      </w:pPr>
      <w:r w:rsidRPr="0084477E">
        <w:rPr>
          <w:color w:val="000000"/>
          <w:szCs w:val="22"/>
        </w:rPr>
        <w:t xml:space="preserve">Management and verification of </w:t>
      </w:r>
      <w:r w:rsidR="0071020A">
        <w:rPr>
          <w:color w:val="000000"/>
          <w:szCs w:val="22"/>
        </w:rPr>
        <w:t>s</w:t>
      </w:r>
      <w:r w:rsidRPr="00EF150D">
        <w:rPr>
          <w:color w:val="000000"/>
          <w:szCs w:val="22"/>
        </w:rPr>
        <w:t xml:space="preserve">afety and </w:t>
      </w:r>
      <w:r w:rsidR="0071020A">
        <w:rPr>
          <w:color w:val="000000"/>
          <w:szCs w:val="22"/>
        </w:rPr>
        <w:t>s</w:t>
      </w:r>
      <w:r w:rsidRPr="00EF150D">
        <w:rPr>
          <w:color w:val="000000"/>
          <w:szCs w:val="22"/>
        </w:rPr>
        <w:t>ecurity, including:</w:t>
      </w:r>
    </w:p>
    <w:p w14:paraId="3BBAE2D6" w14:textId="77777777" w:rsidR="000C0370" w:rsidRPr="00A27BCE" w:rsidRDefault="000C0370" w:rsidP="00A27BCE">
      <w:pPr>
        <w:numPr>
          <w:ilvl w:val="1"/>
          <w:numId w:val="44"/>
        </w:numPr>
        <w:tabs>
          <w:tab w:val="num" w:pos="1934"/>
        </w:tabs>
        <w:overflowPunct/>
        <w:autoSpaceDE/>
        <w:autoSpaceDN/>
        <w:adjustRightInd/>
        <w:spacing w:after="170" w:line="280" w:lineRule="atLeast"/>
        <w:jc w:val="both"/>
        <w:textAlignment w:val="auto"/>
        <w:rPr>
          <w:color w:val="000000"/>
          <w:szCs w:val="22"/>
        </w:rPr>
      </w:pPr>
      <w:r w:rsidRPr="00A27BCE">
        <w:rPr>
          <w:color w:val="000000"/>
          <w:szCs w:val="22"/>
        </w:rPr>
        <w:t>Safety and security culture</w:t>
      </w:r>
    </w:p>
    <w:p w14:paraId="0B9D0F8D" w14:textId="77777777" w:rsidR="000C0370" w:rsidRPr="00A27BCE" w:rsidRDefault="000C0370" w:rsidP="00A27BCE">
      <w:pPr>
        <w:numPr>
          <w:ilvl w:val="1"/>
          <w:numId w:val="44"/>
        </w:numPr>
        <w:overflowPunct/>
        <w:autoSpaceDE/>
        <w:autoSpaceDN/>
        <w:adjustRightInd/>
        <w:spacing w:after="170" w:line="280" w:lineRule="atLeast"/>
        <w:jc w:val="both"/>
        <w:textAlignment w:val="auto"/>
        <w:rPr>
          <w:color w:val="000000"/>
          <w:szCs w:val="22"/>
        </w:rPr>
      </w:pPr>
      <w:r w:rsidRPr="00A27BCE">
        <w:rPr>
          <w:color w:val="000000"/>
          <w:szCs w:val="22"/>
        </w:rPr>
        <w:t>Safety and security interfaces</w:t>
      </w:r>
    </w:p>
    <w:p w14:paraId="236A459A" w14:textId="6D6F0659" w:rsidR="000C0370" w:rsidRPr="00A27BCE" w:rsidRDefault="000C0370" w:rsidP="00A27BCE">
      <w:pPr>
        <w:numPr>
          <w:ilvl w:val="0"/>
          <w:numId w:val="36"/>
        </w:numPr>
        <w:tabs>
          <w:tab w:val="num" w:pos="-1264"/>
        </w:tabs>
        <w:spacing w:after="170" w:line="280" w:lineRule="atLeast"/>
        <w:ind w:left="284"/>
        <w:jc w:val="both"/>
        <w:rPr>
          <w:color w:val="000000"/>
          <w:szCs w:val="22"/>
        </w:rPr>
      </w:pPr>
      <w:r w:rsidRPr="00A27BCE">
        <w:rPr>
          <w:color w:val="000000"/>
          <w:szCs w:val="22"/>
        </w:rPr>
        <w:t>Human resource development, competence management, training, and succession planning</w:t>
      </w:r>
    </w:p>
    <w:p w14:paraId="3EFCF352" w14:textId="77777777" w:rsidR="000C0370" w:rsidRPr="00A27BCE" w:rsidRDefault="000C0370" w:rsidP="00A27BCE">
      <w:pPr>
        <w:numPr>
          <w:ilvl w:val="0"/>
          <w:numId w:val="36"/>
        </w:numPr>
        <w:tabs>
          <w:tab w:val="num" w:pos="-1264"/>
        </w:tabs>
        <w:spacing w:after="170" w:line="280" w:lineRule="atLeast"/>
        <w:ind w:left="284"/>
        <w:jc w:val="both"/>
        <w:rPr>
          <w:color w:val="000000"/>
          <w:szCs w:val="22"/>
        </w:rPr>
      </w:pPr>
      <w:r w:rsidRPr="00A27BCE">
        <w:rPr>
          <w:color w:val="000000"/>
          <w:szCs w:val="22"/>
        </w:rPr>
        <w:t>Operating and/or experimental data management and preservation</w:t>
      </w:r>
    </w:p>
    <w:p w14:paraId="090F6A7B" w14:textId="77777777" w:rsidR="000C0370" w:rsidRPr="00A27BCE" w:rsidRDefault="000C0370" w:rsidP="00A27BCE">
      <w:pPr>
        <w:numPr>
          <w:ilvl w:val="0"/>
          <w:numId w:val="36"/>
        </w:numPr>
        <w:tabs>
          <w:tab w:val="num" w:pos="-1264"/>
        </w:tabs>
        <w:spacing w:after="170" w:line="280" w:lineRule="atLeast"/>
        <w:ind w:left="284"/>
        <w:jc w:val="both"/>
        <w:rPr>
          <w:color w:val="000000"/>
          <w:szCs w:val="22"/>
        </w:rPr>
      </w:pPr>
      <w:r w:rsidRPr="00A27BCE">
        <w:rPr>
          <w:color w:val="000000"/>
          <w:szCs w:val="22"/>
        </w:rPr>
        <w:t>Configuration and documentation management</w:t>
      </w:r>
    </w:p>
    <w:p w14:paraId="2F74B46C" w14:textId="77777777" w:rsidR="000C0370" w:rsidRPr="00A27BCE" w:rsidRDefault="000C0370" w:rsidP="00A27BCE">
      <w:pPr>
        <w:numPr>
          <w:ilvl w:val="0"/>
          <w:numId w:val="36"/>
        </w:numPr>
        <w:tabs>
          <w:tab w:val="num" w:pos="-1264"/>
        </w:tabs>
        <w:spacing w:after="170" w:line="280" w:lineRule="atLeast"/>
        <w:ind w:left="284"/>
        <w:jc w:val="both"/>
        <w:rPr>
          <w:color w:val="000000"/>
          <w:szCs w:val="22"/>
        </w:rPr>
      </w:pPr>
      <w:r w:rsidRPr="00A27BCE">
        <w:rPr>
          <w:color w:val="000000"/>
          <w:szCs w:val="22"/>
        </w:rPr>
        <w:t>Management of facilities in extended shutdown (safety, security, surveillance and maintenance)</w:t>
      </w:r>
    </w:p>
    <w:p w14:paraId="07492016" w14:textId="57537420" w:rsidR="008F1F84" w:rsidRPr="008F1F84" w:rsidRDefault="008F1F84" w:rsidP="00BB2B0C">
      <w:pPr>
        <w:pStyle w:val="Heading1"/>
        <w:ind w:left="709" w:hanging="709"/>
      </w:pPr>
      <w:r w:rsidRPr="008F1F84">
        <w:t>Programme Structure</w:t>
      </w:r>
    </w:p>
    <w:p w14:paraId="1B60938F" w14:textId="13EBC036" w:rsidR="008F1F84" w:rsidRPr="00710EA4" w:rsidRDefault="008F1F84" w:rsidP="00A27BCE">
      <w:pPr>
        <w:pStyle w:val="BodyText"/>
        <w:rPr>
          <w:lang w:eastAsia="en-GB"/>
        </w:rPr>
      </w:pPr>
      <w:r w:rsidRPr="00710EA4">
        <w:rPr>
          <w:lang w:eastAsia="en-GB"/>
        </w:rPr>
        <w:t xml:space="preserve">The conference programme will consist of an opening session, technical sessions with invited and contributed papers, poster sessions and </w:t>
      </w:r>
      <w:r w:rsidR="0071020A">
        <w:rPr>
          <w:lang w:eastAsia="en-GB"/>
        </w:rPr>
        <w:t xml:space="preserve">a </w:t>
      </w:r>
      <w:r w:rsidRPr="00710EA4">
        <w:rPr>
          <w:lang w:eastAsia="en-GB"/>
        </w:rPr>
        <w:t xml:space="preserve">closing panel session. </w:t>
      </w:r>
      <w:r w:rsidR="0071020A">
        <w:rPr>
          <w:lang w:eastAsia="en-GB"/>
        </w:rPr>
        <w:t>Side events</w:t>
      </w:r>
      <w:r w:rsidRPr="00710EA4">
        <w:t xml:space="preserve"> on IAEA activities and services for </w:t>
      </w:r>
      <w:r w:rsidR="0071020A">
        <w:t>research reactors</w:t>
      </w:r>
      <w:r w:rsidR="0071020A" w:rsidRPr="00710EA4">
        <w:t xml:space="preserve"> </w:t>
      </w:r>
      <w:r w:rsidR="002430D7">
        <w:t xml:space="preserve">as well as </w:t>
      </w:r>
      <w:r w:rsidRPr="00710EA4">
        <w:t xml:space="preserve">on </w:t>
      </w:r>
      <w:r>
        <w:t>i</w:t>
      </w:r>
      <w:r w:rsidRPr="00710EA4">
        <w:t xml:space="preserve">ssues and challenges </w:t>
      </w:r>
      <w:r w:rsidR="0071020A">
        <w:t>i</w:t>
      </w:r>
      <w:r w:rsidRPr="00710EA4">
        <w:t xml:space="preserve">n new </w:t>
      </w:r>
      <w:r w:rsidR="0071020A">
        <w:t>research</w:t>
      </w:r>
      <w:r w:rsidR="0071020A" w:rsidRPr="00710EA4">
        <w:t xml:space="preserve"> </w:t>
      </w:r>
      <w:r w:rsidR="00A27BCE">
        <w:t xml:space="preserve">reactor </w:t>
      </w:r>
      <w:r w:rsidRPr="00710EA4">
        <w:t>project</w:t>
      </w:r>
      <w:r>
        <w:t>s</w:t>
      </w:r>
      <w:r w:rsidRPr="00710EA4">
        <w:rPr>
          <w:lang w:eastAsia="en-GB"/>
        </w:rPr>
        <w:t xml:space="preserve"> are scheduled (</w:t>
      </w:r>
      <w:r>
        <w:rPr>
          <w:lang w:eastAsia="en-GB"/>
        </w:rPr>
        <w:t>other</w:t>
      </w:r>
      <w:r w:rsidRPr="00710EA4">
        <w:t xml:space="preserve"> topics could be added based on </w:t>
      </w:r>
      <w:r w:rsidR="0071020A">
        <w:t xml:space="preserve">the </w:t>
      </w:r>
      <w:r w:rsidRPr="00710EA4">
        <w:t>expressions of interest</w:t>
      </w:r>
      <w:r w:rsidR="0071020A">
        <w:t xml:space="preserve"> received</w:t>
      </w:r>
      <w:r w:rsidRPr="00710EA4">
        <w:t>).</w:t>
      </w:r>
    </w:p>
    <w:p w14:paraId="32651DA1" w14:textId="23E781C1" w:rsidR="00561441" w:rsidRDefault="008F1F84" w:rsidP="00DA17CA">
      <w:pPr>
        <w:pStyle w:val="BodyText"/>
        <w:rPr>
          <w:lang w:eastAsia="en-GB"/>
        </w:rPr>
      </w:pPr>
      <w:r w:rsidRPr="003105DD">
        <w:rPr>
          <w:lang w:eastAsia="en-GB"/>
        </w:rPr>
        <w:t xml:space="preserve">Invited papers will </w:t>
      </w:r>
      <w:r>
        <w:rPr>
          <w:lang w:eastAsia="en-GB"/>
        </w:rPr>
        <w:t>cover</w:t>
      </w:r>
      <w:r w:rsidRPr="003105DD">
        <w:rPr>
          <w:lang w:eastAsia="en-GB"/>
        </w:rPr>
        <w:t xml:space="preserve"> </w:t>
      </w:r>
      <w:r>
        <w:rPr>
          <w:lang w:eastAsia="en-GB"/>
        </w:rPr>
        <w:t xml:space="preserve">major </w:t>
      </w:r>
      <w:r w:rsidRPr="003105DD">
        <w:rPr>
          <w:lang w:eastAsia="en-GB"/>
        </w:rPr>
        <w:t xml:space="preserve">issues of </w:t>
      </w:r>
      <w:r>
        <w:rPr>
          <w:lang w:eastAsia="en-GB"/>
        </w:rPr>
        <w:t>relevance in the conference topical areas</w:t>
      </w:r>
      <w:r w:rsidRPr="003105DD">
        <w:rPr>
          <w:lang w:eastAsia="en-GB"/>
        </w:rPr>
        <w:t>. A closing panel session will summarize the principal observations made during the conference and address important issues raised by the audience. At the end, summary conclusions and recommendations will be presented and discussed.</w:t>
      </w:r>
    </w:p>
    <w:p w14:paraId="1B542161" w14:textId="0951CD6B" w:rsidR="00CA5882" w:rsidRDefault="00F7035C" w:rsidP="00DA17CA">
      <w:pPr>
        <w:pStyle w:val="Heading1"/>
        <w:ind w:left="709" w:hanging="709"/>
      </w:pPr>
      <w:r>
        <w:t>Synopses, Papers and Proceedings</w:t>
      </w:r>
    </w:p>
    <w:p w14:paraId="07EC3B65" w14:textId="77777777" w:rsidR="00F7035C" w:rsidRDefault="00F7035C" w:rsidP="00060C39">
      <w:pPr>
        <w:pStyle w:val="BodyText"/>
        <w:keepNext/>
        <w:keepLines/>
        <w:widowControl w:val="0"/>
      </w:pPr>
      <w:r>
        <w:t>All papers submitted — other than invited keynote papers — must present original work and should not have been published elsewhere.</w:t>
      </w:r>
    </w:p>
    <w:p w14:paraId="2EFE378D" w14:textId="6532B32C" w:rsidR="006D57B9" w:rsidRPr="008F1F84" w:rsidRDefault="008F1F84" w:rsidP="006B34CB">
      <w:pPr>
        <w:pStyle w:val="Heading2"/>
      </w:pPr>
      <w:r>
        <w:t>E</w:t>
      </w:r>
      <w:r w:rsidR="006D57B9" w:rsidRPr="00322985">
        <w:t>.1</w:t>
      </w:r>
      <w:r w:rsidR="006D57B9" w:rsidRPr="00322985">
        <w:tab/>
      </w:r>
      <w:r w:rsidR="006D57B9" w:rsidRPr="008F1F84">
        <w:t xml:space="preserve">Submission of </w:t>
      </w:r>
      <w:r w:rsidR="000C0370" w:rsidRPr="008F1F84">
        <w:t>Synopses</w:t>
      </w:r>
    </w:p>
    <w:p w14:paraId="46CCEFAC" w14:textId="621120AF" w:rsidR="005C3B47" w:rsidRDefault="00A049A3" w:rsidP="0071020A">
      <w:pPr>
        <w:pStyle w:val="BodyText"/>
      </w:pPr>
      <w:r>
        <w:rPr>
          <w:szCs w:val="22"/>
        </w:rPr>
        <w:t xml:space="preserve">Persons who wish to present a </w:t>
      </w:r>
      <w:r>
        <w:t xml:space="preserve">paper </w:t>
      </w:r>
      <w:r w:rsidR="0071020A">
        <w:t xml:space="preserve">at the conference </w:t>
      </w:r>
      <w:r w:rsidR="001959BE">
        <w:t xml:space="preserve">on one of the topics listed under </w:t>
      </w:r>
      <w:r w:rsidR="001959BE" w:rsidRPr="008F1F84">
        <w:t xml:space="preserve">Section </w:t>
      </w:r>
      <w:r w:rsidR="0071020A">
        <w:fldChar w:fldCharType="begin"/>
      </w:r>
      <w:r w:rsidR="0071020A">
        <w:instrText xml:space="preserve"> REF _Ref393205873 \r \h </w:instrText>
      </w:r>
      <w:r w:rsidR="0071020A">
        <w:fldChar w:fldCharType="separate"/>
      </w:r>
      <w:r w:rsidR="002A5D8A">
        <w:rPr>
          <w:cs/>
        </w:rPr>
        <w:t>‎</w:t>
      </w:r>
      <w:r w:rsidR="002A5D8A">
        <w:t>C</w:t>
      </w:r>
      <w:r w:rsidR="0071020A">
        <w:fldChar w:fldCharType="end"/>
      </w:r>
      <w:r w:rsidR="001959BE">
        <w:t xml:space="preserve"> </w:t>
      </w:r>
      <w:r>
        <w:t xml:space="preserve">— either orally or in the form of a poster — must submit a synopsis of </w:t>
      </w:r>
      <w:r w:rsidRPr="00A049A3">
        <w:rPr>
          <w:b/>
        </w:rPr>
        <w:t>800 words maximum</w:t>
      </w:r>
      <w:r>
        <w:t xml:space="preserve"> (not exceeding </w:t>
      </w:r>
      <w:r w:rsidR="0071020A">
        <w:t>two</w:t>
      </w:r>
      <w:r>
        <w:t xml:space="preserve"> pages</w:t>
      </w:r>
      <w:r w:rsidR="0071020A">
        <w:t>,</w:t>
      </w:r>
      <w:r>
        <w:t xml:space="preserve"> including figures and tables) </w:t>
      </w:r>
      <w:r>
        <w:rPr>
          <w:b/>
          <w:bCs/>
        </w:rPr>
        <w:t>in electronic format</w:t>
      </w:r>
      <w:r>
        <w:t xml:space="preserve"> (no paper copies) directly to the IAEA.</w:t>
      </w:r>
    </w:p>
    <w:p w14:paraId="68C042DF" w14:textId="360794EB" w:rsidR="005C3B47" w:rsidRDefault="005C3B47" w:rsidP="00060C39">
      <w:pPr>
        <w:pStyle w:val="BodyText"/>
      </w:pPr>
      <w:r>
        <w:t xml:space="preserve">The synopsis should give enough information on the contents of the proposed paper to enable the </w:t>
      </w:r>
      <w:r w:rsidR="002430D7">
        <w:t xml:space="preserve">Technical </w:t>
      </w:r>
      <w:r>
        <w:t>Programme Committee to evaluate it. Including too many introductory and general matters should be avoided.</w:t>
      </w:r>
      <w:r>
        <w:rPr>
          <w:szCs w:val="22"/>
        </w:rPr>
        <w:t xml:space="preserve"> The accepted synopses will be reproduced in unedited form in the electronic </w:t>
      </w:r>
      <w:r w:rsidR="00060C39">
        <w:rPr>
          <w:i/>
          <w:szCs w:val="22"/>
        </w:rPr>
        <w:t>Compilation</w:t>
      </w:r>
      <w:r>
        <w:rPr>
          <w:i/>
          <w:szCs w:val="22"/>
        </w:rPr>
        <w:t xml:space="preserve"> of Synopses</w:t>
      </w:r>
      <w:r>
        <w:rPr>
          <w:szCs w:val="22"/>
        </w:rPr>
        <w:t xml:space="preserve"> which will be distributed to all participants at the conference.</w:t>
      </w:r>
    </w:p>
    <w:p w14:paraId="0F9985E5" w14:textId="56399ECC" w:rsidR="001959BE" w:rsidRDefault="00A049A3" w:rsidP="0071020A">
      <w:pPr>
        <w:pStyle w:val="BodyText"/>
      </w:pPr>
      <w:r>
        <w:t>Instructions on how to upload the synopsis to the conference’s web browser-based file submission system (IAEA-INDICO) will be available on the conference web page (</w:t>
      </w:r>
      <w:r w:rsidRPr="008F1F84">
        <w:t xml:space="preserve">see Section </w:t>
      </w:r>
      <w:r w:rsidR="00ED01C1">
        <w:t>O</w:t>
      </w:r>
      <w:r>
        <w:t xml:space="preserve">) as of </w:t>
      </w:r>
      <w:r w:rsidR="005C3B47">
        <w:rPr>
          <w:b/>
        </w:rPr>
        <w:t>1 February 2015</w:t>
      </w:r>
      <w:r>
        <w:t>.</w:t>
      </w:r>
    </w:p>
    <w:p w14:paraId="0B825647" w14:textId="0FB25E23" w:rsidR="00A049A3" w:rsidRDefault="00A049A3" w:rsidP="00A049A3">
      <w:pPr>
        <w:pStyle w:val="BodyText"/>
      </w:pPr>
      <w:r>
        <w:t xml:space="preserve">The synopses </w:t>
      </w:r>
      <w:r>
        <w:rPr>
          <w:b/>
          <w:bCs/>
        </w:rPr>
        <w:t>must</w:t>
      </w:r>
      <w:r>
        <w:t xml:space="preserve"> be submitted through this system by </w:t>
      </w:r>
      <w:r>
        <w:rPr>
          <w:b/>
          <w:bCs/>
        </w:rPr>
        <w:t>1 May 2015</w:t>
      </w:r>
      <w:r>
        <w:t>. No other submission route will be accepted.</w:t>
      </w:r>
    </w:p>
    <w:p w14:paraId="69A35F5D" w14:textId="34A88403" w:rsidR="005C3B47" w:rsidRDefault="005C3B47" w:rsidP="00A049A3">
      <w:pPr>
        <w:pStyle w:val="BodyText"/>
        <w:rPr>
          <w:rFonts w:cs="Arial"/>
          <w:szCs w:val="22"/>
          <w:u w:val="single"/>
        </w:rPr>
      </w:pPr>
      <w:r w:rsidRPr="00421F1A">
        <w:t>It is the responsibility of the author</w:t>
      </w:r>
      <w:r w:rsidR="00CB7952">
        <w:t>s</w:t>
      </w:r>
      <w:r w:rsidRPr="00421F1A">
        <w:t xml:space="preserve"> to ensure that the </w:t>
      </w:r>
      <w:r w:rsidR="00421F1A" w:rsidRPr="00421F1A">
        <w:t xml:space="preserve">submitted </w:t>
      </w:r>
      <w:r w:rsidR="00CB7952" w:rsidRPr="00421F1A">
        <w:t>synops</w:t>
      </w:r>
      <w:r w:rsidR="00CB7952">
        <w:t>es</w:t>
      </w:r>
      <w:r w:rsidR="00CB7952" w:rsidRPr="00421F1A">
        <w:t xml:space="preserve"> </w:t>
      </w:r>
      <w:r w:rsidR="00CB7952">
        <w:t>have</w:t>
      </w:r>
      <w:r w:rsidR="00CB7952" w:rsidRPr="00421F1A">
        <w:t xml:space="preserve"> </w:t>
      </w:r>
      <w:r w:rsidRPr="00421F1A">
        <w:t>received any necessary clearance by their relevant government</w:t>
      </w:r>
      <w:r w:rsidR="00421F1A" w:rsidRPr="00421F1A">
        <w:t>al</w:t>
      </w:r>
      <w:r w:rsidRPr="00421F1A">
        <w:t xml:space="preserve"> authorities.</w:t>
      </w:r>
    </w:p>
    <w:p w14:paraId="2234A0BC" w14:textId="02D77346" w:rsidR="00A049A3" w:rsidRDefault="00A049A3" w:rsidP="00DA17CA">
      <w:pPr>
        <w:pStyle w:val="BodyText"/>
      </w:pPr>
      <w:r>
        <w:t xml:space="preserve">In addition, authors must submit the following two forms to their appropriate governmental authority (see </w:t>
      </w:r>
      <w:r w:rsidR="00877B9B" w:rsidRPr="00877B9B">
        <w:t>S</w:t>
      </w:r>
      <w:r w:rsidRPr="00877B9B">
        <w:t xml:space="preserve">ection </w:t>
      </w:r>
      <w:r w:rsidR="00C965AF">
        <w:fldChar w:fldCharType="begin"/>
      </w:r>
      <w:r w:rsidR="00C965AF">
        <w:instrText xml:space="preserve"> REF _Ref393205984 \r \h </w:instrText>
      </w:r>
      <w:r w:rsidR="00C965AF">
        <w:fldChar w:fldCharType="separate"/>
      </w:r>
      <w:r w:rsidR="002A5D8A">
        <w:rPr>
          <w:cs/>
        </w:rPr>
        <w:t>‎</w:t>
      </w:r>
      <w:r w:rsidR="002A5D8A">
        <w:t>F</w:t>
      </w:r>
      <w:r w:rsidR="00C965AF">
        <w:fldChar w:fldCharType="end"/>
      </w:r>
      <w:r>
        <w:t>) for transmission to the IAEA. These forms must be received by the IAEA no</w:t>
      </w:r>
      <w:r w:rsidR="00C965AF">
        <w:t>t</w:t>
      </w:r>
      <w:r>
        <w:t xml:space="preserve"> later than </w:t>
      </w:r>
      <w:r w:rsidR="00DA17CA">
        <w:rPr>
          <w:b/>
        </w:rPr>
        <w:t>1 May </w:t>
      </w:r>
      <w:r>
        <w:rPr>
          <w:b/>
        </w:rPr>
        <w:t>2015</w:t>
      </w:r>
      <w:r>
        <w:t>.</w:t>
      </w:r>
    </w:p>
    <w:p w14:paraId="580715F3" w14:textId="77777777" w:rsidR="00A049A3" w:rsidRDefault="00A049A3" w:rsidP="00A049A3">
      <w:pPr>
        <w:numPr>
          <w:ilvl w:val="0"/>
          <w:numId w:val="46"/>
        </w:numPr>
        <w:spacing w:before="120" w:after="120"/>
        <w:textAlignment w:val="auto"/>
        <w:rPr>
          <w:color w:val="000000"/>
          <w:szCs w:val="11"/>
        </w:rPr>
      </w:pPr>
      <w:r>
        <w:rPr>
          <w:color w:val="000000"/>
          <w:szCs w:val="11"/>
        </w:rPr>
        <w:t>Participation Form (Form A)</w:t>
      </w:r>
    </w:p>
    <w:p w14:paraId="22E1FA53" w14:textId="77777777" w:rsidR="00A049A3" w:rsidRDefault="00A049A3" w:rsidP="00A049A3">
      <w:pPr>
        <w:numPr>
          <w:ilvl w:val="0"/>
          <w:numId w:val="46"/>
        </w:numPr>
        <w:spacing w:before="120" w:after="120"/>
        <w:ind w:left="714" w:hanging="357"/>
        <w:textAlignment w:val="auto"/>
        <w:rPr>
          <w:bCs/>
          <w:color w:val="000000"/>
        </w:rPr>
      </w:pPr>
      <w:r>
        <w:rPr>
          <w:color w:val="000000"/>
          <w:szCs w:val="11"/>
        </w:rPr>
        <w:t>Form for Submission of a Paper (Form B)</w:t>
      </w:r>
    </w:p>
    <w:p w14:paraId="6A7F8D7C" w14:textId="2D268042" w:rsidR="006D57B9" w:rsidRPr="005C3B47" w:rsidRDefault="00A049A3" w:rsidP="00C965AF">
      <w:pPr>
        <w:pStyle w:val="BodyText"/>
      </w:pPr>
      <w:r>
        <w:rPr>
          <w:b/>
          <w:bCs/>
          <w:color w:val="000000"/>
        </w:rPr>
        <w:t>IMPORTANT:</w:t>
      </w:r>
      <w:r>
        <w:rPr>
          <w:bCs/>
          <w:color w:val="000000"/>
        </w:rPr>
        <w:t xml:space="preserve"> </w:t>
      </w:r>
      <w:r>
        <w:t xml:space="preserve">The electronically received synopses will be considered by the </w:t>
      </w:r>
      <w:r w:rsidR="002430D7">
        <w:t xml:space="preserve">Technical </w:t>
      </w:r>
      <w:r>
        <w:t>Programme Committee only if these two forms have been received by the IAEA through the established official channels (</w:t>
      </w:r>
      <w:r w:rsidRPr="00877B9B">
        <w:t xml:space="preserve">see Section </w:t>
      </w:r>
      <w:r w:rsidR="00C965AF">
        <w:fldChar w:fldCharType="begin"/>
      </w:r>
      <w:r w:rsidR="00C965AF">
        <w:instrText xml:space="preserve"> REF _Ref393205984 \r \h </w:instrText>
      </w:r>
      <w:r w:rsidR="00C965AF">
        <w:fldChar w:fldCharType="separate"/>
      </w:r>
      <w:r w:rsidR="002A5D8A">
        <w:rPr>
          <w:cs/>
        </w:rPr>
        <w:t>‎</w:t>
      </w:r>
      <w:r w:rsidR="002A5D8A">
        <w:t>F</w:t>
      </w:r>
      <w:r w:rsidR="00C965AF">
        <w:fldChar w:fldCharType="end"/>
      </w:r>
      <w:r>
        <w:t>).</w:t>
      </w:r>
    </w:p>
    <w:p w14:paraId="3EFDE49B" w14:textId="031B8F6D" w:rsidR="006D57B9" w:rsidRPr="00877B9B" w:rsidRDefault="008F1F84" w:rsidP="0071020A">
      <w:pPr>
        <w:pStyle w:val="Heading2"/>
      </w:pPr>
      <w:r w:rsidRPr="00877B9B">
        <w:t>E</w:t>
      </w:r>
      <w:r w:rsidR="006D57B9" w:rsidRPr="00877B9B">
        <w:t>.2</w:t>
      </w:r>
      <w:r w:rsidR="006D57B9" w:rsidRPr="00877B9B">
        <w:tab/>
        <w:t xml:space="preserve">Acceptance of </w:t>
      </w:r>
      <w:r w:rsidR="001959BE" w:rsidRPr="00877B9B">
        <w:t>Synopses</w:t>
      </w:r>
    </w:p>
    <w:p w14:paraId="74B65EFF" w14:textId="5359F7A7" w:rsidR="001959BE" w:rsidRDefault="001959BE" w:rsidP="00C965AF">
      <w:pPr>
        <w:pStyle w:val="BodyText"/>
      </w:pPr>
      <w:r>
        <w:t xml:space="preserve">Given the number of synopses anticipated and the need to provide ample time for discussion, the number of papers that can be accepted for oral presentation is limited. Authors who prefer to present their papers as posters are requested to indicate this preference on </w:t>
      </w:r>
      <w:r w:rsidR="00C965AF">
        <w:t xml:space="preserve">Form </w:t>
      </w:r>
      <w:r>
        <w:t>A.</w:t>
      </w:r>
    </w:p>
    <w:p w14:paraId="136761A3" w14:textId="3D7E9E35" w:rsidR="001959BE" w:rsidRDefault="001959BE" w:rsidP="00C965AF">
      <w:pPr>
        <w:pStyle w:val="BodyText"/>
      </w:pPr>
      <w:r>
        <w:rPr>
          <w:szCs w:val="22"/>
        </w:rPr>
        <w:t xml:space="preserve">Authors will be notified by </w:t>
      </w:r>
      <w:r w:rsidR="005C3B47">
        <w:rPr>
          <w:b/>
          <w:szCs w:val="22"/>
        </w:rPr>
        <w:t>30 June 2015</w:t>
      </w:r>
      <w:r>
        <w:rPr>
          <w:szCs w:val="22"/>
        </w:rPr>
        <w:t xml:space="preserve"> </w:t>
      </w:r>
      <w:r w:rsidR="00C965AF">
        <w:rPr>
          <w:szCs w:val="22"/>
        </w:rPr>
        <w:t xml:space="preserve">as to </w:t>
      </w:r>
      <w:r>
        <w:rPr>
          <w:szCs w:val="22"/>
        </w:rPr>
        <w:t>whether their papers have been accepted for oral or poster presentation.</w:t>
      </w:r>
    </w:p>
    <w:p w14:paraId="2F580844" w14:textId="15B3B12A" w:rsidR="001959BE" w:rsidRPr="008F1F84" w:rsidRDefault="008F1F84" w:rsidP="008F1F84">
      <w:pPr>
        <w:pStyle w:val="Heading2"/>
      </w:pPr>
      <w:r w:rsidRPr="008F1F84">
        <w:t>E</w:t>
      </w:r>
      <w:r w:rsidR="005C3B47" w:rsidRPr="008F1F84">
        <w:t>.3</w:t>
      </w:r>
      <w:r w:rsidR="005C3B47" w:rsidRPr="008F1F84">
        <w:tab/>
        <w:t>Submission of Full Papers</w:t>
      </w:r>
    </w:p>
    <w:p w14:paraId="74EE01F6" w14:textId="1E6DE357" w:rsidR="0023368A" w:rsidRPr="00CB7952" w:rsidRDefault="0023368A" w:rsidP="00DA17CA">
      <w:pPr>
        <w:pStyle w:val="BodyText"/>
        <w:rPr>
          <w:szCs w:val="22"/>
        </w:rPr>
      </w:pPr>
      <w:r w:rsidRPr="00CB7952">
        <w:rPr>
          <w:szCs w:val="22"/>
        </w:rPr>
        <w:t>Authors of accepted papers will be requested to submit a full length paper (</w:t>
      </w:r>
      <w:r w:rsidRPr="00CB7952">
        <w:rPr>
          <w:b/>
          <w:szCs w:val="22"/>
        </w:rPr>
        <w:t xml:space="preserve">maximum of </w:t>
      </w:r>
      <w:r w:rsidR="00CB7952" w:rsidRPr="00CB7952">
        <w:rPr>
          <w:b/>
          <w:szCs w:val="22"/>
        </w:rPr>
        <w:t xml:space="preserve">8 </w:t>
      </w:r>
      <w:r w:rsidRPr="00CB7952">
        <w:rPr>
          <w:b/>
          <w:szCs w:val="22"/>
        </w:rPr>
        <w:t>pages</w:t>
      </w:r>
      <w:r w:rsidRPr="00CB7952">
        <w:rPr>
          <w:szCs w:val="22"/>
        </w:rPr>
        <w:t>) taking into account reviewers’ comments and recommendations.</w:t>
      </w:r>
    </w:p>
    <w:p w14:paraId="54059A48" w14:textId="7B8DE760" w:rsidR="0023368A" w:rsidRPr="00CB7952" w:rsidRDefault="0023368A" w:rsidP="00C965AF">
      <w:pPr>
        <w:pStyle w:val="BodyText"/>
      </w:pPr>
      <w:r w:rsidRPr="00CB7952">
        <w:t xml:space="preserve">The </w:t>
      </w:r>
      <w:r w:rsidR="00A27BCE" w:rsidRPr="00CB7952">
        <w:t xml:space="preserve">IAEA </w:t>
      </w:r>
      <w:r w:rsidRPr="00CB7952">
        <w:t xml:space="preserve">reserves the right to exclude papers that do not comply with its quality standards and/or that do not apply to one of the topics outlined in Section </w:t>
      </w:r>
      <w:r w:rsidR="00C965AF" w:rsidRPr="00CB7952">
        <w:fldChar w:fldCharType="begin"/>
      </w:r>
      <w:r w:rsidR="00C965AF" w:rsidRPr="00CB7952">
        <w:instrText xml:space="preserve"> REF _Ref393205873 \r \h </w:instrText>
      </w:r>
      <w:r w:rsidR="00CB7952">
        <w:instrText xml:space="preserve"> \* MERGEFORMAT </w:instrText>
      </w:r>
      <w:r w:rsidR="00C965AF" w:rsidRPr="00CB7952">
        <w:fldChar w:fldCharType="separate"/>
      </w:r>
      <w:r w:rsidR="002A5D8A">
        <w:rPr>
          <w:cs/>
        </w:rPr>
        <w:t>‎</w:t>
      </w:r>
      <w:r w:rsidR="002A5D8A">
        <w:t>C</w:t>
      </w:r>
      <w:r w:rsidR="00C965AF" w:rsidRPr="00CB7952">
        <w:fldChar w:fldCharType="end"/>
      </w:r>
      <w:r w:rsidRPr="00CB7952">
        <w:t xml:space="preserve"> above</w:t>
      </w:r>
      <w:r w:rsidR="00CB7952" w:rsidRPr="00CB7952">
        <w:t xml:space="preserve"> and/or that</w:t>
      </w:r>
      <w:r w:rsidR="00CB7952" w:rsidRPr="00CB7952">
        <w:rPr>
          <w:szCs w:val="22"/>
        </w:rPr>
        <w:t xml:space="preserve"> do not meet the expectations based on the information given in the extended synopsis.</w:t>
      </w:r>
    </w:p>
    <w:p w14:paraId="05BB49C9" w14:textId="372FDB1A" w:rsidR="0023368A" w:rsidRDefault="0023368A" w:rsidP="0023368A">
      <w:pPr>
        <w:pStyle w:val="BodyTextMultiline"/>
        <w:numPr>
          <w:ilvl w:val="0"/>
          <w:numId w:val="0"/>
        </w:numPr>
        <w:tabs>
          <w:tab w:val="left" w:pos="720"/>
        </w:tabs>
      </w:pPr>
      <w:r>
        <w:t xml:space="preserve">Full papers must also be submitted through the IAEA-INDICO file submission system. Specifications for the layout and electronic format of the full papers will be available on the conference web page. The deadline for electronic submission of the full papers as PDF files is </w:t>
      </w:r>
      <w:r>
        <w:rPr>
          <w:b/>
        </w:rPr>
        <w:t>30 September 2015</w:t>
      </w:r>
      <w:r>
        <w:t>.</w:t>
      </w:r>
    </w:p>
    <w:p w14:paraId="566BC40A" w14:textId="31399B0C" w:rsidR="00CB7952" w:rsidRDefault="00CB7952" w:rsidP="00CB7952">
      <w:pPr>
        <w:pStyle w:val="BodyText"/>
        <w:rPr>
          <w:rFonts w:cs="Arial"/>
          <w:szCs w:val="22"/>
          <w:u w:val="single"/>
        </w:rPr>
      </w:pPr>
      <w:r w:rsidRPr="00421F1A">
        <w:t>It is the responsibility of the author</w:t>
      </w:r>
      <w:r>
        <w:t>s</w:t>
      </w:r>
      <w:r w:rsidRPr="00421F1A">
        <w:t xml:space="preserve"> to ensure that the submitted </w:t>
      </w:r>
      <w:r>
        <w:t>papers</w:t>
      </w:r>
      <w:r w:rsidRPr="00421F1A">
        <w:t xml:space="preserve"> </w:t>
      </w:r>
      <w:r>
        <w:t>have</w:t>
      </w:r>
      <w:r w:rsidRPr="00421F1A">
        <w:t xml:space="preserve"> received any necessary clearance by their relevant governmental authorities.</w:t>
      </w:r>
    </w:p>
    <w:p w14:paraId="50418C03" w14:textId="12A4EDCA" w:rsidR="005C3B47" w:rsidRPr="005C3B47" w:rsidRDefault="0023368A" w:rsidP="006E544F">
      <w:pPr>
        <w:pStyle w:val="BodyTextMultiline"/>
        <w:numPr>
          <w:ilvl w:val="0"/>
          <w:numId w:val="0"/>
        </w:numPr>
        <w:tabs>
          <w:tab w:val="left" w:pos="720"/>
        </w:tabs>
        <w:rPr>
          <w:highlight w:val="yellow"/>
        </w:rPr>
      </w:pPr>
      <w:r>
        <w:rPr>
          <w:b/>
        </w:rPr>
        <w:t>IMPORTANT:</w:t>
      </w:r>
      <w:r>
        <w:t xml:space="preserve"> The system for electronic submission of papers, IAEA-INDICO, is the sole mechanism for submission of regular papers. Authors are encouraged to submit papers as early as possible.</w:t>
      </w:r>
    </w:p>
    <w:p w14:paraId="6E392149" w14:textId="5B6AD2E7" w:rsidR="006D57B9" w:rsidRPr="008F1F84" w:rsidRDefault="008F1F84" w:rsidP="008F1F84">
      <w:pPr>
        <w:pStyle w:val="Heading2"/>
      </w:pPr>
      <w:r w:rsidRPr="008F1F84">
        <w:t>E</w:t>
      </w:r>
      <w:r w:rsidR="006D57B9" w:rsidRPr="008F1F84">
        <w:t>.</w:t>
      </w:r>
      <w:r w:rsidR="005C3B47" w:rsidRPr="008F1F84">
        <w:t>4</w:t>
      </w:r>
      <w:r w:rsidR="006D57B9" w:rsidRPr="008F1F84">
        <w:tab/>
      </w:r>
      <w:r w:rsidR="0023368A" w:rsidRPr="008F1F84">
        <w:t xml:space="preserve">Conference </w:t>
      </w:r>
      <w:r w:rsidR="006D57B9" w:rsidRPr="008F1F84">
        <w:t>Proceedings</w:t>
      </w:r>
    </w:p>
    <w:p w14:paraId="50449A92" w14:textId="484BAEF5" w:rsidR="00CA5882" w:rsidRPr="00CB7952" w:rsidRDefault="006D57B9" w:rsidP="006D57B9">
      <w:pPr>
        <w:pStyle w:val="BodyText"/>
      </w:pPr>
      <w:r w:rsidRPr="00CB7952">
        <w:t>The proceedings</w:t>
      </w:r>
      <w:bookmarkStart w:id="2" w:name="_Ref388282111"/>
      <w:r w:rsidRPr="00CB7952">
        <w:t xml:space="preserve"> of the confe</w:t>
      </w:r>
      <w:bookmarkEnd w:id="2"/>
      <w:r w:rsidRPr="00CB7952">
        <w:t>rence will be published by the IAEA and made available on its website as soon as possible after the conference</w:t>
      </w:r>
      <w:r w:rsidR="00CB7952" w:rsidRPr="00CB7952">
        <w:t>.</w:t>
      </w:r>
    </w:p>
    <w:p w14:paraId="52E45B4E" w14:textId="57A0DF2C" w:rsidR="00750DF0" w:rsidRPr="0089569A" w:rsidRDefault="006D57B9" w:rsidP="00BB2B0C">
      <w:pPr>
        <w:pStyle w:val="Heading1"/>
        <w:ind w:left="567" w:hanging="567"/>
      </w:pPr>
      <w:bookmarkStart w:id="3" w:name="_Ref393205984"/>
      <w:r w:rsidRPr="0089569A">
        <w:t>Participation</w:t>
      </w:r>
      <w:r w:rsidR="0023368A" w:rsidRPr="0089569A">
        <w:t xml:space="preserve"> and Registration</w:t>
      </w:r>
      <w:bookmarkEnd w:id="3"/>
    </w:p>
    <w:p w14:paraId="74BD7492" w14:textId="3CE97C2A" w:rsidR="006D57B9" w:rsidRPr="0089569A" w:rsidRDefault="006D57B9" w:rsidP="00DA17CA">
      <w:pPr>
        <w:pStyle w:val="BodyText"/>
      </w:pPr>
      <w:r w:rsidRPr="0089569A">
        <w:t xml:space="preserve">The </w:t>
      </w:r>
      <w:r w:rsidR="00FD7628">
        <w:t xml:space="preserve">target audience of the </w:t>
      </w:r>
      <w:r w:rsidRPr="0089569A">
        <w:t xml:space="preserve">conference is </w:t>
      </w:r>
      <w:r w:rsidR="00FD7628">
        <w:t xml:space="preserve">the </w:t>
      </w:r>
      <w:r w:rsidR="00DA17CA">
        <w:t>global</w:t>
      </w:r>
      <w:r w:rsidR="001C15FC">
        <w:t xml:space="preserve"> research reactor community, including research reactor operating organizations, regulatory </w:t>
      </w:r>
      <w:r w:rsidR="00DA17CA">
        <w:t>bodies</w:t>
      </w:r>
      <w:r w:rsidR="001C15FC">
        <w:t>, governmental institutions, research reactors users and other stakeholders.</w:t>
      </w:r>
    </w:p>
    <w:p w14:paraId="232DF309" w14:textId="22261866" w:rsidR="006D57B9" w:rsidRPr="0089569A" w:rsidRDefault="006D57B9" w:rsidP="006D57B9">
      <w:pPr>
        <w:pStyle w:val="BodyText"/>
      </w:pPr>
      <w:r w:rsidRPr="0089569A">
        <w:t xml:space="preserve">All persons wishing to participate in the conference are requested to </w:t>
      </w:r>
      <w:r w:rsidRPr="0089569A">
        <w:rPr>
          <w:b/>
          <w:bCs/>
        </w:rPr>
        <w:t xml:space="preserve">register online in advance </w:t>
      </w:r>
      <w:r w:rsidRPr="0089569A">
        <w:rPr>
          <w:bCs/>
        </w:rPr>
        <w:t>through the conference web page</w:t>
      </w:r>
      <w:r w:rsidR="00C965AF">
        <w:rPr>
          <w:bCs/>
        </w:rPr>
        <w:t xml:space="preserve"> (see Section </w:t>
      </w:r>
      <w:r w:rsidR="00ED01C1">
        <w:rPr>
          <w:bCs/>
        </w:rPr>
        <w:t>O</w:t>
      </w:r>
      <w:r w:rsidR="00C965AF">
        <w:rPr>
          <w:bCs/>
        </w:rPr>
        <w:t>)</w:t>
      </w:r>
      <w:r w:rsidRPr="0089569A">
        <w:t xml:space="preserve">. </w:t>
      </w:r>
      <w:r w:rsidRPr="0089569A">
        <w:rPr>
          <w:b/>
        </w:rPr>
        <w:t>In addition</w:t>
      </w:r>
      <w:r w:rsidRPr="0089569A">
        <w:t>, they are required to send a completed Participation Form (Form A) and, if applicable, the Form for Submission of a Paper (Form B) and the Grant Application Form (Form C) to their competent national authority (e.g. Ministry of Foreign Affairs or National Atomic Energy Authority), or to one of the organizations invited to participate, for subsequent electronic transmission to the IAEA (</w:t>
      </w:r>
      <w:hyperlink r:id="rId10" w:history="1">
        <w:r w:rsidR="00C965AF">
          <w:rPr>
            <w:rStyle w:val="Hyperlink"/>
          </w:rPr>
          <w:t>Official.Mail@iaea.org</w:t>
        </w:r>
      </w:hyperlink>
      <w:r w:rsidRPr="0089569A">
        <w:t>).</w:t>
      </w:r>
    </w:p>
    <w:p w14:paraId="34D16C9F" w14:textId="77777777" w:rsidR="006D57B9" w:rsidRPr="0089569A" w:rsidRDefault="006D57B9" w:rsidP="006D57B9">
      <w:pPr>
        <w:pStyle w:val="BodyText"/>
      </w:pPr>
      <w:r w:rsidRPr="0089569A">
        <w:t>A participant will be accepted only if the Participation Form is transmitted through the competent national authority of a Member State of the IAEA or by an organization invited to participate.</w:t>
      </w:r>
    </w:p>
    <w:p w14:paraId="259EF31F" w14:textId="711C6AE6" w:rsidR="005B6E72" w:rsidRPr="0089569A" w:rsidRDefault="006D57B9" w:rsidP="006D57B9">
      <w:pPr>
        <w:pStyle w:val="BodyText"/>
        <w:widowControl w:val="0"/>
        <w:overflowPunct w:val="0"/>
        <w:autoSpaceDE w:val="0"/>
        <w:autoSpaceDN w:val="0"/>
        <w:adjustRightInd w:val="0"/>
        <w:textAlignment w:val="baseline"/>
      </w:pPr>
      <w:r w:rsidRPr="0089569A">
        <w:t>Participants whose official designations have been received by the IAEA will receive from the IAEA further information approximately three months before the opening of the conference. This information will also be posted on the conference web page.</w:t>
      </w:r>
    </w:p>
    <w:p w14:paraId="6E70901C" w14:textId="6A3DE85F" w:rsidR="00750DF0" w:rsidRPr="0089569A" w:rsidRDefault="006D57B9" w:rsidP="00BB2B0C">
      <w:pPr>
        <w:pStyle w:val="Heading1"/>
        <w:ind w:left="567" w:hanging="567"/>
      </w:pPr>
      <w:r w:rsidRPr="0089569A">
        <w:t>Expenditures</w:t>
      </w:r>
      <w:r w:rsidR="0089569A" w:rsidRPr="0089569A">
        <w:t xml:space="preserve"> and Grants</w:t>
      </w:r>
    </w:p>
    <w:p w14:paraId="6F5569A5" w14:textId="77777777" w:rsidR="006D57B9" w:rsidRPr="0089569A" w:rsidRDefault="006D57B9" w:rsidP="006D57B9">
      <w:pPr>
        <w:pStyle w:val="BodyText"/>
      </w:pPr>
      <w:r w:rsidRPr="0089569A">
        <w:t>No registration fee is charged to participants.</w:t>
      </w:r>
    </w:p>
    <w:p w14:paraId="19426889" w14:textId="22D5C91D" w:rsidR="006D57B9" w:rsidRPr="0089569A" w:rsidRDefault="006D57B9" w:rsidP="006B34CB">
      <w:pPr>
        <w:pStyle w:val="BodyText"/>
        <w:rPr>
          <w:szCs w:val="22"/>
        </w:rPr>
      </w:pPr>
      <w:r w:rsidRPr="0089569A">
        <w:rPr>
          <w:szCs w:val="22"/>
        </w:rPr>
        <w:t xml:space="preserve">The IAEA is generally not in a position to bear the travel and other costs of participants in the conference. The IAEA has, however, limited funds at its disposal to help </w:t>
      </w:r>
      <w:r w:rsidR="006B34CB" w:rsidRPr="0089569A">
        <w:rPr>
          <w:szCs w:val="22"/>
        </w:rPr>
        <w:t xml:space="preserve">meet </w:t>
      </w:r>
      <w:r w:rsidRPr="0089569A">
        <w:rPr>
          <w:szCs w:val="22"/>
        </w:rPr>
        <w:t xml:space="preserve">the cost of attendance of </w:t>
      </w:r>
      <w:r w:rsidR="006B34CB" w:rsidRPr="0089569A">
        <w:rPr>
          <w:szCs w:val="22"/>
        </w:rPr>
        <w:t xml:space="preserve">certain </w:t>
      </w:r>
      <w:r w:rsidRPr="0089569A">
        <w:rPr>
          <w:szCs w:val="22"/>
        </w:rPr>
        <w:t>participants. Such assistance may be offered upon specific request to normally one participant per country provided that, in the IAEA’s view, the participant on whose behalf assistance is requested will make an important contribution to the conference.</w:t>
      </w:r>
    </w:p>
    <w:p w14:paraId="23B11A7A" w14:textId="7E912790" w:rsidR="006D57B9" w:rsidRPr="0089569A" w:rsidRDefault="006D57B9" w:rsidP="006B34CB">
      <w:pPr>
        <w:pStyle w:val="BodyText"/>
        <w:rPr>
          <w:szCs w:val="22"/>
        </w:rPr>
      </w:pPr>
      <w:r w:rsidRPr="0089569A">
        <w:rPr>
          <w:szCs w:val="22"/>
        </w:rPr>
        <w:t xml:space="preserve">If </w:t>
      </w:r>
      <w:r w:rsidR="006B34CB" w:rsidRPr="0089569A">
        <w:rPr>
          <w:szCs w:val="22"/>
        </w:rPr>
        <w:t>G</w:t>
      </w:r>
      <w:r w:rsidRPr="0089569A">
        <w:rPr>
          <w:szCs w:val="22"/>
        </w:rPr>
        <w:t>overnments wish to apply for a grant on behalf of one of their specialists, they should address specific requests to the IAEA to this effect. Governments should ensure that applications for grants are:</w:t>
      </w:r>
    </w:p>
    <w:p w14:paraId="73BDAE52" w14:textId="33D2C96F" w:rsidR="006D57B9" w:rsidRPr="0089569A" w:rsidRDefault="006D57B9" w:rsidP="006D57B9">
      <w:pPr>
        <w:pStyle w:val="BodyText"/>
        <w:ind w:left="567"/>
        <w:rPr>
          <w:szCs w:val="22"/>
        </w:rPr>
      </w:pPr>
      <w:r w:rsidRPr="0089569A">
        <w:rPr>
          <w:szCs w:val="22"/>
        </w:rPr>
        <w:t>1.</w:t>
      </w:r>
      <w:r w:rsidRPr="0089569A">
        <w:rPr>
          <w:szCs w:val="22"/>
        </w:rPr>
        <w:tab/>
        <w:t>Submitted by</w:t>
      </w:r>
      <w:r w:rsidRPr="0089569A">
        <w:rPr>
          <w:b/>
          <w:szCs w:val="22"/>
        </w:rPr>
        <w:t xml:space="preserve"> </w:t>
      </w:r>
      <w:r w:rsidR="0089569A" w:rsidRPr="0089569A">
        <w:rPr>
          <w:b/>
          <w:szCs w:val="22"/>
        </w:rPr>
        <w:t>1 May 2015</w:t>
      </w:r>
      <w:r w:rsidRPr="0089569A">
        <w:rPr>
          <w:szCs w:val="22"/>
        </w:rPr>
        <w:t>;</w:t>
      </w:r>
    </w:p>
    <w:p w14:paraId="7281A2AF" w14:textId="77777777" w:rsidR="006D57B9" w:rsidRPr="0089569A" w:rsidRDefault="006D57B9" w:rsidP="006D57B9">
      <w:pPr>
        <w:pStyle w:val="BodyText"/>
        <w:ind w:left="567"/>
        <w:rPr>
          <w:szCs w:val="22"/>
        </w:rPr>
      </w:pPr>
      <w:r w:rsidRPr="0089569A">
        <w:rPr>
          <w:szCs w:val="22"/>
        </w:rPr>
        <w:t>2.</w:t>
      </w:r>
      <w:r w:rsidRPr="0089569A">
        <w:rPr>
          <w:szCs w:val="22"/>
        </w:rPr>
        <w:tab/>
        <w:t>Accompanied by a completed and signed Grant Application Form (Form C); and</w:t>
      </w:r>
    </w:p>
    <w:p w14:paraId="724B1A84" w14:textId="77777777" w:rsidR="006D57B9" w:rsidRPr="0089569A" w:rsidRDefault="006D57B9" w:rsidP="006D57B9">
      <w:pPr>
        <w:pStyle w:val="BodyText"/>
        <w:ind w:left="567"/>
        <w:rPr>
          <w:szCs w:val="22"/>
        </w:rPr>
      </w:pPr>
      <w:r w:rsidRPr="0089569A">
        <w:rPr>
          <w:szCs w:val="22"/>
        </w:rPr>
        <w:t>3.</w:t>
      </w:r>
      <w:r w:rsidRPr="0089569A">
        <w:rPr>
          <w:szCs w:val="22"/>
        </w:rPr>
        <w:tab/>
        <w:t>Accompanied by a completed Participation Form (Form A).</w:t>
      </w:r>
    </w:p>
    <w:p w14:paraId="6837EEA2" w14:textId="699E1939" w:rsidR="006D57B9" w:rsidRPr="0089569A" w:rsidRDefault="006D57B9" w:rsidP="006D57B9">
      <w:pPr>
        <w:pStyle w:val="BodyText"/>
      </w:pPr>
      <w:r w:rsidRPr="0089569A">
        <w:t>Applications that do not comply with the above conditions cannot be considered.</w:t>
      </w:r>
    </w:p>
    <w:p w14:paraId="52EC5FC8" w14:textId="28ABB95D" w:rsidR="00BF68CA" w:rsidRPr="0089569A" w:rsidRDefault="006D57B9" w:rsidP="006D57B9">
      <w:pPr>
        <w:pStyle w:val="BodyText"/>
      </w:pPr>
      <w:r w:rsidRPr="0089569A">
        <w:t xml:space="preserve">Approved grants will be issued in the form of a lump sum payment that usually </w:t>
      </w:r>
      <w:r w:rsidRPr="0089569A">
        <w:rPr>
          <w:b/>
        </w:rPr>
        <w:t>covers only part of the cost of attendance</w:t>
      </w:r>
      <w:r w:rsidRPr="0089569A">
        <w:t>.</w:t>
      </w:r>
    </w:p>
    <w:p w14:paraId="6DE346CB" w14:textId="77777777" w:rsidR="00750DF0" w:rsidRPr="0089569A" w:rsidRDefault="006D57B9" w:rsidP="00BB2B0C">
      <w:pPr>
        <w:pStyle w:val="Heading1"/>
        <w:ind w:left="709" w:hanging="709"/>
      </w:pPr>
      <w:r w:rsidRPr="0089569A">
        <w:t>Distribution of Documents</w:t>
      </w:r>
    </w:p>
    <w:p w14:paraId="5B3E116C" w14:textId="2A82C757" w:rsidR="003332DA" w:rsidRPr="0089569A" w:rsidRDefault="006D57B9" w:rsidP="00C965AF">
      <w:pPr>
        <w:pStyle w:val="BodyText"/>
        <w:spacing w:after="240"/>
        <w:rPr>
          <w:szCs w:val="22"/>
        </w:rPr>
      </w:pPr>
      <w:r w:rsidRPr="0089569A">
        <w:t>A preliminary programme will be posted on the IAEA conference web page</w:t>
      </w:r>
      <w:r w:rsidR="00C965AF">
        <w:t xml:space="preserve"> (see Section </w:t>
      </w:r>
      <w:r w:rsidR="00ED01C1">
        <w:t>O</w:t>
      </w:r>
      <w:r w:rsidR="00C965AF">
        <w:t>)</w:t>
      </w:r>
      <w:r w:rsidRPr="0089569A">
        <w:t xml:space="preserve"> </w:t>
      </w:r>
      <w:r w:rsidR="00C965AF">
        <w:t>in advance of the event</w:t>
      </w:r>
      <w:r w:rsidRPr="0089569A">
        <w:t xml:space="preserve">. The final programme and the </w:t>
      </w:r>
      <w:r w:rsidRPr="00060C39">
        <w:t>electronic</w:t>
      </w:r>
      <w:r w:rsidR="005B6836" w:rsidRPr="00060C39">
        <w:t xml:space="preserve"> </w:t>
      </w:r>
      <w:r w:rsidR="005B6836" w:rsidRPr="00060C39">
        <w:rPr>
          <w:i/>
          <w:iCs/>
        </w:rPr>
        <w:t>Compilation</w:t>
      </w:r>
      <w:r w:rsidRPr="006E544F">
        <w:rPr>
          <w:i/>
          <w:iCs/>
        </w:rPr>
        <w:t xml:space="preserve"> of </w:t>
      </w:r>
      <w:r w:rsidR="0089569A" w:rsidRPr="006E544F">
        <w:rPr>
          <w:i/>
          <w:iCs/>
        </w:rPr>
        <w:t>Synopses</w:t>
      </w:r>
      <w:r w:rsidRPr="0089569A">
        <w:t xml:space="preserve"> will be available free of charge upon registration at the conference.</w:t>
      </w:r>
    </w:p>
    <w:p w14:paraId="7135B518" w14:textId="1750A5ED" w:rsidR="00E77634" w:rsidRPr="0089569A" w:rsidRDefault="006D57B9" w:rsidP="00BB2B0C">
      <w:pPr>
        <w:pStyle w:val="Heading1"/>
        <w:ind w:left="709" w:hanging="709"/>
        <w:rPr>
          <w:lang w:eastAsia="en-GB"/>
        </w:rPr>
      </w:pPr>
      <w:r w:rsidRPr="0089569A">
        <w:rPr>
          <w:lang w:eastAsia="en-GB"/>
        </w:rPr>
        <w:t>Working Language</w:t>
      </w:r>
    </w:p>
    <w:p w14:paraId="501A8D3D" w14:textId="40FF500D" w:rsidR="006117D0" w:rsidRPr="0089569A" w:rsidRDefault="006D57B9" w:rsidP="006117D0">
      <w:pPr>
        <w:pStyle w:val="BodyTextMultiline"/>
        <w:numPr>
          <w:ilvl w:val="0"/>
          <w:numId w:val="0"/>
        </w:numPr>
      </w:pPr>
      <w:r w:rsidRPr="0089569A">
        <w:t>The working language of the conference will be English. All communications and papers must be sent to the IAEA in English.</w:t>
      </w:r>
    </w:p>
    <w:p w14:paraId="4103ABC6" w14:textId="77777777" w:rsidR="00750DF0" w:rsidRPr="0089569A" w:rsidRDefault="006D57B9" w:rsidP="00BB2B0C">
      <w:pPr>
        <w:pStyle w:val="Heading1"/>
        <w:ind w:left="709" w:hanging="709"/>
      </w:pPr>
      <w:r w:rsidRPr="0089569A">
        <w:t>Conference Venue and Accommodation</w:t>
      </w:r>
    </w:p>
    <w:p w14:paraId="3254F098" w14:textId="7626169D" w:rsidR="00E379C7" w:rsidRDefault="006D57B9" w:rsidP="006B34CB">
      <w:pPr>
        <w:overflowPunct/>
        <w:spacing w:after="170" w:line="280" w:lineRule="atLeast"/>
        <w:jc w:val="both"/>
        <w:textAlignment w:val="auto"/>
        <w:rPr>
          <w:szCs w:val="22"/>
        </w:rPr>
      </w:pPr>
      <w:r w:rsidRPr="0089569A">
        <w:rPr>
          <w:szCs w:val="22"/>
        </w:rPr>
        <w:t>The conference will be held at the IAEA’s Headquarters in Vienna, Austria. Participants must make their own travel and accommodation arrangements. Hotels which are offering a reduced rate for conference participants will be listed on the conference web page</w:t>
      </w:r>
      <w:r w:rsidR="00C965AF">
        <w:rPr>
          <w:szCs w:val="22"/>
        </w:rPr>
        <w:t xml:space="preserve"> (see Section </w:t>
      </w:r>
      <w:r w:rsidR="00ED01C1">
        <w:rPr>
          <w:szCs w:val="22"/>
        </w:rPr>
        <w:t>O</w:t>
      </w:r>
      <w:r w:rsidR="00C965AF">
        <w:rPr>
          <w:szCs w:val="22"/>
        </w:rPr>
        <w:t>)</w:t>
      </w:r>
      <w:r w:rsidRPr="0089569A">
        <w:rPr>
          <w:szCs w:val="22"/>
        </w:rPr>
        <w:t>. Please note that the IAEA is not in a position to assist participants with hotel bookings, nor can the IAEA assume responsibility for paying cancellation fees or for re-booking and no shows.</w:t>
      </w:r>
    </w:p>
    <w:p w14:paraId="59BF6B0E" w14:textId="09231DB4" w:rsidR="00273372" w:rsidRDefault="00273372" w:rsidP="00BB2B0C">
      <w:pPr>
        <w:pStyle w:val="Heading1"/>
        <w:ind w:left="0" w:firstLine="0"/>
      </w:pPr>
      <w:r w:rsidRPr="00BB2B0C">
        <w:t>Exhibit</w:t>
      </w:r>
      <w:r>
        <w:t>i</w:t>
      </w:r>
      <w:r w:rsidRPr="00BB2B0C">
        <w:t>ons</w:t>
      </w:r>
    </w:p>
    <w:p w14:paraId="7599FE0B" w14:textId="1ADA8D81" w:rsidR="00273372" w:rsidRPr="00BB2B0C" w:rsidRDefault="00273372" w:rsidP="00BB2B0C">
      <w:pPr>
        <w:pStyle w:val="BodyTextMultiline"/>
        <w:numPr>
          <w:ilvl w:val="0"/>
          <w:numId w:val="0"/>
        </w:numPr>
        <w:tabs>
          <w:tab w:val="left" w:pos="720"/>
        </w:tabs>
        <w:rPr>
          <w:lang w:eastAsia="en-GB"/>
        </w:rPr>
      </w:pPr>
      <w:r>
        <w:rPr>
          <w:lang w:eastAsia="en-GB"/>
        </w:rPr>
        <w:t>A limited amount of space will be available for commercial vendors’ displays/exhibits during the conference. Interested parties should contact the Scientific Secretariat by email (</w:t>
      </w:r>
      <w:hyperlink r:id="rId11" w:history="1">
        <w:r w:rsidR="00FB0BF2" w:rsidRPr="00BB2B0C">
          <w:rPr>
            <w:rStyle w:val="Hyperlink"/>
            <w:lang w:eastAsia="en-GB"/>
          </w:rPr>
          <w:t>RRConference2015@iaea.org</w:t>
        </w:r>
      </w:hyperlink>
      <w:r>
        <w:rPr>
          <w:lang w:eastAsia="en-GB"/>
        </w:rPr>
        <w:t xml:space="preserve">) before </w:t>
      </w:r>
      <w:r>
        <w:rPr>
          <w:b/>
          <w:bCs/>
          <w:lang w:eastAsia="en-GB"/>
        </w:rPr>
        <w:t xml:space="preserve">15 </w:t>
      </w:r>
      <w:r w:rsidR="00FB0BF2">
        <w:rPr>
          <w:b/>
          <w:bCs/>
          <w:lang w:eastAsia="en-GB"/>
        </w:rPr>
        <w:t>April</w:t>
      </w:r>
      <w:r>
        <w:rPr>
          <w:b/>
          <w:bCs/>
          <w:lang w:eastAsia="en-GB"/>
        </w:rPr>
        <w:t xml:space="preserve"> 2015</w:t>
      </w:r>
      <w:r>
        <w:rPr>
          <w:lang w:eastAsia="en-GB"/>
        </w:rPr>
        <w:t>.</w:t>
      </w:r>
    </w:p>
    <w:p w14:paraId="1C58EF53" w14:textId="77777777" w:rsidR="005E28D8" w:rsidRPr="0089569A" w:rsidRDefault="005E28D8" w:rsidP="00BB2B0C">
      <w:pPr>
        <w:pStyle w:val="Heading1"/>
        <w:ind w:left="567" w:hanging="567"/>
      </w:pPr>
      <w:r w:rsidRPr="0089569A">
        <w:t>V</w:t>
      </w:r>
      <w:r w:rsidR="006D57B9" w:rsidRPr="0089569A">
        <w:t>isas</w:t>
      </w:r>
    </w:p>
    <w:p w14:paraId="243A82C8" w14:textId="4946DF5F" w:rsidR="008F3152" w:rsidRPr="0089569A" w:rsidRDefault="006D57B9" w:rsidP="008F3152">
      <w:pPr>
        <w:overflowPunct/>
        <w:spacing w:after="170" w:line="280" w:lineRule="atLeast"/>
        <w:jc w:val="both"/>
        <w:textAlignment w:val="auto"/>
        <w:rPr>
          <w:b/>
          <w:bCs/>
          <w:color w:val="000000"/>
          <w:szCs w:val="22"/>
          <w:lang w:eastAsia="en-GB"/>
        </w:rPr>
      </w:pPr>
      <w:r w:rsidRPr="0089569A">
        <w:t xml:space="preserve">Designated participants who require a visa to enter Austria should submit the necessary application to the nearest diplomatic or consular representative of Austria at least four weeks before they travel to Austria. Since Austria is a Schengen State, persons requiring a visa will have to apply for a Schengen visa. In States where Austria has no diplomatic mission, visas can be obtained from the consular </w:t>
      </w:r>
      <w:r w:rsidRPr="0089569A">
        <w:rPr>
          <w:szCs w:val="22"/>
          <w:lang w:eastAsia="en-GB"/>
        </w:rPr>
        <w:t>authority of a Schengen Partner State representing Austria in the country in question.</w:t>
      </w:r>
    </w:p>
    <w:p w14:paraId="6982F2E0" w14:textId="77777777" w:rsidR="00750DF0" w:rsidRPr="00F77EE9" w:rsidRDefault="006D57B9" w:rsidP="00BB2B0C">
      <w:pPr>
        <w:pStyle w:val="Heading1"/>
        <w:ind w:left="567" w:hanging="567"/>
      </w:pPr>
      <w:r w:rsidRPr="00F77EE9">
        <w:t>Key Deadlines</w:t>
      </w:r>
    </w:p>
    <w:p w14:paraId="66679080" w14:textId="77777777" w:rsidR="00682D7E" w:rsidRDefault="00682D7E" w:rsidP="00682D7E">
      <w:pPr>
        <w:pStyle w:val="BodyText"/>
        <w:spacing w:after="60"/>
      </w:pPr>
      <w:r>
        <w:t>Electronic submission of the synopsis (including submission of Form A and Form B):</w:t>
      </w:r>
      <w:r>
        <w:tab/>
        <w:t xml:space="preserve"> </w:t>
      </w:r>
      <w:r w:rsidRPr="00CB7952">
        <w:rPr>
          <w:b/>
        </w:rPr>
        <w:t>1 May 2015</w:t>
      </w:r>
    </w:p>
    <w:p w14:paraId="78E3FC74" w14:textId="7E19D801" w:rsidR="006D57B9" w:rsidRPr="00F77EE9" w:rsidRDefault="006D57B9" w:rsidP="00DA17CA">
      <w:pPr>
        <w:pStyle w:val="BodyText"/>
        <w:spacing w:after="60"/>
      </w:pPr>
      <w:r w:rsidRPr="00F77EE9">
        <w:t xml:space="preserve">Submission of </w:t>
      </w:r>
      <w:r w:rsidR="00DA17CA">
        <w:t>g</w:t>
      </w:r>
      <w:r w:rsidRPr="00F77EE9">
        <w:t xml:space="preserve">rant </w:t>
      </w:r>
      <w:r w:rsidR="00DA17CA">
        <w:t>a</w:t>
      </w:r>
      <w:r w:rsidRPr="00F77EE9">
        <w:t xml:space="preserve">pplication </w:t>
      </w:r>
      <w:r w:rsidR="00CB7952">
        <w:t xml:space="preserve">(including submission of </w:t>
      </w:r>
      <w:r w:rsidRPr="00F77EE9">
        <w:t xml:space="preserve">Form </w:t>
      </w:r>
      <w:r w:rsidR="00CB7952">
        <w:t>A and Form C)</w:t>
      </w:r>
      <w:r w:rsidRPr="00F77EE9">
        <w:t>:</w:t>
      </w:r>
      <w:r w:rsidR="00CB7952">
        <w:tab/>
      </w:r>
      <w:r w:rsidRPr="00F77EE9">
        <w:tab/>
      </w:r>
      <w:r w:rsidR="00CB7952">
        <w:t xml:space="preserve"> </w:t>
      </w:r>
      <w:r w:rsidR="0089569A" w:rsidRPr="00F77EE9">
        <w:rPr>
          <w:b/>
        </w:rPr>
        <w:t>1 May</w:t>
      </w:r>
      <w:r w:rsidRPr="00F77EE9">
        <w:rPr>
          <w:b/>
        </w:rPr>
        <w:t xml:space="preserve"> 201</w:t>
      </w:r>
      <w:r w:rsidR="0089569A" w:rsidRPr="00F77EE9">
        <w:rPr>
          <w:b/>
        </w:rPr>
        <w:t>5</w:t>
      </w:r>
    </w:p>
    <w:p w14:paraId="5D58F7DB" w14:textId="68B59060" w:rsidR="006D57B9" w:rsidRPr="00F77EE9" w:rsidRDefault="006D57B9" w:rsidP="006C46BA">
      <w:pPr>
        <w:pStyle w:val="BodyText"/>
        <w:spacing w:after="60"/>
        <w:rPr>
          <w:b/>
        </w:rPr>
      </w:pPr>
      <w:r w:rsidRPr="00F77EE9">
        <w:t>Notification of acceptance of papers:</w:t>
      </w:r>
      <w:r w:rsidRPr="00F77EE9">
        <w:tab/>
      </w:r>
      <w:r w:rsidRPr="00F77EE9">
        <w:tab/>
      </w:r>
      <w:r w:rsidRPr="00F77EE9">
        <w:tab/>
      </w:r>
      <w:r w:rsidR="00CB7952">
        <w:tab/>
      </w:r>
      <w:r w:rsidR="00CB7952">
        <w:tab/>
      </w:r>
      <w:r w:rsidRPr="00F77EE9">
        <w:tab/>
      </w:r>
      <w:r w:rsidRPr="00F77EE9">
        <w:tab/>
      </w:r>
      <w:r w:rsidRPr="00F77EE9">
        <w:tab/>
      </w:r>
      <w:r w:rsidRPr="00F77EE9">
        <w:tab/>
      </w:r>
      <w:r w:rsidR="00F77EE9" w:rsidRPr="00F77EE9">
        <w:rPr>
          <w:b/>
        </w:rPr>
        <w:t>30 June</w:t>
      </w:r>
      <w:r w:rsidRPr="00F77EE9">
        <w:rPr>
          <w:b/>
        </w:rPr>
        <w:t xml:space="preserve"> 2015</w:t>
      </w:r>
    </w:p>
    <w:p w14:paraId="6F46614D" w14:textId="4380785B" w:rsidR="006D57B9" w:rsidRDefault="004766E3" w:rsidP="006C46BA">
      <w:pPr>
        <w:pStyle w:val="BodyText"/>
        <w:spacing w:after="60"/>
        <w:rPr>
          <w:b/>
        </w:rPr>
      </w:pPr>
      <w:r>
        <w:t>Electronic s</w:t>
      </w:r>
      <w:r w:rsidR="006D57B9" w:rsidRPr="00F77EE9">
        <w:t>ubmission of accepted full paper</w:t>
      </w:r>
      <w:r>
        <w:t>s</w:t>
      </w:r>
      <w:r w:rsidR="006D57B9" w:rsidRPr="00F77EE9">
        <w:t>:</w:t>
      </w:r>
      <w:r w:rsidR="006D57B9" w:rsidRPr="00F77EE9">
        <w:tab/>
      </w:r>
      <w:r w:rsidR="00CB7952">
        <w:tab/>
      </w:r>
      <w:r w:rsidR="00CB7952">
        <w:tab/>
      </w:r>
      <w:r w:rsidR="00CB7952">
        <w:tab/>
      </w:r>
      <w:r w:rsidR="006D57B9" w:rsidRPr="00F77EE9">
        <w:tab/>
      </w:r>
      <w:r w:rsidR="006D57B9" w:rsidRPr="00F77EE9">
        <w:tab/>
      </w:r>
      <w:r w:rsidR="00F77EE9">
        <w:rPr>
          <w:b/>
        </w:rPr>
        <w:t>30 September</w:t>
      </w:r>
      <w:r w:rsidR="006D57B9" w:rsidRPr="00F77EE9">
        <w:rPr>
          <w:b/>
        </w:rPr>
        <w:t xml:space="preserve"> 2015</w:t>
      </w:r>
    </w:p>
    <w:p w14:paraId="39382ABA" w14:textId="77777777" w:rsidR="00657734" w:rsidRPr="00F77EE9" w:rsidRDefault="006D57B9" w:rsidP="00BB2B0C">
      <w:pPr>
        <w:pStyle w:val="Heading1"/>
        <w:ind w:left="709" w:hanging="709"/>
        <w:rPr>
          <w:lang w:eastAsia="en-GB"/>
        </w:rPr>
      </w:pPr>
      <w:r w:rsidRPr="00F77EE9">
        <w:rPr>
          <w:lang w:eastAsia="en-GB"/>
        </w:rPr>
        <w:t>Conference Secretariat</w:t>
      </w:r>
    </w:p>
    <w:p w14:paraId="3ACBE83A" w14:textId="77777777" w:rsidR="006D57B9" w:rsidRPr="00F77EE9" w:rsidRDefault="006D57B9" w:rsidP="006D57B9">
      <w:pPr>
        <w:pStyle w:val="BodyText"/>
        <w:keepNext/>
        <w:keepLines/>
        <w:rPr>
          <w:b/>
        </w:rPr>
      </w:pPr>
      <w:r w:rsidRPr="00F77EE9">
        <w:rPr>
          <w:b/>
        </w:rPr>
        <w:t>General contact details of the Conference Secretariat:</w:t>
      </w:r>
    </w:p>
    <w:p w14:paraId="7A0FBBB5" w14:textId="632F37EE" w:rsidR="006D57B9" w:rsidRPr="00F77EE9" w:rsidRDefault="006D57B9" w:rsidP="006B34CB">
      <w:pPr>
        <w:pStyle w:val="BodyText"/>
        <w:keepNext/>
        <w:keepLines/>
      </w:pPr>
      <w:r w:rsidRPr="00D54902">
        <w:rPr>
          <w:rFonts w:eastAsia="MS Mincho"/>
          <w:b/>
          <w:szCs w:val="22"/>
        </w:rPr>
        <w:t>International Atomic Energy Agency</w:t>
      </w:r>
      <w:r w:rsidRPr="00F77EE9">
        <w:br/>
      </w:r>
      <w:r w:rsidRPr="00F77EE9">
        <w:rPr>
          <w:rFonts w:eastAsia="MS Mincho"/>
          <w:szCs w:val="22"/>
        </w:rPr>
        <w:t>Vienna International Centre</w:t>
      </w:r>
      <w:r w:rsidRPr="00F77EE9">
        <w:rPr>
          <w:rFonts w:eastAsia="MS Mincho"/>
          <w:szCs w:val="22"/>
        </w:rPr>
        <w:br/>
        <w:t>PO Box 100</w:t>
      </w:r>
      <w:r w:rsidRPr="00F77EE9">
        <w:br/>
      </w:r>
      <w:r w:rsidRPr="00F77EE9">
        <w:rPr>
          <w:rFonts w:eastAsia="MS Mincho"/>
          <w:szCs w:val="22"/>
        </w:rPr>
        <w:t>1400 VIENNA</w:t>
      </w:r>
      <w:r w:rsidRPr="00F77EE9">
        <w:rPr>
          <w:rFonts w:eastAsia="MS Mincho"/>
          <w:szCs w:val="22"/>
        </w:rPr>
        <w:br/>
        <w:t>AUSTRIA</w:t>
      </w:r>
      <w:r w:rsidRPr="00F77EE9">
        <w:br/>
      </w:r>
      <w:r w:rsidRPr="00F77EE9">
        <w:rPr>
          <w:rFonts w:eastAsia="MS Mincho"/>
          <w:szCs w:val="22"/>
          <w:lang w:eastAsia="ja-JP"/>
        </w:rPr>
        <w:t>Tel.: +43 1 2600</w:t>
      </w:r>
      <w:r w:rsidRPr="00F77EE9">
        <w:br/>
      </w:r>
      <w:r w:rsidRPr="00F77EE9">
        <w:rPr>
          <w:rFonts w:eastAsia="MS Mincho"/>
          <w:szCs w:val="22"/>
          <w:lang w:eastAsia="ja-JP"/>
        </w:rPr>
        <w:t>Fax: +43 1 2600 2007</w:t>
      </w:r>
      <w:r w:rsidRPr="00F77EE9">
        <w:br/>
      </w:r>
      <w:r w:rsidRPr="00F77EE9">
        <w:rPr>
          <w:rFonts w:eastAsia="MS Mincho"/>
          <w:szCs w:val="22"/>
          <w:lang w:eastAsia="ja-JP"/>
        </w:rPr>
        <w:t xml:space="preserve">Email: </w:t>
      </w:r>
      <w:hyperlink r:id="rId12" w:history="1">
        <w:r w:rsidR="00C965AF">
          <w:rPr>
            <w:rStyle w:val="Hyperlink"/>
            <w:rFonts w:eastAsia="Batang"/>
            <w:szCs w:val="22"/>
            <w:lang w:eastAsia="ko-KR"/>
          </w:rPr>
          <w:t>Official.Mail@iaea.org</w:t>
        </w:r>
      </w:hyperlink>
    </w:p>
    <w:p w14:paraId="7286934D" w14:textId="77777777" w:rsidR="006D57B9" w:rsidRPr="00F77EE9" w:rsidRDefault="006D57B9" w:rsidP="006D57B9">
      <w:pPr>
        <w:pStyle w:val="BodyTextMultiline"/>
        <w:numPr>
          <w:ilvl w:val="0"/>
          <w:numId w:val="0"/>
        </w:numPr>
        <w:rPr>
          <w:lang w:eastAsia="en-GB"/>
        </w:rPr>
      </w:pPr>
    </w:p>
    <w:p w14:paraId="3D67A69B" w14:textId="0B9DB820" w:rsidR="00750DF0" w:rsidRDefault="00C7512B" w:rsidP="006D57B9">
      <w:pPr>
        <w:keepNext/>
        <w:keepLines/>
        <w:overflowPunct/>
        <w:spacing w:after="120" w:line="276" w:lineRule="auto"/>
        <w:jc w:val="both"/>
        <w:textAlignment w:val="auto"/>
        <w:rPr>
          <w:b/>
          <w:bCs/>
          <w:color w:val="000000"/>
          <w:szCs w:val="22"/>
          <w:lang w:eastAsia="en-GB"/>
        </w:rPr>
      </w:pPr>
      <w:r w:rsidRPr="00F77EE9">
        <w:rPr>
          <w:b/>
          <w:bCs/>
          <w:color w:val="000000"/>
          <w:szCs w:val="22"/>
          <w:lang w:eastAsia="en-GB"/>
        </w:rPr>
        <w:t xml:space="preserve">Scientific </w:t>
      </w:r>
      <w:r w:rsidR="00F77EE9" w:rsidRPr="00F77EE9">
        <w:rPr>
          <w:b/>
          <w:bCs/>
          <w:color w:val="000000"/>
          <w:szCs w:val="22"/>
          <w:lang w:eastAsia="en-GB"/>
        </w:rPr>
        <w:t>Secretariat</w:t>
      </w:r>
      <w:r w:rsidR="007C12D0" w:rsidRPr="00F77EE9">
        <w:rPr>
          <w:b/>
          <w:bCs/>
          <w:color w:val="000000"/>
          <w:szCs w:val="22"/>
          <w:lang w:eastAsia="en-GB"/>
        </w:rPr>
        <w:t xml:space="preserve"> </w:t>
      </w:r>
      <w:r w:rsidR="006D57B9" w:rsidRPr="00F77EE9">
        <w:rPr>
          <w:b/>
          <w:bCs/>
          <w:color w:val="000000"/>
          <w:szCs w:val="22"/>
          <w:lang w:eastAsia="en-GB"/>
        </w:rPr>
        <w:t>of the conference:</w:t>
      </w:r>
    </w:p>
    <w:p w14:paraId="1864544D" w14:textId="408096B3" w:rsidR="00682D7E" w:rsidRPr="00682D7E" w:rsidRDefault="00682D7E" w:rsidP="00DA17CA">
      <w:pPr>
        <w:pStyle w:val="BodyText"/>
        <w:spacing w:after="0"/>
      </w:pPr>
      <w:r w:rsidRPr="00682D7E">
        <w:t xml:space="preserve">Email: </w:t>
      </w:r>
      <w:hyperlink r:id="rId13" w:history="1">
        <w:r w:rsidRPr="00190578">
          <w:rPr>
            <w:rStyle w:val="Hyperlink"/>
          </w:rPr>
          <w:t>RRConference2015@iaea.org</w:t>
        </w:r>
      </w:hyperlink>
    </w:p>
    <w:p w14:paraId="7CA53674" w14:textId="77777777" w:rsidR="00DA17CA" w:rsidRDefault="00DA17CA" w:rsidP="00682D7E">
      <w:pPr>
        <w:pStyle w:val="BodyText"/>
        <w:spacing w:after="0"/>
        <w:rPr>
          <w:b/>
        </w:rPr>
      </w:pPr>
    </w:p>
    <w:p w14:paraId="69401006" w14:textId="2581928F" w:rsidR="00C7512B" w:rsidRPr="00682D7E" w:rsidRDefault="00F77EE9" w:rsidP="00682D7E">
      <w:pPr>
        <w:pStyle w:val="BodyText"/>
        <w:spacing w:after="0"/>
      </w:pPr>
      <w:r w:rsidRPr="00682D7E">
        <w:rPr>
          <w:b/>
        </w:rPr>
        <w:t>Mr A</w:t>
      </w:r>
      <w:r w:rsidR="00C965AF" w:rsidRPr="00682D7E">
        <w:rPr>
          <w:b/>
        </w:rPr>
        <w:t>ndrea</w:t>
      </w:r>
      <w:r w:rsidRPr="00682D7E">
        <w:rPr>
          <w:b/>
        </w:rPr>
        <w:t xml:space="preserve"> </w:t>
      </w:r>
      <w:proofErr w:type="spellStart"/>
      <w:r w:rsidRPr="00682D7E">
        <w:rPr>
          <w:b/>
        </w:rPr>
        <w:t>Borio</w:t>
      </w:r>
      <w:proofErr w:type="spellEnd"/>
      <w:r w:rsidRPr="00682D7E">
        <w:rPr>
          <w:b/>
        </w:rPr>
        <w:t xml:space="preserve"> di </w:t>
      </w:r>
      <w:proofErr w:type="spellStart"/>
      <w:r w:rsidRPr="00682D7E">
        <w:rPr>
          <w:b/>
        </w:rPr>
        <w:t>Tigliole</w:t>
      </w:r>
      <w:proofErr w:type="spellEnd"/>
      <w:r w:rsidRPr="00682D7E">
        <w:t xml:space="preserve"> (Lead Scientific Secretary)</w:t>
      </w:r>
    </w:p>
    <w:p w14:paraId="1B705E77" w14:textId="40E4B30D" w:rsidR="00F77EE9" w:rsidRPr="00682D7E" w:rsidRDefault="00F77EE9" w:rsidP="00682D7E">
      <w:pPr>
        <w:pStyle w:val="BodyText"/>
        <w:spacing w:after="0"/>
      </w:pPr>
      <w:r w:rsidRPr="00682D7E">
        <w:t>Research Reactor Section</w:t>
      </w:r>
    </w:p>
    <w:p w14:paraId="275C725E" w14:textId="55D65B10" w:rsidR="00F87858" w:rsidRPr="00682D7E" w:rsidRDefault="00F77EE9" w:rsidP="00682D7E">
      <w:pPr>
        <w:pStyle w:val="BodyText"/>
        <w:spacing w:after="0"/>
      </w:pPr>
      <w:r w:rsidRPr="00682D7E">
        <w:t>Division of Nuclear Fuel Cycle and Waste Technology</w:t>
      </w:r>
    </w:p>
    <w:p w14:paraId="5AD0BDF5" w14:textId="2946C484" w:rsidR="00C7512B" w:rsidRPr="00682D7E" w:rsidRDefault="00F77EE9" w:rsidP="00682D7E">
      <w:pPr>
        <w:pStyle w:val="BodyText"/>
        <w:spacing w:after="0"/>
      </w:pPr>
      <w:r w:rsidRPr="00682D7E">
        <w:t>Department of Nuclear Energy</w:t>
      </w:r>
    </w:p>
    <w:p w14:paraId="28EA53F2" w14:textId="2C10D964" w:rsidR="00750DF0" w:rsidRPr="00682D7E" w:rsidRDefault="00750DF0" w:rsidP="00682D7E">
      <w:pPr>
        <w:pStyle w:val="BodyText"/>
        <w:spacing w:after="0"/>
      </w:pPr>
      <w:r w:rsidRPr="00682D7E">
        <w:t>Tel.: +43 1 2600</w:t>
      </w:r>
      <w:r w:rsidR="006D57B9" w:rsidRPr="00682D7E">
        <w:t xml:space="preserve"> </w:t>
      </w:r>
      <w:r w:rsidR="00F77EE9" w:rsidRPr="00682D7E">
        <w:t>22978</w:t>
      </w:r>
    </w:p>
    <w:p w14:paraId="06E56CBE" w14:textId="77777777" w:rsidR="00682D7E" w:rsidRPr="00682D7E" w:rsidRDefault="00682D7E" w:rsidP="00682D7E">
      <w:pPr>
        <w:pStyle w:val="BodyText"/>
        <w:spacing w:after="0"/>
      </w:pPr>
    </w:p>
    <w:p w14:paraId="14A5F405" w14:textId="76E03D68" w:rsidR="00F77EE9" w:rsidRPr="00682D7E" w:rsidRDefault="00F77EE9" w:rsidP="00682D7E">
      <w:pPr>
        <w:pStyle w:val="BodyText"/>
        <w:spacing w:after="0"/>
        <w:rPr>
          <w:b/>
        </w:rPr>
      </w:pPr>
      <w:r w:rsidRPr="00682D7E">
        <w:rPr>
          <w:b/>
        </w:rPr>
        <w:t>Mr A</w:t>
      </w:r>
      <w:r w:rsidR="00FA2003" w:rsidRPr="00682D7E">
        <w:rPr>
          <w:b/>
        </w:rPr>
        <w:t>mgad</w:t>
      </w:r>
      <w:r w:rsidRPr="00682D7E">
        <w:rPr>
          <w:b/>
        </w:rPr>
        <w:t xml:space="preserve"> </w:t>
      </w:r>
      <w:proofErr w:type="spellStart"/>
      <w:r w:rsidRPr="00682D7E">
        <w:rPr>
          <w:b/>
        </w:rPr>
        <w:t>Shokr</w:t>
      </w:r>
      <w:proofErr w:type="spellEnd"/>
    </w:p>
    <w:p w14:paraId="3D8F19C4" w14:textId="2F9D0503" w:rsidR="00F77EE9" w:rsidRPr="00682D7E" w:rsidRDefault="00F77EE9" w:rsidP="00682D7E">
      <w:pPr>
        <w:pStyle w:val="BodyText"/>
        <w:spacing w:after="0"/>
      </w:pPr>
      <w:r w:rsidRPr="00682D7E">
        <w:t xml:space="preserve">Research Reactor </w:t>
      </w:r>
      <w:r w:rsidR="008F1F84" w:rsidRPr="00682D7E">
        <w:t xml:space="preserve">Safety </w:t>
      </w:r>
      <w:r w:rsidRPr="00682D7E">
        <w:t>Section</w:t>
      </w:r>
    </w:p>
    <w:p w14:paraId="35DC45A7" w14:textId="79179449" w:rsidR="00F77EE9" w:rsidRPr="00682D7E" w:rsidRDefault="00F77EE9" w:rsidP="00682D7E">
      <w:pPr>
        <w:pStyle w:val="BodyText"/>
        <w:spacing w:after="0"/>
      </w:pPr>
      <w:r w:rsidRPr="00682D7E">
        <w:t xml:space="preserve">Division of Nuclear </w:t>
      </w:r>
      <w:r w:rsidR="008F1F84" w:rsidRPr="00682D7E">
        <w:t>Installation Safety</w:t>
      </w:r>
    </w:p>
    <w:p w14:paraId="5E68DC27" w14:textId="6830AFBA" w:rsidR="00F77EE9" w:rsidRPr="00682D7E" w:rsidRDefault="00F77EE9" w:rsidP="00682D7E">
      <w:pPr>
        <w:pStyle w:val="BodyText"/>
        <w:spacing w:after="0"/>
      </w:pPr>
      <w:r w:rsidRPr="00682D7E">
        <w:t xml:space="preserve">Department of </w:t>
      </w:r>
      <w:r w:rsidR="008F1F84" w:rsidRPr="00682D7E">
        <w:t>Nuclear Safety and Security</w:t>
      </w:r>
    </w:p>
    <w:p w14:paraId="6621431A" w14:textId="7D82E65F" w:rsidR="00F77EE9" w:rsidRPr="00682D7E" w:rsidRDefault="00F77EE9" w:rsidP="00682D7E">
      <w:pPr>
        <w:pStyle w:val="BodyText"/>
        <w:spacing w:after="0"/>
      </w:pPr>
      <w:r w:rsidRPr="00682D7E">
        <w:t>Tel.: +43 1 2600 22</w:t>
      </w:r>
      <w:r w:rsidR="008F1F84" w:rsidRPr="00682D7E">
        <w:t>400</w:t>
      </w:r>
    </w:p>
    <w:p w14:paraId="2A89679A" w14:textId="77777777" w:rsidR="00682D7E" w:rsidRPr="00682D7E" w:rsidRDefault="00682D7E" w:rsidP="00682D7E">
      <w:pPr>
        <w:pStyle w:val="BodyText"/>
        <w:spacing w:after="0"/>
      </w:pPr>
    </w:p>
    <w:p w14:paraId="4979EE10" w14:textId="13A0A73C" w:rsidR="008F1F84" w:rsidRPr="00682D7E" w:rsidRDefault="008F1F84" w:rsidP="00682D7E">
      <w:pPr>
        <w:pStyle w:val="BodyText"/>
        <w:spacing w:after="0"/>
        <w:rPr>
          <w:b/>
        </w:rPr>
      </w:pPr>
      <w:r w:rsidRPr="00682D7E">
        <w:rPr>
          <w:b/>
        </w:rPr>
        <w:t>Mr D</w:t>
      </w:r>
      <w:r w:rsidR="00FA2003" w:rsidRPr="00682D7E">
        <w:rPr>
          <w:b/>
        </w:rPr>
        <w:t>anas</w:t>
      </w:r>
      <w:r w:rsidRPr="00682D7E">
        <w:rPr>
          <w:b/>
        </w:rPr>
        <w:t xml:space="preserve"> </w:t>
      </w:r>
      <w:proofErr w:type="spellStart"/>
      <w:r w:rsidRPr="00682D7E">
        <w:rPr>
          <w:b/>
        </w:rPr>
        <w:t>Ridikas</w:t>
      </w:r>
      <w:proofErr w:type="spellEnd"/>
    </w:p>
    <w:p w14:paraId="65AEB25A" w14:textId="64690D5C" w:rsidR="008F1F84" w:rsidRPr="00682D7E" w:rsidRDefault="008F1F84" w:rsidP="00682D7E">
      <w:pPr>
        <w:pStyle w:val="BodyText"/>
        <w:spacing w:after="0"/>
      </w:pPr>
      <w:r w:rsidRPr="00682D7E">
        <w:t>Physics Section</w:t>
      </w:r>
    </w:p>
    <w:p w14:paraId="79FD1F07" w14:textId="0351A241" w:rsidR="008F1F84" w:rsidRPr="00682D7E" w:rsidRDefault="008F1F84" w:rsidP="00682D7E">
      <w:pPr>
        <w:pStyle w:val="BodyText"/>
        <w:spacing w:after="0"/>
      </w:pPr>
      <w:r w:rsidRPr="00682D7E">
        <w:t>Division of Physical and Chemical Sciences</w:t>
      </w:r>
    </w:p>
    <w:p w14:paraId="7E9C44CD" w14:textId="0281DC1F" w:rsidR="008F1F84" w:rsidRPr="00682D7E" w:rsidRDefault="008F1F84" w:rsidP="00682D7E">
      <w:pPr>
        <w:pStyle w:val="BodyText"/>
        <w:spacing w:after="0"/>
      </w:pPr>
      <w:r w:rsidRPr="00682D7E">
        <w:t>Department of Nuclear Sciences and Applications</w:t>
      </w:r>
    </w:p>
    <w:p w14:paraId="7BCAA8BE" w14:textId="07595171" w:rsidR="008F1F84" w:rsidRPr="00682D7E" w:rsidRDefault="008F1F84" w:rsidP="00682D7E">
      <w:pPr>
        <w:pStyle w:val="BodyText"/>
        <w:spacing w:after="0"/>
      </w:pPr>
      <w:r w:rsidRPr="00682D7E">
        <w:t>Tel.: +43 1 2600 21751</w:t>
      </w:r>
    </w:p>
    <w:p w14:paraId="73723CE2" w14:textId="77777777" w:rsidR="00DA17CA" w:rsidRPr="00F77EE9" w:rsidRDefault="00DA17CA" w:rsidP="00DA17CA">
      <w:pPr>
        <w:pStyle w:val="BodyTextMultiline"/>
        <w:numPr>
          <w:ilvl w:val="0"/>
          <w:numId w:val="0"/>
        </w:numPr>
        <w:rPr>
          <w:lang w:eastAsia="en-GB"/>
        </w:rPr>
      </w:pPr>
    </w:p>
    <w:p w14:paraId="44EFD6BE" w14:textId="0C3D5A10" w:rsidR="00C7512B" w:rsidRPr="008F1F84" w:rsidRDefault="00C7512B" w:rsidP="006D57B9">
      <w:pPr>
        <w:keepNext/>
        <w:keepLines/>
        <w:overflowPunct/>
        <w:spacing w:after="120" w:line="276" w:lineRule="auto"/>
        <w:jc w:val="both"/>
        <w:textAlignment w:val="auto"/>
        <w:rPr>
          <w:b/>
          <w:bCs/>
          <w:szCs w:val="22"/>
          <w:lang w:eastAsia="en-GB"/>
        </w:rPr>
      </w:pPr>
      <w:r w:rsidRPr="008F1F84">
        <w:rPr>
          <w:b/>
          <w:bCs/>
          <w:szCs w:val="22"/>
        </w:rPr>
        <w:t>Administrati</w:t>
      </w:r>
      <w:r w:rsidR="006D57B9" w:rsidRPr="008F1F84">
        <w:rPr>
          <w:b/>
          <w:bCs/>
          <w:szCs w:val="22"/>
        </w:rPr>
        <w:t>on and organization</w:t>
      </w:r>
      <w:r w:rsidRPr="008F1F84">
        <w:rPr>
          <w:b/>
          <w:bCs/>
          <w:szCs w:val="22"/>
          <w:lang w:eastAsia="en-GB"/>
        </w:rPr>
        <w:t>:</w:t>
      </w:r>
    </w:p>
    <w:p w14:paraId="363ED087" w14:textId="1DD520F7" w:rsidR="00C7512B" w:rsidRPr="00682D7E" w:rsidRDefault="00C7512B" w:rsidP="00682D7E">
      <w:pPr>
        <w:pStyle w:val="BodyText"/>
        <w:spacing w:after="0"/>
        <w:rPr>
          <w:b/>
        </w:rPr>
      </w:pPr>
      <w:r w:rsidRPr="00682D7E">
        <w:rPr>
          <w:b/>
        </w:rPr>
        <w:t>Ms</w:t>
      </w:r>
      <w:r w:rsidR="006D57B9" w:rsidRPr="00682D7E">
        <w:rPr>
          <w:b/>
        </w:rPr>
        <w:t xml:space="preserve"> Martina </w:t>
      </w:r>
      <w:proofErr w:type="spellStart"/>
      <w:r w:rsidR="006D57B9" w:rsidRPr="00682D7E">
        <w:rPr>
          <w:b/>
        </w:rPr>
        <w:t>Neuhold</w:t>
      </w:r>
      <w:proofErr w:type="spellEnd"/>
    </w:p>
    <w:p w14:paraId="0AA89ECE" w14:textId="5FFA34F6" w:rsidR="00C7512B" w:rsidRPr="008F1F84" w:rsidRDefault="006D57B9" w:rsidP="00682D7E">
      <w:pPr>
        <w:pStyle w:val="BodyText"/>
        <w:spacing w:after="0"/>
      </w:pPr>
      <w:r w:rsidRPr="008F1F84">
        <w:t>Conference Services Section</w:t>
      </w:r>
    </w:p>
    <w:p w14:paraId="1FCB75DE" w14:textId="77777777" w:rsidR="006D57B9" w:rsidRPr="008F1F84" w:rsidRDefault="006D57B9" w:rsidP="00682D7E">
      <w:pPr>
        <w:pStyle w:val="BodyText"/>
        <w:spacing w:after="0"/>
      </w:pPr>
      <w:r w:rsidRPr="008F1F84">
        <w:t>Division of Conference and Document Services</w:t>
      </w:r>
    </w:p>
    <w:p w14:paraId="319404DA" w14:textId="328874C5" w:rsidR="00C7512B" w:rsidRPr="00682D7E" w:rsidRDefault="006D57B9" w:rsidP="00682D7E">
      <w:pPr>
        <w:pStyle w:val="BodyText"/>
        <w:spacing w:after="0"/>
      </w:pPr>
      <w:r w:rsidRPr="008F1F84">
        <w:t>Department of Management</w:t>
      </w:r>
    </w:p>
    <w:p w14:paraId="49325E91" w14:textId="764F0EA6" w:rsidR="00C7512B" w:rsidRPr="00682D7E" w:rsidRDefault="006D57B9" w:rsidP="00682D7E">
      <w:pPr>
        <w:pStyle w:val="BodyText"/>
        <w:spacing w:after="0"/>
      </w:pPr>
      <w:r w:rsidRPr="00060C39">
        <w:t>IAEA-CN-</w:t>
      </w:r>
      <w:r w:rsidR="008F1F84" w:rsidRPr="00060C39">
        <w:t>231</w:t>
      </w:r>
    </w:p>
    <w:p w14:paraId="62B6EA54" w14:textId="77777777" w:rsidR="00C7512B" w:rsidRPr="00060C39" w:rsidRDefault="00C7512B" w:rsidP="00682D7E">
      <w:pPr>
        <w:pStyle w:val="BodyText"/>
        <w:spacing w:after="0"/>
        <w:rPr>
          <w:lang w:val="fr-FR"/>
        </w:rPr>
      </w:pPr>
      <w:r w:rsidRPr="00060C39">
        <w:rPr>
          <w:lang w:val="fr-FR"/>
        </w:rPr>
        <w:t xml:space="preserve">Tel.: +43 1 2600 </w:t>
      </w:r>
      <w:r w:rsidR="006D57B9" w:rsidRPr="00060C39">
        <w:rPr>
          <w:lang w:val="fr-FR"/>
        </w:rPr>
        <w:t>21314</w:t>
      </w:r>
    </w:p>
    <w:p w14:paraId="61992234" w14:textId="20221FEE" w:rsidR="00C7512B" w:rsidRPr="00060C39" w:rsidRDefault="006D57B9" w:rsidP="00DA17CA">
      <w:pPr>
        <w:pStyle w:val="BodyText"/>
        <w:spacing w:after="0"/>
        <w:rPr>
          <w:lang w:val="fr-FR"/>
        </w:rPr>
      </w:pPr>
      <w:r w:rsidRPr="00060C39">
        <w:rPr>
          <w:lang w:val="fr-FR"/>
        </w:rPr>
        <w:t xml:space="preserve">Email: </w:t>
      </w:r>
      <w:hyperlink r:id="rId14" w:history="1">
        <w:r w:rsidR="00682D7E" w:rsidRPr="00060C39">
          <w:rPr>
            <w:rStyle w:val="Hyperlink"/>
            <w:lang w:val="fr-FR"/>
          </w:rPr>
          <w:t>M.Neuhold@iaea.org</w:t>
        </w:r>
      </w:hyperlink>
    </w:p>
    <w:p w14:paraId="09747C66" w14:textId="4B84BFA6" w:rsidR="00750DF0" w:rsidRPr="008F1F84" w:rsidRDefault="00750DF0" w:rsidP="00F87858">
      <w:pPr>
        <w:overflowPunct/>
        <w:spacing w:after="120" w:line="276" w:lineRule="auto"/>
        <w:jc w:val="both"/>
        <w:textAlignment w:val="auto"/>
        <w:rPr>
          <w:color w:val="000000"/>
          <w:szCs w:val="22"/>
          <w:lang w:eastAsia="en-GB"/>
        </w:rPr>
      </w:pPr>
      <w:r w:rsidRPr="008F1F84">
        <w:rPr>
          <w:color w:val="000000"/>
          <w:szCs w:val="22"/>
          <w:lang w:eastAsia="en-GB"/>
        </w:rPr>
        <w:t>Subsequent correspondence on scientific matters</w:t>
      </w:r>
      <w:r w:rsidR="00CC6750" w:rsidRPr="008F1F84">
        <w:rPr>
          <w:color w:val="000000"/>
          <w:szCs w:val="22"/>
          <w:lang w:eastAsia="en-GB"/>
        </w:rPr>
        <w:t xml:space="preserve"> </w:t>
      </w:r>
      <w:r w:rsidRPr="008F1F84">
        <w:rPr>
          <w:color w:val="000000"/>
          <w:szCs w:val="22"/>
          <w:lang w:eastAsia="en-GB"/>
        </w:rPr>
        <w:t xml:space="preserve">should be sent to the </w:t>
      </w:r>
      <w:bookmarkStart w:id="4" w:name="_Ref372051245"/>
      <w:r w:rsidRPr="008F1F84">
        <w:rPr>
          <w:color w:val="000000"/>
          <w:szCs w:val="22"/>
          <w:lang w:eastAsia="en-GB"/>
        </w:rPr>
        <w:t>Scientific Secretar</w:t>
      </w:r>
      <w:bookmarkEnd w:id="4"/>
      <w:r w:rsidR="008F1F84">
        <w:rPr>
          <w:color w:val="000000"/>
          <w:szCs w:val="22"/>
          <w:lang w:eastAsia="en-GB"/>
        </w:rPr>
        <w:t>iat</w:t>
      </w:r>
      <w:r w:rsidR="006D57B9" w:rsidRPr="008F1F84">
        <w:rPr>
          <w:color w:val="000000"/>
          <w:szCs w:val="22"/>
          <w:lang w:eastAsia="en-GB"/>
        </w:rPr>
        <w:t xml:space="preserve"> of the</w:t>
      </w:r>
      <w:r w:rsidRPr="008F1F84">
        <w:rPr>
          <w:color w:val="000000"/>
          <w:szCs w:val="22"/>
          <w:lang w:eastAsia="en-GB"/>
        </w:rPr>
        <w:t xml:space="preserve"> </w:t>
      </w:r>
      <w:r w:rsidR="006D57B9" w:rsidRPr="008F1F84">
        <w:rPr>
          <w:color w:val="000000"/>
          <w:szCs w:val="22"/>
          <w:lang w:eastAsia="en-GB"/>
        </w:rPr>
        <w:t xml:space="preserve">conference </w:t>
      </w:r>
      <w:r w:rsidRPr="008F1F84">
        <w:rPr>
          <w:color w:val="000000"/>
          <w:szCs w:val="22"/>
          <w:lang w:eastAsia="en-GB"/>
        </w:rPr>
        <w:t>and</w:t>
      </w:r>
      <w:r w:rsidR="00E379C7" w:rsidRPr="008F1F84">
        <w:rPr>
          <w:color w:val="000000"/>
          <w:szCs w:val="22"/>
          <w:lang w:eastAsia="en-GB"/>
        </w:rPr>
        <w:t xml:space="preserve"> </w:t>
      </w:r>
      <w:r w:rsidR="00CC6750" w:rsidRPr="008F1F84">
        <w:rPr>
          <w:color w:val="000000"/>
          <w:szCs w:val="22"/>
          <w:lang w:eastAsia="en-GB"/>
        </w:rPr>
        <w:t xml:space="preserve">correspondence on </w:t>
      </w:r>
      <w:r w:rsidR="00F87858" w:rsidRPr="008F1F84">
        <w:rPr>
          <w:color w:val="000000"/>
          <w:szCs w:val="22"/>
          <w:lang w:eastAsia="en-GB"/>
        </w:rPr>
        <w:t>administrative</w:t>
      </w:r>
      <w:r w:rsidRPr="008F1F84">
        <w:rPr>
          <w:color w:val="000000"/>
          <w:szCs w:val="22"/>
          <w:lang w:eastAsia="en-GB"/>
        </w:rPr>
        <w:t xml:space="preserve"> matters </w:t>
      </w:r>
      <w:r w:rsidR="00CC6750" w:rsidRPr="008F1F84">
        <w:rPr>
          <w:color w:val="000000"/>
          <w:szCs w:val="22"/>
          <w:lang w:eastAsia="en-GB"/>
        </w:rPr>
        <w:t xml:space="preserve">to the </w:t>
      </w:r>
      <w:r w:rsidR="00F87858" w:rsidRPr="008F1F84">
        <w:rPr>
          <w:color w:val="000000"/>
          <w:szCs w:val="22"/>
          <w:lang w:eastAsia="en-GB"/>
        </w:rPr>
        <w:t>IAEA Conference Services Section</w:t>
      </w:r>
      <w:r w:rsidR="00260293" w:rsidRPr="008F1F84">
        <w:rPr>
          <w:color w:val="000000"/>
          <w:szCs w:val="22"/>
          <w:lang w:eastAsia="en-GB"/>
        </w:rPr>
        <w:t>.</w:t>
      </w:r>
    </w:p>
    <w:p w14:paraId="1E6600AF" w14:textId="77777777" w:rsidR="00CC6750" w:rsidRPr="008F1F84" w:rsidRDefault="006D57B9" w:rsidP="00BB2B0C">
      <w:pPr>
        <w:pStyle w:val="Heading1"/>
        <w:ind w:left="709" w:hanging="709"/>
        <w:rPr>
          <w:lang w:eastAsia="en-GB"/>
        </w:rPr>
      </w:pPr>
      <w:bookmarkStart w:id="5" w:name="_Ref389037002"/>
      <w:r w:rsidRPr="008F1F84">
        <w:rPr>
          <w:lang w:eastAsia="en-GB"/>
        </w:rPr>
        <w:t>Conference</w:t>
      </w:r>
      <w:r w:rsidR="00CC6750" w:rsidRPr="008F1F84">
        <w:rPr>
          <w:lang w:eastAsia="en-GB"/>
        </w:rPr>
        <w:t xml:space="preserve"> Web Page</w:t>
      </w:r>
      <w:bookmarkEnd w:id="5"/>
    </w:p>
    <w:p w14:paraId="4A34F777" w14:textId="77777777" w:rsidR="006D57B9" w:rsidRDefault="006D57B9" w:rsidP="006D57B9">
      <w:pPr>
        <w:pStyle w:val="BodyText"/>
      </w:pPr>
      <w:r w:rsidRPr="008F1F84">
        <w:t>Please visit the IAEA conference web page regularly for new information regarding this conference:</w:t>
      </w:r>
    </w:p>
    <w:p w14:paraId="6480E484" w14:textId="6668C18B" w:rsidR="00682D7E" w:rsidRPr="008F1F84" w:rsidRDefault="002A5D8A" w:rsidP="006D57B9">
      <w:pPr>
        <w:pStyle w:val="BodyText"/>
      </w:pPr>
      <w:hyperlink r:id="rId15" w:history="1">
        <w:r w:rsidR="00682D7E" w:rsidRPr="00190578">
          <w:rPr>
            <w:rStyle w:val="Hyperlink"/>
          </w:rPr>
          <w:t>http://www-pub.iaea.org/iaeameetings/46533/International-Conference-on-Research-Reactors-Safe-Management-and-Effective-Utilization</w:t>
        </w:r>
      </w:hyperlink>
      <w:r w:rsidR="00682D7E">
        <w:t xml:space="preserve"> </w:t>
      </w:r>
    </w:p>
    <w:sectPr w:rsidR="00682D7E" w:rsidRPr="008F1F84" w:rsidSect="009E26FF">
      <w:headerReference w:type="even" r:id="rId16"/>
      <w:headerReference w:type="default" r:id="rId17"/>
      <w:footerReference w:type="even" r:id="rId18"/>
      <w:headerReference w:type="first" r:id="rId1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6BB21" w14:textId="77777777" w:rsidR="0071020A" w:rsidRDefault="0071020A">
      <w:r>
        <w:separator/>
      </w:r>
    </w:p>
  </w:endnote>
  <w:endnote w:type="continuationSeparator" w:id="0">
    <w:p w14:paraId="29DA7014" w14:textId="77777777" w:rsidR="0071020A" w:rsidRDefault="00710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54E3" w14:textId="39FE243D" w:rsidR="0071020A" w:rsidRDefault="0071020A">
    <w:pPr>
      <w:pStyle w:val="zyxClassification1"/>
    </w:pPr>
  </w:p>
  <w:p w14:paraId="020E85AD" w14:textId="65C10795" w:rsidR="0071020A" w:rsidRDefault="0071020A">
    <w:pPr>
      <w:pStyle w:val="zyxClassification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15331" w14:textId="77777777" w:rsidR="0071020A" w:rsidRDefault="0071020A">
      <w:r>
        <w:t>___________________________________________________________________________</w:t>
      </w:r>
    </w:p>
  </w:footnote>
  <w:footnote w:type="continuationSeparator" w:id="0">
    <w:p w14:paraId="212D901E" w14:textId="77777777" w:rsidR="0071020A" w:rsidRDefault="0071020A">
      <w:r>
        <w:t>___________________________________________________________________________</w:t>
      </w:r>
    </w:p>
  </w:footnote>
  <w:footnote w:type="continuationNotice" w:id="1">
    <w:p w14:paraId="20BC4D71" w14:textId="77777777" w:rsidR="0071020A" w:rsidRDefault="0071020A"/>
  </w:footnote>
  <w:footnote w:id="2">
    <w:p w14:paraId="2B3A4E81" w14:textId="3DF411DC" w:rsidR="0071020A" w:rsidRPr="002A57D3" w:rsidRDefault="0071020A" w:rsidP="00E11535">
      <w:pPr>
        <w:pStyle w:val="FootnoteText"/>
      </w:pPr>
      <w:r>
        <w:rPr>
          <w:rStyle w:val="FootnoteReference"/>
        </w:rPr>
        <w:footnoteRef/>
      </w:r>
      <w:r>
        <w:t xml:space="preserve"> This approach is outlined in: </w:t>
      </w:r>
      <w:r w:rsidRPr="00A27BCE">
        <w:rPr>
          <w:i/>
          <w:iCs/>
        </w:rPr>
        <w:t>Specific Considerations and Milestones for a Research Reactor Project</w:t>
      </w:r>
      <w:r>
        <w:t xml:space="preserve"> (IAEA Nuclear Energy Series No. </w:t>
      </w:r>
      <w:proofErr w:type="gramStart"/>
      <w:r>
        <w:t>NP-T-5.1, Vienna, 2012).</w:t>
      </w:r>
      <w:proofErr w:type="gramEnd"/>
    </w:p>
  </w:footnote>
  <w:footnote w:id="3">
    <w:p w14:paraId="76E27856" w14:textId="5D45904C" w:rsidR="0071020A" w:rsidRPr="0039799D" w:rsidRDefault="0071020A" w:rsidP="0071020A">
      <w:pPr>
        <w:pStyle w:val="FootnoteText"/>
      </w:pPr>
      <w:r>
        <w:rPr>
          <w:rStyle w:val="FootnoteReference"/>
        </w:rPr>
        <w:footnoteRef/>
      </w:r>
      <w:r>
        <w:t xml:space="preserve"> In particular: </w:t>
      </w:r>
      <w:r>
        <w:rPr>
          <w:i/>
          <w:iCs/>
        </w:rPr>
        <w:t xml:space="preserve">Nuclear Security Recommendations on Physical Protection of Nuclear Material and Nuclear Facilities (INFCIRC/225/Revision 5) </w:t>
      </w:r>
      <w:r>
        <w:t>(IAEA Nuclear Security Series No.</w:t>
      </w:r>
      <w:r w:rsidR="00075D74">
        <w:t xml:space="preserve"> </w:t>
      </w:r>
      <w:r>
        <w:t xml:space="preserve">13, Vienna, 2011), </w:t>
      </w:r>
      <w:r>
        <w:rPr>
          <w:i/>
          <w:iCs/>
        </w:rPr>
        <w:t>Nuclear Security Recommendations on Radioactive Materials and Associated Facilities</w:t>
      </w:r>
      <w:r>
        <w:t xml:space="preserve"> (IAEA Nuclear Security Series No.</w:t>
      </w:r>
      <w:r w:rsidR="00075D74">
        <w:t xml:space="preserve"> </w:t>
      </w:r>
      <w:r>
        <w:t xml:space="preserve">14, Vienna, 2011), and </w:t>
      </w:r>
      <w:r>
        <w:rPr>
          <w:i/>
          <w:iCs/>
        </w:rPr>
        <w:t xml:space="preserve">Objective and Essential Elements of a State’s Nuclear Security Regime </w:t>
      </w:r>
      <w:r>
        <w:t>(IAEA Nuclear Security Series No.</w:t>
      </w:r>
      <w:r w:rsidR="00075D74">
        <w:t xml:space="preserve"> </w:t>
      </w:r>
      <w:r>
        <w:t>20, Vienna,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E91D0" w14:textId="77777777" w:rsidR="0071020A" w:rsidRDefault="0071020A">
    <w:pPr>
      <w:pStyle w:val="Header"/>
      <w:spacing w:after="0"/>
      <w:rPr>
        <w:sz w:val="8"/>
      </w:rPr>
    </w:pPr>
    <w:r>
      <w:br/>
      <w:t xml:space="preserve">Page </w:t>
    </w:r>
    <w:r>
      <w:fldChar w:fldCharType="begin"/>
    </w:r>
    <w:r>
      <w:instrText xml:space="preserve"> PAGE </w:instrText>
    </w:r>
    <w:r>
      <w:fldChar w:fldCharType="separate"/>
    </w:r>
    <w:r w:rsidR="002A5D8A">
      <w:rPr>
        <w:noProof/>
      </w:rPr>
      <w:t>10</w:t>
    </w:r>
    <w:r>
      <w:fldChar w:fldCharType="end"/>
    </w:r>
    <w:r>
      <w:br/>
    </w:r>
  </w:p>
  <w:p w14:paraId="6ACCBE17" w14:textId="5FDD1E58" w:rsidR="0071020A" w:rsidRDefault="0071020A">
    <w:pPr>
      <w:pStyle w:val="zyxClassification1"/>
    </w:pPr>
  </w:p>
  <w:p w14:paraId="4BA556FD" w14:textId="40E2059D" w:rsidR="0071020A" w:rsidRDefault="0071020A">
    <w:pPr>
      <w:pStyle w:val="zyxClassification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AF57" w14:textId="245661B6" w:rsidR="0071020A" w:rsidRPr="003332DA" w:rsidRDefault="0071020A" w:rsidP="003332DA">
    <w:pPr>
      <w:pStyle w:val="Header"/>
      <w:spacing w:after="0"/>
      <w:jc w:val="right"/>
      <w:rPr>
        <w:sz w:val="8"/>
        <w:szCs w:val="8"/>
      </w:rPr>
    </w:pPr>
    <w:r>
      <w:br/>
      <w:t xml:space="preserve">Page </w:t>
    </w:r>
    <w:r>
      <w:fldChar w:fldCharType="begin"/>
    </w:r>
    <w:r>
      <w:instrText xml:space="preserve"> PAGE </w:instrText>
    </w:r>
    <w:r>
      <w:fldChar w:fldCharType="separate"/>
    </w:r>
    <w:r w:rsidR="002A5D8A">
      <w:rPr>
        <w:noProof/>
      </w:rPr>
      <w:t>11</w:t>
    </w:r>
    <w:r>
      <w:fldChar w:fldCharType="end"/>
    </w:r>
    <w:r>
      <w:br/>
    </w:r>
  </w:p>
  <w:p w14:paraId="7DF356AC" w14:textId="77777777" w:rsidR="0071020A" w:rsidRDefault="0071020A">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71020A" w14:paraId="77EAC30D" w14:textId="77777777">
      <w:trPr>
        <w:cantSplit/>
        <w:trHeight w:val="716"/>
      </w:trPr>
      <w:tc>
        <w:tcPr>
          <w:tcW w:w="979" w:type="dxa"/>
          <w:vMerge w:val="restart"/>
        </w:tcPr>
        <w:p w14:paraId="41BB6E62" w14:textId="77777777" w:rsidR="0071020A" w:rsidRDefault="0071020A">
          <w:pPr>
            <w:spacing w:before="180"/>
            <w:ind w:left="17"/>
          </w:pPr>
        </w:p>
      </w:tc>
      <w:tc>
        <w:tcPr>
          <w:tcW w:w="3638" w:type="dxa"/>
          <w:vAlign w:val="bottom"/>
        </w:tcPr>
        <w:p w14:paraId="4E8677B8" w14:textId="77777777" w:rsidR="0071020A" w:rsidRDefault="0071020A">
          <w:pPr>
            <w:spacing w:after="20"/>
          </w:pPr>
        </w:p>
      </w:tc>
      <w:tc>
        <w:tcPr>
          <w:tcW w:w="5702" w:type="dxa"/>
          <w:vMerge w:val="restart"/>
          <w:tcMar>
            <w:right w:w="193" w:type="dxa"/>
          </w:tcMar>
        </w:tcPr>
        <w:p w14:paraId="17ABA30A" w14:textId="5F914323" w:rsidR="0071020A" w:rsidRDefault="0071020A">
          <w:pPr>
            <w:pStyle w:val="zyxConfidBlack"/>
            <w:framePr w:wrap="auto" w:vAnchor="margin" w:hAnchor="text" w:xAlign="left" w:yAlign="inline"/>
            <w:suppressOverlap w:val="0"/>
          </w:pPr>
          <w:bookmarkStart w:id="6" w:name="DOC_bkmClassification1"/>
        </w:p>
        <w:bookmarkEnd w:id="6"/>
        <w:p w14:paraId="2E9A7E44" w14:textId="20EF3EC3" w:rsidR="0071020A" w:rsidRDefault="0071020A">
          <w:pPr>
            <w:pStyle w:val="zyxConfid2Red"/>
          </w:pPr>
        </w:p>
      </w:tc>
    </w:tr>
    <w:tr w:rsidR="0071020A" w14:paraId="1345E28B" w14:textId="77777777">
      <w:trPr>
        <w:cantSplit/>
        <w:trHeight w:val="167"/>
      </w:trPr>
      <w:tc>
        <w:tcPr>
          <w:tcW w:w="979" w:type="dxa"/>
          <w:vMerge/>
        </w:tcPr>
        <w:p w14:paraId="0449CD73" w14:textId="77777777" w:rsidR="0071020A" w:rsidRDefault="0071020A">
          <w:pPr>
            <w:spacing w:before="57"/>
          </w:pPr>
        </w:p>
      </w:tc>
      <w:tc>
        <w:tcPr>
          <w:tcW w:w="3638" w:type="dxa"/>
          <w:vAlign w:val="bottom"/>
        </w:tcPr>
        <w:p w14:paraId="1E5B74D8" w14:textId="77777777" w:rsidR="0071020A" w:rsidRDefault="0071020A">
          <w:pPr>
            <w:pStyle w:val="Heading9"/>
            <w:spacing w:before="0" w:after="10"/>
          </w:pPr>
        </w:p>
      </w:tc>
      <w:tc>
        <w:tcPr>
          <w:tcW w:w="5702" w:type="dxa"/>
          <w:vMerge/>
          <w:vAlign w:val="bottom"/>
        </w:tcPr>
        <w:p w14:paraId="359E418F" w14:textId="77777777" w:rsidR="0071020A" w:rsidRDefault="0071020A">
          <w:pPr>
            <w:pStyle w:val="Heading9"/>
            <w:spacing w:before="0" w:after="10"/>
          </w:pPr>
        </w:p>
      </w:tc>
    </w:tr>
  </w:tbl>
  <w:p w14:paraId="7B10AEEE" w14:textId="77777777" w:rsidR="0071020A" w:rsidRDefault="007102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1C88"/>
    <w:multiLevelType w:val="hybridMultilevel"/>
    <w:tmpl w:val="883260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DB3543"/>
    <w:multiLevelType w:val="hybridMultilevel"/>
    <w:tmpl w:val="1B92EF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Aria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Aria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Aria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nsid w:val="07F45640"/>
    <w:multiLevelType w:val="hybridMultilevel"/>
    <w:tmpl w:val="5C86F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290B20"/>
    <w:multiLevelType w:val="hybridMultilevel"/>
    <w:tmpl w:val="D366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5">
    <w:nsid w:val="13E326A8"/>
    <w:multiLevelType w:val="hybridMultilevel"/>
    <w:tmpl w:val="5484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2974D5"/>
    <w:multiLevelType w:val="hybridMultilevel"/>
    <w:tmpl w:val="C2FCDAB2"/>
    <w:lvl w:ilvl="0" w:tplc="08090001">
      <w:start w:val="1"/>
      <w:numFmt w:val="bullet"/>
      <w:lvlText w:val=""/>
      <w:lvlJc w:val="left"/>
      <w:pPr>
        <w:tabs>
          <w:tab w:val="num" w:pos="1488"/>
        </w:tabs>
        <w:ind w:left="1488" w:hanging="360"/>
      </w:pPr>
      <w:rPr>
        <w:rFonts w:ascii="Symbol" w:hAnsi="Symbol" w:hint="default"/>
      </w:rPr>
    </w:lvl>
    <w:lvl w:ilvl="1" w:tplc="08090003">
      <w:start w:val="1"/>
      <w:numFmt w:val="bullet"/>
      <w:lvlText w:val="o"/>
      <w:lvlJc w:val="left"/>
      <w:pPr>
        <w:tabs>
          <w:tab w:val="num" w:pos="2208"/>
        </w:tabs>
        <w:ind w:left="2208" w:hanging="360"/>
      </w:pPr>
      <w:rPr>
        <w:rFonts w:ascii="Courier New" w:hAnsi="Courier New" w:cs="Courier New" w:hint="default"/>
      </w:rPr>
    </w:lvl>
    <w:lvl w:ilvl="2" w:tplc="08090005" w:tentative="1">
      <w:start w:val="1"/>
      <w:numFmt w:val="bullet"/>
      <w:lvlText w:val=""/>
      <w:lvlJc w:val="left"/>
      <w:pPr>
        <w:tabs>
          <w:tab w:val="num" w:pos="2928"/>
        </w:tabs>
        <w:ind w:left="2928" w:hanging="360"/>
      </w:pPr>
      <w:rPr>
        <w:rFonts w:ascii="Wingdings" w:hAnsi="Wingdings" w:hint="default"/>
      </w:rPr>
    </w:lvl>
    <w:lvl w:ilvl="3" w:tplc="08090001" w:tentative="1">
      <w:start w:val="1"/>
      <w:numFmt w:val="bullet"/>
      <w:lvlText w:val=""/>
      <w:lvlJc w:val="left"/>
      <w:pPr>
        <w:tabs>
          <w:tab w:val="num" w:pos="3648"/>
        </w:tabs>
        <w:ind w:left="3648" w:hanging="360"/>
      </w:pPr>
      <w:rPr>
        <w:rFonts w:ascii="Symbol" w:hAnsi="Symbol" w:hint="default"/>
      </w:rPr>
    </w:lvl>
    <w:lvl w:ilvl="4" w:tplc="08090003" w:tentative="1">
      <w:start w:val="1"/>
      <w:numFmt w:val="bullet"/>
      <w:lvlText w:val="o"/>
      <w:lvlJc w:val="left"/>
      <w:pPr>
        <w:tabs>
          <w:tab w:val="num" w:pos="4368"/>
        </w:tabs>
        <w:ind w:left="4368" w:hanging="360"/>
      </w:pPr>
      <w:rPr>
        <w:rFonts w:ascii="Courier New" w:hAnsi="Courier New" w:cs="Courier New" w:hint="default"/>
      </w:rPr>
    </w:lvl>
    <w:lvl w:ilvl="5" w:tplc="08090005" w:tentative="1">
      <w:start w:val="1"/>
      <w:numFmt w:val="bullet"/>
      <w:lvlText w:val=""/>
      <w:lvlJc w:val="left"/>
      <w:pPr>
        <w:tabs>
          <w:tab w:val="num" w:pos="5088"/>
        </w:tabs>
        <w:ind w:left="5088" w:hanging="360"/>
      </w:pPr>
      <w:rPr>
        <w:rFonts w:ascii="Wingdings" w:hAnsi="Wingdings" w:hint="default"/>
      </w:rPr>
    </w:lvl>
    <w:lvl w:ilvl="6" w:tplc="08090001" w:tentative="1">
      <w:start w:val="1"/>
      <w:numFmt w:val="bullet"/>
      <w:lvlText w:val=""/>
      <w:lvlJc w:val="left"/>
      <w:pPr>
        <w:tabs>
          <w:tab w:val="num" w:pos="5808"/>
        </w:tabs>
        <w:ind w:left="5808" w:hanging="360"/>
      </w:pPr>
      <w:rPr>
        <w:rFonts w:ascii="Symbol" w:hAnsi="Symbol" w:hint="default"/>
      </w:rPr>
    </w:lvl>
    <w:lvl w:ilvl="7" w:tplc="08090003" w:tentative="1">
      <w:start w:val="1"/>
      <w:numFmt w:val="bullet"/>
      <w:lvlText w:val="o"/>
      <w:lvlJc w:val="left"/>
      <w:pPr>
        <w:tabs>
          <w:tab w:val="num" w:pos="6528"/>
        </w:tabs>
        <w:ind w:left="6528" w:hanging="360"/>
      </w:pPr>
      <w:rPr>
        <w:rFonts w:ascii="Courier New" w:hAnsi="Courier New" w:cs="Courier New" w:hint="default"/>
      </w:rPr>
    </w:lvl>
    <w:lvl w:ilvl="8" w:tplc="08090005" w:tentative="1">
      <w:start w:val="1"/>
      <w:numFmt w:val="bullet"/>
      <w:lvlText w:val=""/>
      <w:lvlJc w:val="left"/>
      <w:pPr>
        <w:tabs>
          <w:tab w:val="num" w:pos="7248"/>
        </w:tabs>
        <w:ind w:left="7248" w:hanging="360"/>
      </w:pPr>
      <w:rPr>
        <w:rFonts w:ascii="Wingdings" w:hAnsi="Wingdings" w:hint="default"/>
      </w:rPr>
    </w:lvl>
  </w:abstractNum>
  <w:abstractNum w:abstractNumId="7">
    <w:nsid w:val="15934C36"/>
    <w:multiLevelType w:val="hybridMultilevel"/>
    <w:tmpl w:val="66F8CCDC"/>
    <w:lvl w:ilvl="0" w:tplc="04090003">
      <w:start w:val="1"/>
      <w:numFmt w:val="bullet"/>
      <w:lvlText w:val="o"/>
      <w:lvlJc w:val="left"/>
      <w:pPr>
        <w:tabs>
          <w:tab w:val="num" w:pos="720"/>
        </w:tabs>
        <w:ind w:left="720" w:hanging="360"/>
      </w:pPr>
      <w:rPr>
        <w:rFonts w:ascii="Courier New" w:hAnsi="Courier New" w:cs="Aria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8CD3243"/>
    <w:multiLevelType w:val="hybridMultilevel"/>
    <w:tmpl w:val="ECCE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8E2429"/>
    <w:multiLevelType w:val="hybridMultilevel"/>
    <w:tmpl w:val="08CE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C13249"/>
    <w:multiLevelType w:val="hybridMultilevel"/>
    <w:tmpl w:val="2EECA3A2"/>
    <w:lvl w:ilvl="0" w:tplc="FF68C15E">
      <w:start w:val="1"/>
      <w:numFmt w:val="decimal"/>
      <w:lvlText w:val="%1."/>
      <w:lvlJc w:val="left"/>
      <w:pPr>
        <w:tabs>
          <w:tab w:val="num" w:pos="-1984"/>
        </w:tabs>
        <w:ind w:left="284" w:hanging="284"/>
      </w:pPr>
      <w:rPr>
        <w:rFonts w:hint="default"/>
      </w:rPr>
    </w:lvl>
    <w:lvl w:ilvl="1" w:tplc="5E86945C">
      <w:start w:val="1"/>
      <w:numFmt w:val="bullet"/>
      <w:lvlText w:val="o"/>
      <w:lvlJc w:val="left"/>
      <w:pPr>
        <w:tabs>
          <w:tab w:val="num" w:pos="1080"/>
        </w:tabs>
        <w:ind w:left="1080" w:hanging="360"/>
      </w:pPr>
      <w:rPr>
        <w:rFonts w:ascii="Courier New" w:hAnsi="Courier New" w:cs="Courier New" w:hint="default"/>
      </w:rPr>
    </w:lvl>
    <w:lvl w:ilvl="2" w:tplc="3FE47FF8">
      <w:start w:val="1"/>
      <w:numFmt w:val="decimal"/>
      <w:lvlText w:val="%3)"/>
      <w:lvlJc w:val="left"/>
      <w:pPr>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23CF749A"/>
    <w:multiLevelType w:val="hybridMultilevel"/>
    <w:tmpl w:val="2DEAB73A"/>
    <w:lvl w:ilvl="0" w:tplc="0E88CA6A">
      <w:start w:val="1"/>
      <w:numFmt w:val="bullet"/>
      <w:lvlText w:val=""/>
      <w:lvlJc w:val="left"/>
      <w:pPr>
        <w:tabs>
          <w:tab w:val="num" w:pos="-1984"/>
        </w:tabs>
        <w:ind w:left="284" w:hanging="284"/>
      </w:pPr>
      <w:rPr>
        <w:rFonts w:ascii="Symbol" w:hAnsi="Symbol"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start w:val="1"/>
      <w:numFmt w:val="bullet"/>
      <w:lvlText w:val=""/>
      <w:lvlJc w:val="left"/>
      <w:pPr>
        <w:tabs>
          <w:tab w:val="num" w:pos="1440"/>
        </w:tabs>
        <w:ind w:left="1440" w:hanging="360"/>
      </w:pPr>
      <w:rPr>
        <w:rFonts w:ascii="Wingdings" w:hAnsi="Wingdings" w:hint="default"/>
        <w:sz w:val="20"/>
      </w:rPr>
    </w:lvl>
    <w:lvl w:ilvl="2" w:tplc="0A9C6B90">
      <w:start w:val="1"/>
      <w:numFmt w:val="bullet"/>
      <w:lvlText w:val=""/>
      <w:lvlJc w:val="left"/>
      <w:pPr>
        <w:tabs>
          <w:tab w:val="num" w:pos="2160"/>
        </w:tabs>
        <w:ind w:left="2160" w:hanging="360"/>
      </w:pPr>
      <w:rPr>
        <w:rFonts w:ascii="Wingdings" w:hAnsi="Wingdings" w:hint="default"/>
        <w:sz w:val="20"/>
      </w:rPr>
    </w:lvl>
    <w:lvl w:ilvl="3" w:tplc="E190FCB8">
      <w:start w:val="1"/>
      <w:numFmt w:val="bullet"/>
      <w:lvlText w:val=""/>
      <w:lvlJc w:val="left"/>
      <w:pPr>
        <w:tabs>
          <w:tab w:val="num" w:pos="2880"/>
        </w:tabs>
        <w:ind w:left="2880" w:hanging="360"/>
      </w:pPr>
      <w:rPr>
        <w:rFonts w:ascii="Wingdings" w:hAnsi="Wingdings" w:hint="default"/>
        <w:sz w:val="20"/>
      </w:rPr>
    </w:lvl>
    <w:lvl w:ilvl="4" w:tplc="B48029F8">
      <w:start w:val="1"/>
      <w:numFmt w:val="bullet"/>
      <w:lvlText w:val=""/>
      <w:lvlJc w:val="left"/>
      <w:pPr>
        <w:tabs>
          <w:tab w:val="num" w:pos="3600"/>
        </w:tabs>
        <w:ind w:left="3600" w:hanging="360"/>
      </w:pPr>
      <w:rPr>
        <w:rFonts w:ascii="Wingdings" w:hAnsi="Wingdings" w:hint="default"/>
        <w:sz w:val="20"/>
      </w:rPr>
    </w:lvl>
    <w:lvl w:ilvl="5" w:tplc="5A389DC8">
      <w:start w:val="1"/>
      <w:numFmt w:val="bullet"/>
      <w:lvlText w:val=""/>
      <w:lvlJc w:val="left"/>
      <w:pPr>
        <w:tabs>
          <w:tab w:val="num" w:pos="4320"/>
        </w:tabs>
        <w:ind w:left="4320" w:hanging="360"/>
      </w:pPr>
      <w:rPr>
        <w:rFonts w:ascii="Wingdings" w:hAnsi="Wingdings" w:hint="default"/>
        <w:sz w:val="20"/>
      </w:rPr>
    </w:lvl>
    <w:lvl w:ilvl="6" w:tplc="71A8A79A">
      <w:start w:val="1"/>
      <w:numFmt w:val="bullet"/>
      <w:lvlText w:val=""/>
      <w:lvlJc w:val="left"/>
      <w:pPr>
        <w:tabs>
          <w:tab w:val="num" w:pos="5040"/>
        </w:tabs>
        <w:ind w:left="5040" w:hanging="360"/>
      </w:pPr>
      <w:rPr>
        <w:rFonts w:ascii="Wingdings" w:hAnsi="Wingdings" w:hint="default"/>
        <w:sz w:val="20"/>
      </w:rPr>
    </w:lvl>
    <w:lvl w:ilvl="7" w:tplc="5F943F0E">
      <w:start w:val="1"/>
      <w:numFmt w:val="bullet"/>
      <w:lvlText w:val=""/>
      <w:lvlJc w:val="left"/>
      <w:pPr>
        <w:tabs>
          <w:tab w:val="num" w:pos="5760"/>
        </w:tabs>
        <w:ind w:left="5760" w:hanging="360"/>
      </w:pPr>
      <w:rPr>
        <w:rFonts w:ascii="Wingdings" w:hAnsi="Wingdings" w:hint="default"/>
        <w:sz w:val="20"/>
      </w:rPr>
    </w:lvl>
    <w:lvl w:ilvl="8" w:tplc="852EB582">
      <w:start w:val="1"/>
      <w:numFmt w:val="bullet"/>
      <w:lvlText w:val=""/>
      <w:lvlJc w:val="left"/>
      <w:pPr>
        <w:tabs>
          <w:tab w:val="num" w:pos="6480"/>
        </w:tabs>
        <w:ind w:left="6480" w:hanging="360"/>
      </w:pPr>
      <w:rPr>
        <w:rFonts w:ascii="Wingdings" w:hAnsi="Wingdings" w:hint="default"/>
        <w:sz w:val="20"/>
      </w:rPr>
    </w:lvl>
  </w:abstractNum>
  <w:abstractNum w:abstractNumId="14">
    <w:nsid w:val="2F713832"/>
    <w:multiLevelType w:val="hybridMultilevel"/>
    <w:tmpl w:val="34843956"/>
    <w:lvl w:ilvl="0" w:tplc="0E88CA6A">
      <w:start w:val="1"/>
      <w:numFmt w:val="bullet"/>
      <w:lvlText w:val=""/>
      <w:lvlJc w:val="left"/>
      <w:pPr>
        <w:tabs>
          <w:tab w:val="num" w:pos="-1984"/>
        </w:tabs>
        <w:ind w:left="284" w:hanging="284"/>
      </w:pPr>
      <w:rPr>
        <w:rFonts w:ascii="Symbol" w:hAnsi="Symbol"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3020724E"/>
    <w:multiLevelType w:val="hybridMultilevel"/>
    <w:tmpl w:val="EE54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7">
    <w:nsid w:val="3B0B56EC"/>
    <w:multiLevelType w:val="hybridMultilevel"/>
    <w:tmpl w:val="D2386434"/>
    <w:lvl w:ilvl="0" w:tplc="261C828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F35D8B"/>
    <w:multiLevelType w:val="hybridMultilevel"/>
    <w:tmpl w:val="D898D95C"/>
    <w:lvl w:ilvl="0" w:tplc="8A2E90F8">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4571446E"/>
    <w:multiLevelType w:val="hybridMultilevel"/>
    <w:tmpl w:val="E7041B4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20">
    <w:nsid w:val="481B7FCE"/>
    <w:multiLevelType w:val="hybridMultilevel"/>
    <w:tmpl w:val="C02C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B801D1"/>
    <w:multiLevelType w:val="hybridMultilevel"/>
    <w:tmpl w:val="ACCC89C6"/>
    <w:lvl w:ilvl="0" w:tplc="0E88CA6A">
      <w:start w:val="1"/>
      <w:numFmt w:val="bullet"/>
      <w:lvlText w:val=""/>
      <w:lvlJc w:val="left"/>
      <w:pPr>
        <w:tabs>
          <w:tab w:val="num" w:pos="-696"/>
        </w:tabs>
        <w:ind w:left="1572" w:hanging="284"/>
      </w:pPr>
      <w:rPr>
        <w:rFonts w:ascii="Symbol" w:hAnsi="Symbol" w:hint="default"/>
      </w:rPr>
    </w:lvl>
    <w:lvl w:ilvl="1" w:tplc="AC54B478">
      <w:start w:val="1"/>
      <w:numFmt w:val="bullet"/>
      <w:lvlText w:val=""/>
      <w:lvlJc w:val="left"/>
      <w:pPr>
        <w:tabs>
          <w:tab w:val="num" w:pos="1934"/>
        </w:tabs>
        <w:ind w:left="1914" w:firstLine="57"/>
      </w:pPr>
      <w:rPr>
        <w:rFonts w:ascii="Symbol" w:hAnsi="Symbol" w:hint="default"/>
      </w:rPr>
    </w:lvl>
    <w:lvl w:ilvl="2" w:tplc="08090005" w:tentative="1">
      <w:start w:val="1"/>
      <w:numFmt w:val="bullet"/>
      <w:lvlText w:val=""/>
      <w:lvlJc w:val="left"/>
      <w:pPr>
        <w:tabs>
          <w:tab w:val="num" w:pos="3051"/>
        </w:tabs>
        <w:ind w:left="3051" w:hanging="360"/>
      </w:pPr>
      <w:rPr>
        <w:rFonts w:ascii="Wingdings" w:hAnsi="Wingdings" w:hint="default"/>
      </w:rPr>
    </w:lvl>
    <w:lvl w:ilvl="3" w:tplc="08090001" w:tentative="1">
      <w:start w:val="1"/>
      <w:numFmt w:val="bullet"/>
      <w:lvlText w:val=""/>
      <w:lvlJc w:val="left"/>
      <w:pPr>
        <w:tabs>
          <w:tab w:val="num" w:pos="3771"/>
        </w:tabs>
        <w:ind w:left="3771" w:hanging="360"/>
      </w:pPr>
      <w:rPr>
        <w:rFonts w:ascii="Symbol" w:hAnsi="Symbol" w:hint="default"/>
      </w:rPr>
    </w:lvl>
    <w:lvl w:ilvl="4" w:tplc="08090003" w:tentative="1">
      <w:start w:val="1"/>
      <w:numFmt w:val="bullet"/>
      <w:lvlText w:val="o"/>
      <w:lvlJc w:val="left"/>
      <w:pPr>
        <w:tabs>
          <w:tab w:val="num" w:pos="4491"/>
        </w:tabs>
        <w:ind w:left="4491" w:hanging="360"/>
      </w:pPr>
      <w:rPr>
        <w:rFonts w:ascii="Courier New" w:hAnsi="Courier New" w:cs="Arial" w:hint="default"/>
      </w:rPr>
    </w:lvl>
    <w:lvl w:ilvl="5" w:tplc="08090005" w:tentative="1">
      <w:start w:val="1"/>
      <w:numFmt w:val="bullet"/>
      <w:lvlText w:val=""/>
      <w:lvlJc w:val="left"/>
      <w:pPr>
        <w:tabs>
          <w:tab w:val="num" w:pos="5211"/>
        </w:tabs>
        <w:ind w:left="5211" w:hanging="360"/>
      </w:pPr>
      <w:rPr>
        <w:rFonts w:ascii="Wingdings" w:hAnsi="Wingdings" w:hint="default"/>
      </w:rPr>
    </w:lvl>
    <w:lvl w:ilvl="6" w:tplc="08090001" w:tentative="1">
      <w:start w:val="1"/>
      <w:numFmt w:val="bullet"/>
      <w:lvlText w:val=""/>
      <w:lvlJc w:val="left"/>
      <w:pPr>
        <w:tabs>
          <w:tab w:val="num" w:pos="5931"/>
        </w:tabs>
        <w:ind w:left="5931" w:hanging="360"/>
      </w:pPr>
      <w:rPr>
        <w:rFonts w:ascii="Symbol" w:hAnsi="Symbol" w:hint="default"/>
      </w:rPr>
    </w:lvl>
    <w:lvl w:ilvl="7" w:tplc="08090003" w:tentative="1">
      <w:start w:val="1"/>
      <w:numFmt w:val="bullet"/>
      <w:lvlText w:val="o"/>
      <w:lvlJc w:val="left"/>
      <w:pPr>
        <w:tabs>
          <w:tab w:val="num" w:pos="6651"/>
        </w:tabs>
        <w:ind w:left="6651" w:hanging="360"/>
      </w:pPr>
      <w:rPr>
        <w:rFonts w:ascii="Courier New" w:hAnsi="Courier New" w:cs="Arial" w:hint="default"/>
      </w:rPr>
    </w:lvl>
    <w:lvl w:ilvl="8" w:tplc="08090005" w:tentative="1">
      <w:start w:val="1"/>
      <w:numFmt w:val="bullet"/>
      <w:lvlText w:val=""/>
      <w:lvlJc w:val="left"/>
      <w:pPr>
        <w:tabs>
          <w:tab w:val="num" w:pos="7371"/>
        </w:tabs>
        <w:ind w:left="7371" w:hanging="360"/>
      </w:pPr>
      <w:rPr>
        <w:rFonts w:ascii="Wingdings" w:hAnsi="Wingdings" w:hint="default"/>
      </w:rPr>
    </w:lvl>
  </w:abstractNum>
  <w:abstractNum w:abstractNumId="22">
    <w:nsid w:val="492E3E4A"/>
    <w:multiLevelType w:val="hybridMultilevel"/>
    <w:tmpl w:val="56D24F14"/>
    <w:lvl w:ilvl="0" w:tplc="04090003">
      <w:start w:val="1"/>
      <w:numFmt w:val="bullet"/>
      <w:lvlText w:val="o"/>
      <w:lvlJc w:val="left"/>
      <w:pPr>
        <w:tabs>
          <w:tab w:val="num" w:pos="1080"/>
        </w:tabs>
        <w:ind w:left="1080" w:hanging="360"/>
      </w:pPr>
      <w:rPr>
        <w:rFonts w:ascii="Courier New" w:hAnsi="Courier New" w:cs="Aria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C355550"/>
    <w:multiLevelType w:val="hybridMultilevel"/>
    <w:tmpl w:val="E6028752"/>
    <w:lvl w:ilvl="0" w:tplc="6F84AD40">
      <w:start w:val="1"/>
      <w:numFmt w:val="bullet"/>
      <w:lvlText w:val=""/>
      <w:lvlJc w:val="left"/>
      <w:pPr>
        <w:tabs>
          <w:tab w:val="num" w:pos="-1984"/>
        </w:tabs>
        <w:ind w:left="284" w:hanging="284"/>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E806B1D8">
      <w:start w:val="1"/>
      <w:numFmt w:val="bullet"/>
      <w:lvlText w:val=""/>
      <w:lvlJc w:val="left"/>
      <w:pPr>
        <w:tabs>
          <w:tab w:val="num" w:pos="1980"/>
        </w:tabs>
        <w:ind w:left="1980" w:hanging="360"/>
      </w:pPr>
      <w:rPr>
        <w:rFonts w:ascii="Symbol" w:hAnsi="Symbol"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4C482F10"/>
    <w:multiLevelType w:val="hybridMultilevel"/>
    <w:tmpl w:val="14E28566"/>
    <w:lvl w:ilvl="0" w:tplc="FFAE4EF4">
      <w:start w:val="1"/>
      <w:numFmt w:val="bullet"/>
      <w:lvlText w:val="o"/>
      <w:lvlJc w:val="left"/>
      <w:pPr>
        <w:tabs>
          <w:tab w:val="num" w:pos="1080"/>
        </w:tabs>
        <w:ind w:left="1080" w:hanging="360"/>
      </w:pPr>
      <w:rPr>
        <w:rFonts w:ascii="Courier New" w:hAnsi="Courier New" w:cs="Arial" w:hint="default"/>
      </w:rPr>
    </w:lvl>
    <w:lvl w:ilvl="1" w:tplc="BD40EF58">
      <w:start w:val="1"/>
      <w:numFmt w:val="decimal"/>
      <w:lvlText w:val="%2."/>
      <w:lvlJc w:val="left"/>
      <w:pPr>
        <w:tabs>
          <w:tab w:val="num" w:pos="2027"/>
        </w:tabs>
        <w:ind w:left="2083" w:hanging="680"/>
      </w:pPr>
      <w:rPr>
        <w:rFonts w:hint="default"/>
        <w:sz w:val="24"/>
        <w:szCs w:val="24"/>
      </w:rPr>
    </w:lvl>
    <w:lvl w:ilvl="2" w:tplc="08090005">
      <w:start w:val="1"/>
      <w:numFmt w:val="bullet"/>
      <w:lvlText w:val=""/>
      <w:lvlJc w:val="left"/>
      <w:pPr>
        <w:tabs>
          <w:tab w:val="num" w:pos="2483"/>
        </w:tabs>
        <w:ind w:left="2483" w:hanging="360"/>
      </w:pPr>
      <w:rPr>
        <w:rFonts w:ascii="Wingdings" w:hAnsi="Wingdings" w:hint="default"/>
      </w:rPr>
    </w:lvl>
    <w:lvl w:ilvl="3" w:tplc="08090001" w:tentative="1">
      <w:start w:val="1"/>
      <w:numFmt w:val="bullet"/>
      <w:lvlText w:val=""/>
      <w:lvlJc w:val="left"/>
      <w:pPr>
        <w:tabs>
          <w:tab w:val="num" w:pos="3203"/>
        </w:tabs>
        <w:ind w:left="3203" w:hanging="360"/>
      </w:pPr>
      <w:rPr>
        <w:rFonts w:ascii="Symbol" w:hAnsi="Symbol" w:hint="default"/>
      </w:rPr>
    </w:lvl>
    <w:lvl w:ilvl="4" w:tplc="08090003" w:tentative="1">
      <w:start w:val="1"/>
      <w:numFmt w:val="bullet"/>
      <w:lvlText w:val="o"/>
      <w:lvlJc w:val="left"/>
      <w:pPr>
        <w:tabs>
          <w:tab w:val="num" w:pos="3923"/>
        </w:tabs>
        <w:ind w:left="3923" w:hanging="360"/>
      </w:pPr>
      <w:rPr>
        <w:rFonts w:ascii="Courier New" w:hAnsi="Courier New" w:cs="Arial" w:hint="default"/>
      </w:rPr>
    </w:lvl>
    <w:lvl w:ilvl="5" w:tplc="08090005" w:tentative="1">
      <w:start w:val="1"/>
      <w:numFmt w:val="bullet"/>
      <w:lvlText w:val=""/>
      <w:lvlJc w:val="left"/>
      <w:pPr>
        <w:tabs>
          <w:tab w:val="num" w:pos="4643"/>
        </w:tabs>
        <w:ind w:left="4643" w:hanging="360"/>
      </w:pPr>
      <w:rPr>
        <w:rFonts w:ascii="Wingdings" w:hAnsi="Wingdings" w:hint="default"/>
      </w:rPr>
    </w:lvl>
    <w:lvl w:ilvl="6" w:tplc="08090001" w:tentative="1">
      <w:start w:val="1"/>
      <w:numFmt w:val="bullet"/>
      <w:lvlText w:val=""/>
      <w:lvlJc w:val="left"/>
      <w:pPr>
        <w:tabs>
          <w:tab w:val="num" w:pos="5363"/>
        </w:tabs>
        <w:ind w:left="5363" w:hanging="360"/>
      </w:pPr>
      <w:rPr>
        <w:rFonts w:ascii="Symbol" w:hAnsi="Symbol" w:hint="default"/>
      </w:rPr>
    </w:lvl>
    <w:lvl w:ilvl="7" w:tplc="08090003" w:tentative="1">
      <w:start w:val="1"/>
      <w:numFmt w:val="bullet"/>
      <w:lvlText w:val="o"/>
      <w:lvlJc w:val="left"/>
      <w:pPr>
        <w:tabs>
          <w:tab w:val="num" w:pos="6083"/>
        </w:tabs>
        <w:ind w:left="6083" w:hanging="360"/>
      </w:pPr>
      <w:rPr>
        <w:rFonts w:ascii="Courier New" w:hAnsi="Courier New" w:cs="Arial" w:hint="default"/>
      </w:rPr>
    </w:lvl>
    <w:lvl w:ilvl="8" w:tplc="08090005" w:tentative="1">
      <w:start w:val="1"/>
      <w:numFmt w:val="bullet"/>
      <w:lvlText w:val=""/>
      <w:lvlJc w:val="left"/>
      <w:pPr>
        <w:tabs>
          <w:tab w:val="num" w:pos="6803"/>
        </w:tabs>
        <w:ind w:left="6803" w:hanging="360"/>
      </w:pPr>
      <w:rPr>
        <w:rFonts w:ascii="Wingdings" w:hAnsi="Wingdings" w:hint="default"/>
      </w:rPr>
    </w:lvl>
  </w:abstractNum>
  <w:abstractNum w:abstractNumId="25">
    <w:nsid w:val="4EC23ADC"/>
    <w:multiLevelType w:val="hybridMultilevel"/>
    <w:tmpl w:val="EDA45D6C"/>
    <w:lvl w:ilvl="0" w:tplc="8A2E90F8">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7">
    <w:nsid w:val="570344CB"/>
    <w:multiLevelType w:val="hybridMultilevel"/>
    <w:tmpl w:val="B420A9A4"/>
    <w:lvl w:ilvl="0" w:tplc="647EAC64">
      <w:start w:val="1"/>
      <w:numFmt w:val="bullet"/>
      <w:lvlText w:val=""/>
      <w:lvlJc w:val="left"/>
      <w:pPr>
        <w:tabs>
          <w:tab w:val="num" w:pos="360"/>
        </w:tabs>
        <w:ind w:left="360" w:hanging="360"/>
      </w:pPr>
      <w:rPr>
        <w:rFonts w:ascii="Symbol" w:hAnsi="Symbol" w:hint="default"/>
        <w:sz w:val="18"/>
      </w:rPr>
    </w:lvl>
    <w:lvl w:ilvl="1" w:tplc="08090001">
      <w:start w:val="1"/>
      <w:numFmt w:val="bullet"/>
      <w:lvlText w:val=""/>
      <w:lvlJc w:val="left"/>
      <w:pPr>
        <w:tabs>
          <w:tab w:val="num" w:pos="796"/>
        </w:tabs>
        <w:ind w:left="796" w:hanging="360"/>
      </w:pPr>
      <w:rPr>
        <w:rFonts w:ascii="Symbol" w:hAnsi="Symbol"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28">
    <w:nsid w:val="590738F2"/>
    <w:multiLevelType w:val="hybridMultilevel"/>
    <w:tmpl w:val="DD3E0D6A"/>
    <w:lvl w:ilvl="0" w:tplc="F5B83A44">
      <w:start w:val="1"/>
      <w:numFmt w:val="bullet"/>
      <w:lvlText w:val=""/>
      <w:lvlJc w:val="left"/>
      <w:pPr>
        <w:tabs>
          <w:tab w:val="num" w:pos="-1984"/>
        </w:tabs>
        <w:ind w:left="284" w:hanging="284"/>
      </w:pPr>
      <w:rPr>
        <w:rFonts w:ascii="Symbol" w:hAnsi="Symbol" w:hint="default"/>
      </w:rPr>
    </w:lvl>
    <w:lvl w:ilvl="1" w:tplc="559A6880">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E95692"/>
    <w:multiLevelType w:val="hybridMultilevel"/>
    <w:tmpl w:val="B416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D51093"/>
    <w:multiLevelType w:val="multilevel"/>
    <w:tmpl w:val="3C96AECA"/>
    <w:name w:val="HeadingTemplate"/>
    <w:lvl w:ilvl="0">
      <w:start w:val="1"/>
      <w:numFmt w:val="upperLetter"/>
      <w:lvlRestart w:val="0"/>
      <w:lvlText w:val="%1."/>
      <w:lvlJc w:val="left"/>
      <w:pPr>
        <w:tabs>
          <w:tab w:val="num" w:pos="459"/>
        </w:tabs>
        <w:ind w:left="0" w:firstLine="0"/>
      </w:pPr>
    </w:lvl>
    <w:lvl w:ilvl="1">
      <w:start w:val="1"/>
      <w:numFmt w:val="decimal"/>
      <w:suff w:val="space"/>
      <w:lvlText w:val="%1.%2."/>
      <w:lvlJc w:val="left"/>
      <w:pPr>
        <w:tabs>
          <w:tab w:val="num" w:pos="459"/>
        </w:tabs>
        <w:ind w:left="0" w:firstLine="0"/>
      </w:pPr>
      <w:rPr>
        <w:color w:val="auto"/>
      </w:rPr>
    </w:lvl>
    <w:lvl w:ilvl="2">
      <w:start w:val="1"/>
      <w:numFmt w:val="decimal"/>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32">
    <w:nsid w:val="72F8671A"/>
    <w:multiLevelType w:val="hybridMultilevel"/>
    <w:tmpl w:val="319E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95864A8"/>
    <w:multiLevelType w:val="hybridMultilevel"/>
    <w:tmpl w:val="75A0D736"/>
    <w:lvl w:ilvl="0" w:tplc="0E88CA6A">
      <w:start w:val="1"/>
      <w:numFmt w:val="bullet"/>
      <w:lvlText w:val=""/>
      <w:lvlJc w:val="left"/>
      <w:pPr>
        <w:tabs>
          <w:tab w:val="num" w:pos="-1984"/>
        </w:tabs>
        <w:ind w:left="284" w:hanging="284"/>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79B85122"/>
    <w:multiLevelType w:val="hybridMultilevel"/>
    <w:tmpl w:val="D040BBDC"/>
    <w:lvl w:ilvl="0" w:tplc="98BC012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D14389E"/>
    <w:multiLevelType w:val="hybridMultilevel"/>
    <w:tmpl w:val="4058C74E"/>
    <w:lvl w:ilvl="0" w:tplc="745414FC">
      <w:start w:val="1"/>
      <w:numFmt w:val="upperLetter"/>
      <w:pStyle w:val="Heading1"/>
      <w:lvlText w:val="%1."/>
      <w:lvlJc w:val="left"/>
      <w:pPr>
        <w:ind w:left="3196"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E9151E8"/>
    <w:multiLevelType w:val="hybridMultilevel"/>
    <w:tmpl w:val="E03E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6D3B28"/>
    <w:multiLevelType w:val="hybridMultilevel"/>
    <w:tmpl w:val="3E965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10"/>
  </w:num>
  <w:num w:numId="3">
    <w:abstractNumId w:val="31"/>
  </w:num>
  <w:num w:numId="4">
    <w:abstractNumId w:val="31"/>
  </w:num>
  <w:num w:numId="5">
    <w:abstractNumId w:val="31"/>
  </w:num>
  <w:num w:numId="6">
    <w:abstractNumId w:val="16"/>
  </w:num>
  <w:num w:numId="7">
    <w:abstractNumId w:val="29"/>
  </w:num>
  <w:num w:numId="8">
    <w:abstractNumId w:val="33"/>
  </w:num>
  <w:num w:numId="9">
    <w:abstractNumId w:val="4"/>
  </w:num>
  <w:num w:numId="10">
    <w:abstractNumId w:val="17"/>
  </w:num>
  <w:num w:numId="11">
    <w:abstractNumId w:val="35"/>
  </w:num>
  <w:num w:numId="12">
    <w:abstractNumId w:val="9"/>
  </w:num>
  <w:num w:numId="13">
    <w:abstractNumId w:val="26"/>
  </w:num>
  <w:num w:numId="14">
    <w:abstractNumId w:val="26"/>
  </w:num>
  <w:num w:numId="15">
    <w:abstractNumId w:val="26"/>
  </w:num>
  <w:num w:numId="16">
    <w:abstractNumId w:val="35"/>
  </w:num>
  <w:num w:numId="17">
    <w:abstractNumId w:val="36"/>
  </w:num>
  <w:num w:numId="18">
    <w:abstractNumId w:val="27"/>
  </w:num>
  <w:num w:numId="19">
    <w:abstractNumId w:val="5"/>
  </w:num>
  <w:num w:numId="20">
    <w:abstractNumId w:val="25"/>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9"/>
  </w:num>
  <w:num w:numId="24">
    <w:abstractNumId w:val="20"/>
  </w:num>
  <w:num w:numId="25">
    <w:abstractNumId w:val="15"/>
  </w:num>
  <w:num w:numId="26">
    <w:abstractNumId w:val="37"/>
  </w:num>
  <w:num w:numId="27">
    <w:abstractNumId w:val="32"/>
  </w:num>
  <w:num w:numId="28">
    <w:abstractNumId w:val="2"/>
  </w:num>
  <w:num w:numId="29">
    <w:abstractNumId w:val="8"/>
  </w:num>
  <w:num w:numId="30">
    <w:abstractNumId w:val="3"/>
  </w:num>
  <w:num w:numId="31">
    <w:abstractNumId w:val="30"/>
  </w:num>
  <w:num w:numId="32">
    <w:abstractNumId w:val="36"/>
  </w:num>
  <w:num w:numId="33">
    <w:abstractNumId w:val="36"/>
  </w:num>
  <w:num w:numId="34">
    <w:abstractNumId w:val="24"/>
  </w:num>
  <w:num w:numId="35">
    <w:abstractNumId w:val="22"/>
  </w:num>
  <w:num w:numId="36">
    <w:abstractNumId w:val="21"/>
  </w:num>
  <w:num w:numId="37">
    <w:abstractNumId w:val="23"/>
  </w:num>
  <w:num w:numId="38">
    <w:abstractNumId w:val="14"/>
  </w:num>
  <w:num w:numId="39">
    <w:abstractNumId w:val="12"/>
  </w:num>
  <w:num w:numId="40">
    <w:abstractNumId w:val="1"/>
  </w:num>
  <w:num w:numId="41">
    <w:abstractNumId w:val="7"/>
  </w:num>
  <w:num w:numId="42">
    <w:abstractNumId w:val="38"/>
  </w:num>
  <w:num w:numId="43">
    <w:abstractNumId w:val="28"/>
  </w:num>
  <w:num w:numId="44">
    <w:abstractNumId w:val="11"/>
  </w:num>
  <w:num w:numId="45">
    <w:abstractNumId w:val="34"/>
  </w:num>
  <w:num w:numId="46">
    <w:abstractNumId w:val="13"/>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11617"/>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9943FA"/>
    <w:rsid w:val="000229AB"/>
    <w:rsid w:val="00051557"/>
    <w:rsid w:val="00060C39"/>
    <w:rsid w:val="00075D74"/>
    <w:rsid w:val="000A53DB"/>
    <w:rsid w:val="000C0370"/>
    <w:rsid w:val="000D4073"/>
    <w:rsid w:val="000D4173"/>
    <w:rsid w:val="000E4286"/>
    <w:rsid w:val="000F033E"/>
    <w:rsid w:val="000F0519"/>
    <w:rsid w:val="000F3EDC"/>
    <w:rsid w:val="000F7E94"/>
    <w:rsid w:val="00100998"/>
    <w:rsid w:val="00110DC6"/>
    <w:rsid w:val="001114C8"/>
    <w:rsid w:val="0011636E"/>
    <w:rsid w:val="00125555"/>
    <w:rsid w:val="0013076F"/>
    <w:rsid w:val="0015429A"/>
    <w:rsid w:val="00165B45"/>
    <w:rsid w:val="001959BE"/>
    <w:rsid w:val="001A14C1"/>
    <w:rsid w:val="001B20E0"/>
    <w:rsid w:val="001C15FC"/>
    <w:rsid w:val="001F3F28"/>
    <w:rsid w:val="00206AA4"/>
    <w:rsid w:val="00231DAC"/>
    <w:rsid w:val="0023368A"/>
    <w:rsid w:val="002430D7"/>
    <w:rsid w:val="00243701"/>
    <w:rsid w:val="00260293"/>
    <w:rsid w:val="0026679E"/>
    <w:rsid w:val="00273372"/>
    <w:rsid w:val="00273F3D"/>
    <w:rsid w:val="00274790"/>
    <w:rsid w:val="00276559"/>
    <w:rsid w:val="00280868"/>
    <w:rsid w:val="002944CA"/>
    <w:rsid w:val="002A5D8A"/>
    <w:rsid w:val="002C3F6D"/>
    <w:rsid w:val="002E120D"/>
    <w:rsid w:val="0030395F"/>
    <w:rsid w:val="0031580D"/>
    <w:rsid w:val="00322985"/>
    <w:rsid w:val="003332DA"/>
    <w:rsid w:val="00333966"/>
    <w:rsid w:val="00337B52"/>
    <w:rsid w:val="00362111"/>
    <w:rsid w:val="00385647"/>
    <w:rsid w:val="003A4CFD"/>
    <w:rsid w:val="003B0083"/>
    <w:rsid w:val="003B1DED"/>
    <w:rsid w:val="003B43E2"/>
    <w:rsid w:val="003C6C01"/>
    <w:rsid w:val="003D255A"/>
    <w:rsid w:val="003F29DB"/>
    <w:rsid w:val="003F51F4"/>
    <w:rsid w:val="0040319F"/>
    <w:rsid w:val="00421F1A"/>
    <w:rsid w:val="00432D88"/>
    <w:rsid w:val="004766E3"/>
    <w:rsid w:val="00485194"/>
    <w:rsid w:val="004A246A"/>
    <w:rsid w:val="004E663A"/>
    <w:rsid w:val="004E6B98"/>
    <w:rsid w:val="005002E1"/>
    <w:rsid w:val="00506377"/>
    <w:rsid w:val="005065F0"/>
    <w:rsid w:val="005250F7"/>
    <w:rsid w:val="00544156"/>
    <w:rsid w:val="005530B7"/>
    <w:rsid w:val="00561441"/>
    <w:rsid w:val="00573C87"/>
    <w:rsid w:val="00580C57"/>
    <w:rsid w:val="00595DCB"/>
    <w:rsid w:val="005B6836"/>
    <w:rsid w:val="005B6E72"/>
    <w:rsid w:val="005C2869"/>
    <w:rsid w:val="005C2D92"/>
    <w:rsid w:val="005C3B47"/>
    <w:rsid w:val="005D6BF1"/>
    <w:rsid w:val="005E28D8"/>
    <w:rsid w:val="005E29CC"/>
    <w:rsid w:val="005E4066"/>
    <w:rsid w:val="005E4431"/>
    <w:rsid w:val="0060008F"/>
    <w:rsid w:val="006117D0"/>
    <w:rsid w:val="0062541E"/>
    <w:rsid w:val="0063750C"/>
    <w:rsid w:val="00657734"/>
    <w:rsid w:val="006617F7"/>
    <w:rsid w:val="00664F9E"/>
    <w:rsid w:val="006720EC"/>
    <w:rsid w:val="006727C1"/>
    <w:rsid w:val="00677520"/>
    <w:rsid w:val="00682D7E"/>
    <w:rsid w:val="0068628A"/>
    <w:rsid w:val="006B3216"/>
    <w:rsid w:val="006B34CB"/>
    <w:rsid w:val="006B59F8"/>
    <w:rsid w:val="006C46BA"/>
    <w:rsid w:val="006D16CA"/>
    <w:rsid w:val="006D57B9"/>
    <w:rsid w:val="006E31B7"/>
    <w:rsid w:val="006E544F"/>
    <w:rsid w:val="006F4FE7"/>
    <w:rsid w:val="0071020A"/>
    <w:rsid w:val="0072693A"/>
    <w:rsid w:val="00740220"/>
    <w:rsid w:val="00741925"/>
    <w:rsid w:val="00742F46"/>
    <w:rsid w:val="007445DA"/>
    <w:rsid w:val="00750DF0"/>
    <w:rsid w:val="007A12C6"/>
    <w:rsid w:val="007C12D0"/>
    <w:rsid w:val="007D5941"/>
    <w:rsid w:val="007E59E8"/>
    <w:rsid w:val="00802EC4"/>
    <w:rsid w:val="00804062"/>
    <w:rsid w:val="008124CA"/>
    <w:rsid w:val="0084477E"/>
    <w:rsid w:val="008529C1"/>
    <w:rsid w:val="00877B9B"/>
    <w:rsid w:val="008907DE"/>
    <w:rsid w:val="0089241A"/>
    <w:rsid w:val="0089569A"/>
    <w:rsid w:val="00897F1A"/>
    <w:rsid w:val="008B22A2"/>
    <w:rsid w:val="008D3425"/>
    <w:rsid w:val="008E679B"/>
    <w:rsid w:val="008F1F84"/>
    <w:rsid w:val="008F3152"/>
    <w:rsid w:val="008F4504"/>
    <w:rsid w:val="00905746"/>
    <w:rsid w:val="00920B19"/>
    <w:rsid w:val="00966101"/>
    <w:rsid w:val="0097467F"/>
    <w:rsid w:val="00976995"/>
    <w:rsid w:val="009943FA"/>
    <w:rsid w:val="009C0BF2"/>
    <w:rsid w:val="009C5C92"/>
    <w:rsid w:val="009D0295"/>
    <w:rsid w:val="009D0B86"/>
    <w:rsid w:val="009E26FF"/>
    <w:rsid w:val="00A044BB"/>
    <w:rsid w:val="00A049A3"/>
    <w:rsid w:val="00A163F7"/>
    <w:rsid w:val="00A27BCE"/>
    <w:rsid w:val="00A4103B"/>
    <w:rsid w:val="00A756D2"/>
    <w:rsid w:val="00A8012A"/>
    <w:rsid w:val="00AD2F36"/>
    <w:rsid w:val="00AE262E"/>
    <w:rsid w:val="00AF76A8"/>
    <w:rsid w:val="00B05CCC"/>
    <w:rsid w:val="00B11CE6"/>
    <w:rsid w:val="00B27A03"/>
    <w:rsid w:val="00B330C0"/>
    <w:rsid w:val="00B41854"/>
    <w:rsid w:val="00B50B3B"/>
    <w:rsid w:val="00B521CB"/>
    <w:rsid w:val="00B633E5"/>
    <w:rsid w:val="00B64059"/>
    <w:rsid w:val="00B77990"/>
    <w:rsid w:val="00B81415"/>
    <w:rsid w:val="00BA4EE9"/>
    <w:rsid w:val="00BA7389"/>
    <w:rsid w:val="00BB2B0C"/>
    <w:rsid w:val="00BC3718"/>
    <w:rsid w:val="00BC3A14"/>
    <w:rsid w:val="00BD1400"/>
    <w:rsid w:val="00BE1B6B"/>
    <w:rsid w:val="00BE2A76"/>
    <w:rsid w:val="00BF037B"/>
    <w:rsid w:val="00BF68CA"/>
    <w:rsid w:val="00C21AC1"/>
    <w:rsid w:val="00C57127"/>
    <w:rsid w:val="00C623B3"/>
    <w:rsid w:val="00C7512B"/>
    <w:rsid w:val="00C965AF"/>
    <w:rsid w:val="00CA05E6"/>
    <w:rsid w:val="00CA4203"/>
    <w:rsid w:val="00CA5882"/>
    <w:rsid w:val="00CB7952"/>
    <w:rsid w:val="00CC6750"/>
    <w:rsid w:val="00CD25AE"/>
    <w:rsid w:val="00CE5A52"/>
    <w:rsid w:val="00D034FD"/>
    <w:rsid w:val="00D15603"/>
    <w:rsid w:val="00D24EE5"/>
    <w:rsid w:val="00D41E84"/>
    <w:rsid w:val="00D54902"/>
    <w:rsid w:val="00D626A1"/>
    <w:rsid w:val="00DA17CA"/>
    <w:rsid w:val="00DA46CA"/>
    <w:rsid w:val="00DC1755"/>
    <w:rsid w:val="00DC4155"/>
    <w:rsid w:val="00DD0331"/>
    <w:rsid w:val="00DD5F8C"/>
    <w:rsid w:val="00DE2924"/>
    <w:rsid w:val="00DF3B09"/>
    <w:rsid w:val="00E11535"/>
    <w:rsid w:val="00E12FF2"/>
    <w:rsid w:val="00E20E70"/>
    <w:rsid w:val="00E23813"/>
    <w:rsid w:val="00E24E0A"/>
    <w:rsid w:val="00E379C7"/>
    <w:rsid w:val="00E54B23"/>
    <w:rsid w:val="00E633E6"/>
    <w:rsid w:val="00E65547"/>
    <w:rsid w:val="00E7421C"/>
    <w:rsid w:val="00E75F70"/>
    <w:rsid w:val="00E77634"/>
    <w:rsid w:val="00ED01C1"/>
    <w:rsid w:val="00EE75B5"/>
    <w:rsid w:val="00EF150D"/>
    <w:rsid w:val="00F1752C"/>
    <w:rsid w:val="00F1761D"/>
    <w:rsid w:val="00F342E2"/>
    <w:rsid w:val="00F4545E"/>
    <w:rsid w:val="00F7035C"/>
    <w:rsid w:val="00F77EE9"/>
    <w:rsid w:val="00F87858"/>
    <w:rsid w:val="00F932BB"/>
    <w:rsid w:val="00F952CC"/>
    <w:rsid w:val="00FA2003"/>
    <w:rsid w:val="00FA5220"/>
    <w:rsid w:val="00FB0BF2"/>
    <w:rsid w:val="00FD7628"/>
    <w:rsid w:val="00FD78C4"/>
    <w:rsid w:val="00FE0197"/>
    <w:rsid w:val="00FE1A6A"/>
    <w:rsid w:val="00FE20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617"/>
    <o:shapelayout v:ext="edit">
      <o:idmap v:ext="edit" data="1"/>
    </o:shapelayout>
  </w:shapeDefaults>
  <w:decimalSymbol w:val="."/>
  <w:listSeparator w:val=","/>
  <w14:docId w14:val="2A53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footnote text" w:uiPriority="0"/>
    <w:lsdException w:name="annotation text" w:uiPriority="0"/>
    <w:lsdException w:name="header" w:uiPriority="0"/>
    <w:lsdException w:name="footer" w:uiPriority="99"/>
    <w:lsdException w:name="caption" w:uiPriority="0"/>
    <w:lsdException w:name="footnote reference" w:uiPriority="0"/>
    <w:lsdException w:name="annotation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0"/>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8F4504"/>
    <w:pPr>
      <w:keepNext/>
      <w:keepLines/>
      <w:widowControl w:val="0"/>
      <w:numPr>
        <w:numId w:val="17"/>
      </w:numPr>
      <w:spacing w:before="851" w:after="390" w:line="360" w:lineRule="exact"/>
      <w:outlineLvl w:val="0"/>
    </w:pPr>
    <w:rPr>
      <w:b/>
      <w:sz w:val="32"/>
      <w:lang w:eastAsia="en-US"/>
    </w:rPr>
  </w:style>
  <w:style w:type="paragraph" w:styleId="Heading2">
    <w:name w:val="heading 2"/>
    <w:next w:val="BodyTextMultiline"/>
    <w:qFormat/>
    <w:rsid w:val="008F4504"/>
    <w:pPr>
      <w:keepNext/>
      <w:keepLines/>
      <w:widowControl w:val="0"/>
      <w:spacing w:before="480" w:after="200" w:line="320" w:lineRule="exact"/>
      <w:outlineLvl w:val="1"/>
    </w:pPr>
    <w:rPr>
      <w:b/>
      <w:sz w:val="28"/>
      <w:lang w:eastAsia="en-US"/>
    </w:rPr>
  </w:style>
  <w:style w:type="paragraph" w:styleId="Heading3">
    <w:name w:val="heading 3"/>
    <w:next w:val="BodyTextMultiline"/>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Italics Quote,Corps de texte1"/>
    <w:link w:val="BodyTextChar"/>
    <w:qForma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link w:val="FootnoteTextChar"/>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49"/>
    <w:rsid w:val="00750DF0"/>
    <w:pPr>
      <w:ind w:left="720"/>
      <w:contextualSpacing/>
    </w:pPr>
  </w:style>
  <w:style w:type="character" w:styleId="Hyperlink">
    <w:name w:val="Hyperlink"/>
    <w:basedOn w:val="DefaultParagraphFont"/>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rsid w:val="00CA05E6"/>
    <w:rPr>
      <w:sz w:val="16"/>
      <w:szCs w:val="16"/>
    </w:rPr>
  </w:style>
  <w:style w:type="paragraph" w:styleId="CommentText">
    <w:name w:val="annotation text"/>
    <w:basedOn w:val="Normal"/>
    <w:link w:val="CommentTextChar"/>
    <w:rsid w:val="00CA05E6"/>
    <w:rPr>
      <w:sz w:val="20"/>
    </w:rPr>
  </w:style>
  <w:style w:type="character" w:customStyle="1" w:styleId="CommentTextChar">
    <w:name w:val="Comment Text Char"/>
    <w:basedOn w:val="DefaultParagraphFont"/>
    <w:link w:val="CommentText"/>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8F4504"/>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Italics Quote Char,Corps de texte1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 w:type="paragraph" w:styleId="Index1">
    <w:name w:val="index 1"/>
    <w:basedOn w:val="Normal"/>
    <w:next w:val="Normal"/>
    <w:autoRedefine/>
    <w:rsid w:val="000C0370"/>
    <w:pPr>
      <w:overflowPunct/>
      <w:autoSpaceDE/>
      <w:autoSpaceDN/>
      <w:adjustRightInd/>
      <w:spacing w:line="276" w:lineRule="auto"/>
      <w:jc w:val="both"/>
      <w:textAlignment w:val="auto"/>
    </w:pPr>
    <w:rPr>
      <w:rFonts w:eastAsia="Batang"/>
      <w:sz w:val="24"/>
      <w:szCs w:val="24"/>
      <w:lang w:val="en-US" w:eastAsia="en-GB"/>
    </w:rPr>
  </w:style>
  <w:style w:type="character" w:customStyle="1" w:styleId="FootnoteTextChar">
    <w:name w:val="Footnote Text Char"/>
    <w:link w:val="FootnoteText"/>
    <w:rsid w:val="000C0370"/>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uiPriority="0"/>
    <w:lsdException w:name="footnote text" w:uiPriority="0"/>
    <w:lsdException w:name="annotation text" w:uiPriority="0"/>
    <w:lsdException w:name="header" w:uiPriority="0"/>
    <w:lsdException w:name="footer" w:uiPriority="99"/>
    <w:lsdException w:name="caption" w:uiPriority="0"/>
    <w:lsdException w:name="footnote reference" w:uiPriority="0"/>
    <w:lsdException w:name="annotation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0"/>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8F4504"/>
    <w:pPr>
      <w:keepNext/>
      <w:keepLines/>
      <w:widowControl w:val="0"/>
      <w:numPr>
        <w:numId w:val="17"/>
      </w:numPr>
      <w:spacing w:before="851" w:after="390" w:line="360" w:lineRule="exact"/>
      <w:outlineLvl w:val="0"/>
    </w:pPr>
    <w:rPr>
      <w:b/>
      <w:sz w:val="32"/>
      <w:lang w:eastAsia="en-US"/>
    </w:rPr>
  </w:style>
  <w:style w:type="paragraph" w:styleId="Heading2">
    <w:name w:val="heading 2"/>
    <w:next w:val="BodyTextMultiline"/>
    <w:qFormat/>
    <w:rsid w:val="008F4504"/>
    <w:pPr>
      <w:keepNext/>
      <w:keepLines/>
      <w:widowControl w:val="0"/>
      <w:spacing w:before="480" w:after="200" w:line="320" w:lineRule="exact"/>
      <w:outlineLvl w:val="1"/>
    </w:pPr>
    <w:rPr>
      <w:b/>
      <w:sz w:val="28"/>
      <w:lang w:eastAsia="en-US"/>
    </w:rPr>
  </w:style>
  <w:style w:type="paragraph" w:styleId="Heading3">
    <w:name w:val="heading 3"/>
    <w:next w:val="BodyTextMultiline"/>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Italics Quote,Corps de texte1"/>
    <w:link w:val="BodyTextChar"/>
    <w:qForma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link w:val="FootnoteTextChar"/>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49"/>
    <w:rsid w:val="00750DF0"/>
    <w:pPr>
      <w:ind w:left="720"/>
      <w:contextualSpacing/>
    </w:pPr>
  </w:style>
  <w:style w:type="character" w:styleId="Hyperlink">
    <w:name w:val="Hyperlink"/>
    <w:basedOn w:val="DefaultParagraphFont"/>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rsid w:val="00CA05E6"/>
    <w:rPr>
      <w:sz w:val="16"/>
      <w:szCs w:val="16"/>
    </w:rPr>
  </w:style>
  <w:style w:type="paragraph" w:styleId="CommentText">
    <w:name w:val="annotation text"/>
    <w:basedOn w:val="Normal"/>
    <w:link w:val="CommentTextChar"/>
    <w:rsid w:val="00CA05E6"/>
    <w:rPr>
      <w:sz w:val="20"/>
    </w:rPr>
  </w:style>
  <w:style w:type="character" w:customStyle="1" w:styleId="CommentTextChar">
    <w:name w:val="Comment Text Char"/>
    <w:basedOn w:val="DefaultParagraphFont"/>
    <w:link w:val="CommentText"/>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8F4504"/>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Italics Quote Char,Corps de texte1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 w:type="paragraph" w:styleId="Index1">
    <w:name w:val="index 1"/>
    <w:basedOn w:val="Normal"/>
    <w:next w:val="Normal"/>
    <w:autoRedefine/>
    <w:rsid w:val="000C0370"/>
    <w:pPr>
      <w:overflowPunct/>
      <w:autoSpaceDE/>
      <w:autoSpaceDN/>
      <w:adjustRightInd/>
      <w:spacing w:line="276" w:lineRule="auto"/>
      <w:jc w:val="both"/>
      <w:textAlignment w:val="auto"/>
    </w:pPr>
    <w:rPr>
      <w:rFonts w:eastAsia="Batang"/>
      <w:sz w:val="24"/>
      <w:szCs w:val="24"/>
      <w:lang w:val="en-US" w:eastAsia="en-GB"/>
    </w:rPr>
  </w:style>
  <w:style w:type="character" w:customStyle="1" w:styleId="FootnoteTextChar">
    <w:name w:val="Footnote Text Char"/>
    <w:link w:val="FootnoteText"/>
    <w:rsid w:val="000C0370"/>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5000">
      <w:bodyDiv w:val="1"/>
      <w:marLeft w:val="0"/>
      <w:marRight w:val="0"/>
      <w:marTop w:val="0"/>
      <w:marBottom w:val="0"/>
      <w:divBdr>
        <w:top w:val="none" w:sz="0" w:space="0" w:color="auto"/>
        <w:left w:val="none" w:sz="0" w:space="0" w:color="auto"/>
        <w:bottom w:val="none" w:sz="0" w:space="0" w:color="auto"/>
        <w:right w:val="none" w:sz="0" w:space="0" w:color="auto"/>
      </w:divBdr>
    </w:div>
    <w:div w:id="870073636">
      <w:bodyDiv w:val="1"/>
      <w:marLeft w:val="0"/>
      <w:marRight w:val="0"/>
      <w:marTop w:val="0"/>
      <w:marBottom w:val="0"/>
      <w:divBdr>
        <w:top w:val="none" w:sz="0" w:space="0" w:color="auto"/>
        <w:left w:val="none" w:sz="0" w:space="0" w:color="auto"/>
        <w:bottom w:val="none" w:sz="0" w:space="0" w:color="auto"/>
        <w:right w:val="none" w:sz="0" w:space="0" w:color="auto"/>
      </w:divBdr>
    </w:div>
    <w:div w:id="886181434">
      <w:bodyDiv w:val="1"/>
      <w:marLeft w:val="0"/>
      <w:marRight w:val="0"/>
      <w:marTop w:val="0"/>
      <w:marBottom w:val="0"/>
      <w:divBdr>
        <w:top w:val="none" w:sz="0" w:space="0" w:color="auto"/>
        <w:left w:val="none" w:sz="0" w:space="0" w:color="auto"/>
        <w:bottom w:val="none" w:sz="0" w:space="0" w:color="auto"/>
        <w:right w:val="none" w:sz="0" w:space="0" w:color="auto"/>
      </w:divBdr>
    </w:div>
    <w:div w:id="902179086">
      <w:bodyDiv w:val="1"/>
      <w:marLeft w:val="0"/>
      <w:marRight w:val="0"/>
      <w:marTop w:val="0"/>
      <w:marBottom w:val="0"/>
      <w:divBdr>
        <w:top w:val="none" w:sz="0" w:space="0" w:color="auto"/>
        <w:left w:val="none" w:sz="0" w:space="0" w:color="auto"/>
        <w:bottom w:val="none" w:sz="0" w:space="0" w:color="auto"/>
        <w:right w:val="none" w:sz="0" w:space="0" w:color="auto"/>
      </w:divBdr>
    </w:div>
    <w:div w:id="1303274334">
      <w:bodyDiv w:val="1"/>
      <w:marLeft w:val="0"/>
      <w:marRight w:val="0"/>
      <w:marTop w:val="0"/>
      <w:marBottom w:val="0"/>
      <w:divBdr>
        <w:top w:val="none" w:sz="0" w:space="0" w:color="auto"/>
        <w:left w:val="none" w:sz="0" w:space="0" w:color="auto"/>
        <w:bottom w:val="none" w:sz="0" w:space="0" w:color="auto"/>
        <w:right w:val="none" w:sz="0" w:space="0" w:color="auto"/>
      </w:divBdr>
    </w:div>
    <w:div w:id="1312173211">
      <w:bodyDiv w:val="1"/>
      <w:marLeft w:val="0"/>
      <w:marRight w:val="0"/>
      <w:marTop w:val="0"/>
      <w:marBottom w:val="0"/>
      <w:divBdr>
        <w:top w:val="none" w:sz="0" w:space="0" w:color="auto"/>
        <w:left w:val="none" w:sz="0" w:space="0" w:color="auto"/>
        <w:bottom w:val="none" w:sz="0" w:space="0" w:color="auto"/>
        <w:right w:val="none" w:sz="0" w:space="0" w:color="auto"/>
      </w:divBdr>
    </w:div>
    <w:div w:id="1515535652">
      <w:bodyDiv w:val="1"/>
      <w:marLeft w:val="0"/>
      <w:marRight w:val="0"/>
      <w:marTop w:val="0"/>
      <w:marBottom w:val="0"/>
      <w:divBdr>
        <w:top w:val="none" w:sz="0" w:space="0" w:color="auto"/>
        <w:left w:val="none" w:sz="0" w:space="0" w:color="auto"/>
        <w:bottom w:val="none" w:sz="0" w:space="0" w:color="auto"/>
        <w:right w:val="none" w:sz="0" w:space="0" w:color="auto"/>
      </w:divBdr>
    </w:div>
    <w:div w:id="1531259586">
      <w:bodyDiv w:val="1"/>
      <w:marLeft w:val="0"/>
      <w:marRight w:val="0"/>
      <w:marTop w:val="0"/>
      <w:marBottom w:val="0"/>
      <w:divBdr>
        <w:top w:val="none" w:sz="0" w:space="0" w:color="auto"/>
        <w:left w:val="none" w:sz="0" w:space="0" w:color="auto"/>
        <w:bottom w:val="none" w:sz="0" w:space="0" w:color="auto"/>
        <w:right w:val="none" w:sz="0" w:space="0" w:color="auto"/>
      </w:divBdr>
    </w:div>
    <w:div w:id="20662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RConference2015@iae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fficial.mail@iaea.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RConference2015@iaea.org" TargetMode="External"/><Relationship Id="rId5" Type="http://schemas.openxmlformats.org/officeDocument/2006/relationships/settings" Target="settings.xml"/><Relationship Id="rId15" Type="http://schemas.openxmlformats.org/officeDocument/2006/relationships/hyperlink" Target="http://www-pub.iaea.org/iaeameetings/46533/International-Conference-on-Research-Reactors-Safe-Management-and-Effective-Utilization" TargetMode="External"/><Relationship Id="rId10" Type="http://schemas.openxmlformats.org/officeDocument/2006/relationships/hyperlink" Target="mailto:official.mail@iaea.org"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M.Neuhold@iae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B1093-ABA4-4B05-9432-51EF17B9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25</TotalTime>
  <Pages>11</Pages>
  <Words>2492</Words>
  <Characters>15179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TURBEK, Zoltan</dc:creator>
  <cp:lastModifiedBy>Luis Sundkvist</cp:lastModifiedBy>
  <cp:revision>6</cp:revision>
  <cp:lastPrinted>2014-09-17T13:46:00Z</cp:lastPrinted>
  <dcterms:created xsi:type="dcterms:W3CDTF">2014-09-17T09:15:00Z</dcterms:created>
  <dcterms:modified xsi:type="dcterms:W3CDTF">2014-09-17T13:47:00Z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