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8D326" w14:textId="30587702" w:rsidR="00E20E70" w:rsidRPr="006B59F8" w:rsidRDefault="00F1752C" w:rsidP="00F1752C">
      <w:pPr>
        <w:pStyle w:val="BodyText"/>
        <w:jc w:val="center"/>
        <w:rPr>
          <w:rFonts w:asciiTheme="minorHAnsi" w:hAnsiTheme="minorHAnsi" w:cstheme="minorHAnsi"/>
        </w:rPr>
      </w:pPr>
      <w:bookmarkStart w:id="0" w:name="_GoBack"/>
      <w:bookmarkEnd w:id="0"/>
      <w:r w:rsidRPr="00322985">
        <w:rPr>
          <w:rFonts w:asciiTheme="minorHAnsi" w:hAnsiTheme="minorHAnsi" w:cstheme="minorHAnsi"/>
          <w:noProof/>
          <w:lang w:eastAsia="en-GB"/>
        </w:rPr>
        <w:drawing>
          <wp:inline distT="0" distB="0" distL="0" distR="0" wp14:anchorId="4CDA5DF8" wp14:editId="6698BEC1">
            <wp:extent cx="1486800" cy="1130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art-Logo-E_vertical_k.jpg"/>
                    <pic:cNvPicPr/>
                  </pic:nvPicPr>
                  <pic:blipFill>
                    <a:blip r:embed="rId9">
                      <a:extLst>
                        <a:ext uri="{28A0092B-C50C-407E-A947-70E740481C1C}">
                          <a14:useLocalDpi xmlns:a14="http://schemas.microsoft.com/office/drawing/2010/main" val="0"/>
                        </a:ext>
                      </a:extLst>
                    </a:blip>
                    <a:stretch>
                      <a:fillRect/>
                    </a:stretch>
                  </pic:blipFill>
                  <pic:spPr>
                    <a:xfrm>
                      <a:off x="0" y="0"/>
                      <a:ext cx="1486800" cy="1130400"/>
                    </a:xfrm>
                    <a:prstGeom prst="rect">
                      <a:avLst/>
                    </a:prstGeom>
                  </pic:spPr>
                </pic:pic>
              </a:graphicData>
            </a:graphic>
          </wp:inline>
        </w:drawing>
      </w:r>
    </w:p>
    <w:p w14:paraId="3718A53A" w14:textId="77777777" w:rsidR="00F1752C" w:rsidRPr="006B59F8" w:rsidRDefault="00F1752C" w:rsidP="00F1752C">
      <w:pPr>
        <w:pStyle w:val="BodyText"/>
        <w:spacing w:after="0" w:line="276" w:lineRule="auto"/>
        <w:jc w:val="center"/>
        <w:rPr>
          <w:b/>
          <w:sz w:val="28"/>
          <w:szCs w:val="28"/>
        </w:rPr>
      </w:pPr>
    </w:p>
    <w:p w14:paraId="19CEE7A0" w14:textId="514B402A" w:rsidR="009943FA" w:rsidRPr="00322985" w:rsidRDefault="006D57B9" w:rsidP="006D57B9">
      <w:pPr>
        <w:overflowPunct/>
        <w:spacing w:line="276" w:lineRule="auto"/>
        <w:jc w:val="center"/>
        <w:textAlignment w:val="auto"/>
        <w:rPr>
          <w:b/>
          <w:bCs/>
          <w:sz w:val="42"/>
          <w:szCs w:val="42"/>
        </w:rPr>
      </w:pPr>
      <w:r w:rsidRPr="00322985">
        <w:rPr>
          <w:b/>
          <w:bCs/>
          <w:sz w:val="42"/>
          <w:szCs w:val="42"/>
        </w:rPr>
        <w:t>International Conference on Operational Safety</w:t>
      </w:r>
    </w:p>
    <w:p w14:paraId="3198A15E" w14:textId="77777777" w:rsidR="009943FA" w:rsidRPr="006B59F8" w:rsidRDefault="009943FA" w:rsidP="00B521CB">
      <w:pPr>
        <w:pStyle w:val="BodyText"/>
        <w:spacing w:after="0" w:line="276" w:lineRule="auto"/>
        <w:jc w:val="center"/>
        <w:rPr>
          <w:b/>
          <w:sz w:val="28"/>
          <w:szCs w:val="28"/>
        </w:rPr>
      </w:pPr>
    </w:p>
    <w:p w14:paraId="5FD553C2" w14:textId="77777777" w:rsidR="00F1752C" w:rsidRPr="00322985" w:rsidRDefault="00F1752C" w:rsidP="003B1DED">
      <w:pPr>
        <w:overflowPunct/>
        <w:spacing w:line="276" w:lineRule="auto"/>
        <w:jc w:val="center"/>
        <w:textAlignment w:val="auto"/>
        <w:rPr>
          <w:b/>
          <w:bCs/>
          <w:color w:val="000000"/>
          <w:sz w:val="28"/>
          <w:szCs w:val="28"/>
          <w:lang w:eastAsia="en-GB"/>
        </w:rPr>
      </w:pPr>
    </w:p>
    <w:p w14:paraId="66D7CEB6" w14:textId="77777777" w:rsidR="003B1DED" w:rsidRPr="00322985" w:rsidRDefault="009943FA" w:rsidP="003B1DED">
      <w:pPr>
        <w:overflowPunct/>
        <w:spacing w:line="276" w:lineRule="auto"/>
        <w:jc w:val="center"/>
        <w:textAlignment w:val="auto"/>
        <w:rPr>
          <w:b/>
          <w:bCs/>
          <w:color w:val="000000"/>
          <w:sz w:val="28"/>
          <w:szCs w:val="28"/>
          <w:lang w:eastAsia="en-GB"/>
        </w:rPr>
      </w:pPr>
      <w:r w:rsidRPr="00322985">
        <w:rPr>
          <w:b/>
          <w:bCs/>
          <w:color w:val="000000"/>
          <w:sz w:val="28"/>
          <w:szCs w:val="28"/>
          <w:lang w:eastAsia="en-GB"/>
        </w:rPr>
        <w:t>IAEA Headquarters</w:t>
      </w:r>
    </w:p>
    <w:p w14:paraId="4034E15B" w14:textId="77777777" w:rsidR="009943FA" w:rsidRPr="00322985" w:rsidRDefault="009943FA" w:rsidP="00B521CB">
      <w:pPr>
        <w:overflowPunct/>
        <w:spacing w:line="276" w:lineRule="auto"/>
        <w:jc w:val="center"/>
        <w:textAlignment w:val="auto"/>
        <w:rPr>
          <w:b/>
          <w:bCs/>
          <w:color w:val="000000"/>
          <w:sz w:val="28"/>
          <w:szCs w:val="28"/>
          <w:lang w:eastAsia="en-GB"/>
        </w:rPr>
      </w:pPr>
      <w:r w:rsidRPr="00322985">
        <w:rPr>
          <w:b/>
          <w:bCs/>
          <w:color w:val="000000"/>
          <w:sz w:val="28"/>
          <w:szCs w:val="28"/>
          <w:lang w:eastAsia="en-GB"/>
        </w:rPr>
        <w:t>Vienna, Austria</w:t>
      </w:r>
    </w:p>
    <w:p w14:paraId="46F3D7B0" w14:textId="77777777" w:rsidR="003B1DED" w:rsidRPr="00322985" w:rsidRDefault="003B1DED" w:rsidP="00B521CB">
      <w:pPr>
        <w:overflowPunct/>
        <w:spacing w:line="276" w:lineRule="auto"/>
        <w:jc w:val="center"/>
        <w:textAlignment w:val="auto"/>
        <w:rPr>
          <w:b/>
          <w:bCs/>
          <w:color w:val="000000"/>
          <w:sz w:val="24"/>
          <w:szCs w:val="24"/>
          <w:lang w:eastAsia="en-GB"/>
        </w:rPr>
      </w:pPr>
    </w:p>
    <w:p w14:paraId="35C3B39F" w14:textId="53E4ED8C" w:rsidR="00362111" w:rsidRPr="00322985" w:rsidRDefault="008B22A2" w:rsidP="006D57B9">
      <w:pPr>
        <w:overflowPunct/>
        <w:spacing w:line="276" w:lineRule="auto"/>
        <w:jc w:val="center"/>
        <w:textAlignment w:val="auto"/>
        <w:rPr>
          <w:b/>
          <w:bCs/>
          <w:sz w:val="28"/>
          <w:szCs w:val="28"/>
          <w:lang w:eastAsia="en-GB"/>
        </w:rPr>
      </w:pPr>
      <w:r>
        <w:rPr>
          <w:b/>
          <w:bCs/>
          <w:sz w:val="28"/>
          <w:szCs w:val="28"/>
        </w:rPr>
        <w:t>23</w:t>
      </w:r>
      <w:r w:rsidR="00B77990" w:rsidRPr="00322985">
        <w:rPr>
          <w:b/>
          <w:bCs/>
          <w:sz w:val="28"/>
          <w:szCs w:val="28"/>
          <w:lang w:eastAsia="en-GB"/>
        </w:rPr>
        <w:t>–</w:t>
      </w:r>
      <w:r>
        <w:rPr>
          <w:b/>
          <w:bCs/>
          <w:sz w:val="28"/>
          <w:szCs w:val="28"/>
        </w:rPr>
        <w:t>26</w:t>
      </w:r>
      <w:r w:rsidR="006D57B9" w:rsidRPr="00322985">
        <w:rPr>
          <w:b/>
          <w:bCs/>
          <w:sz w:val="28"/>
          <w:szCs w:val="28"/>
        </w:rPr>
        <w:t xml:space="preserve"> June 2015</w:t>
      </w:r>
    </w:p>
    <w:p w14:paraId="116F97B1" w14:textId="77777777" w:rsidR="00F1752C" w:rsidRPr="00322985" w:rsidRDefault="00F1752C" w:rsidP="00B521CB">
      <w:pPr>
        <w:overflowPunct/>
        <w:spacing w:line="276" w:lineRule="auto"/>
        <w:jc w:val="center"/>
        <w:textAlignment w:val="auto"/>
        <w:rPr>
          <w:b/>
          <w:bCs/>
          <w:sz w:val="24"/>
          <w:szCs w:val="24"/>
        </w:rPr>
      </w:pPr>
    </w:p>
    <w:p w14:paraId="2FCEBB7F" w14:textId="78C4D225" w:rsidR="00276559" w:rsidRPr="00322985" w:rsidRDefault="00F1752C" w:rsidP="006D57B9">
      <w:pPr>
        <w:overflowPunct/>
        <w:spacing w:line="276" w:lineRule="auto"/>
        <w:jc w:val="center"/>
        <w:textAlignment w:val="auto"/>
        <w:rPr>
          <w:b/>
          <w:bCs/>
          <w:sz w:val="24"/>
          <w:szCs w:val="24"/>
          <w:lang w:eastAsia="en-GB"/>
        </w:rPr>
      </w:pPr>
      <w:r w:rsidRPr="00322985">
        <w:rPr>
          <w:b/>
          <w:bCs/>
          <w:sz w:val="24"/>
          <w:szCs w:val="24"/>
        </w:rPr>
        <w:t>Ref. No</w:t>
      </w:r>
      <w:r w:rsidR="008B22A2">
        <w:rPr>
          <w:b/>
          <w:bCs/>
          <w:sz w:val="24"/>
          <w:szCs w:val="24"/>
        </w:rPr>
        <w:t>.</w:t>
      </w:r>
      <w:r w:rsidRPr="00322985">
        <w:rPr>
          <w:b/>
          <w:bCs/>
          <w:sz w:val="24"/>
          <w:szCs w:val="24"/>
        </w:rPr>
        <w:t xml:space="preserve">: </w:t>
      </w:r>
      <w:r w:rsidR="006D57B9" w:rsidRPr="00322985">
        <w:rPr>
          <w:b/>
          <w:bCs/>
          <w:sz w:val="24"/>
          <w:szCs w:val="24"/>
        </w:rPr>
        <w:t>CN-227</w:t>
      </w:r>
    </w:p>
    <w:p w14:paraId="26EA7C73" w14:textId="30EA1436" w:rsidR="002944CA" w:rsidRPr="00322985" w:rsidRDefault="002944CA" w:rsidP="00CC6750">
      <w:pPr>
        <w:overflowPunct/>
        <w:spacing w:line="276" w:lineRule="auto"/>
        <w:jc w:val="center"/>
        <w:textAlignment w:val="auto"/>
        <w:rPr>
          <w:color w:val="000000"/>
          <w:sz w:val="28"/>
          <w:szCs w:val="28"/>
          <w:lang w:eastAsia="en-GB"/>
        </w:rPr>
      </w:pPr>
    </w:p>
    <w:p w14:paraId="28FBBDB9" w14:textId="77777777" w:rsidR="00276559" w:rsidRPr="00322985" w:rsidRDefault="00276559" w:rsidP="00B521CB">
      <w:pPr>
        <w:overflowPunct/>
        <w:spacing w:line="276" w:lineRule="auto"/>
        <w:jc w:val="center"/>
        <w:textAlignment w:val="auto"/>
        <w:rPr>
          <w:b/>
          <w:bCs/>
          <w:color w:val="000000"/>
          <w:sz w:val="28"/>
          <w:szCs w:val="28"/>
          <w:lang w:eastAsia="en-GB"/>
        </w:rPr>
      </w:pPr>
    </w:p>
    <w:p w14:paraId="5CAA19BA" w14:textId="397612F2" w:rsidR="00276559" w:rsidRPr="00322985" w:rsidRDefault="00333966" w:rsidP="006D57B9">
      <w:pPr>
        <w:overflowPunct/>
        <w:spacing w:line="276" w:lineRule="auto"/>
        <w:jc w:val="center"/>
        <w:textAlignment w:val="auto"/>
        <w:rPr>
          <w:b/>
          <w:bCs/>
          <w:sz w:val="36"/>
          <w:szCs w:val="36"/>
          <w:lang w:eastAsia="en-GB"/>
        </w:rPr>
      </w:pPr>
      <w:r w:rsidRPr="00322985">
        <w:rPr>
          <w:b/>
          <w:bCs/>
          <w:color w:val="000000"/>
          <w:sz w:val="36"/>
          <w:szCs w:val="36"/>
          <w:lang w:eastAsia="en-GB"/>
        </w:rPr>
        <w:t>Announcement</w:t>
      </w:r>
      <w:r w:rsidR="00B77990" w:rsidRPr="00322985">
        <w:rPr>
          <w:b/>
          <w:bCs/>
          <w:color w:val="000000"/>
          <w:sz w:val="36"/>
          <w:szCs w:val="36"/>
          <w:lang w:eastAsia="en-GB"/>
        </w:rPr>
        <w:t xml:space="preserve"> and Call for Papers</w:t>
      </w:r>
    </w:p>
    <w:p w14:paraId="4BC64AF8" w14:textId="5FE0186A" w:rsidR="00750DF0" w:rsidRPr="00322985" w:rsidRDefault="006D57B9" w:rsidP="008F4504">
      <w:pPr>
        <w:pStyle w:val="Heading1"/>
      </w:pPr>
      <w:r w:rsidRPr="00322985">
        <w:t>Background</w:t>
      </w:r>
    </w:p>
    <w:p w14:paraId="16D4CD51" w14:textId="604307B6" w:rsidR="006D57B9" w:rsidRPr="009E26FF" w:rsidRDefault="006D57B9" w:rsidP="00CD25AE">
      <w:pPr>
        <w:pStyle w:val="BodyText"/>
      </w:pPr>
      <w:r w:rsidRPr="009E26FF">
        <w:t xml:space="preserve">The </w:t>
      </w:r>
      <w:r w:rsidR="00F87858" w:rsidRPr="009E26FF">
        <w:t>International Atomic Energy Agency (</w:t>
      </w:r>
      <w:r w:rsidRPr="009E26FF">
        <w:t>IAEA</w:t>
      </w:r>
      <w:r w:rsidR="00F87858" w:rsidRPr="009E26FF">
        <w:t>)</w:t>
      </w:r>
      <w:r w:rsidRPr="009E26FF">
        <w:t xml:space="preserve"> organized the last </w:t>
      </w:r>
      <w:r w:rsidR="00F87858" w:rsidRPr="009E26FF">
        <w:t>international c</w:t>
      </w:r>
      <w:r w:rsidRPr="009E26FF">
        <w:t xml:space="preserve">onference on </w:t>
      </w:r>
      <w:r w:rsidR="00F87858" w:rsidRPr="009E26FF">
        <w:t>o</w:t>
      </w:r>
      <w:r w:rsidRPr="009E26FF">
        <w:t xml:space="preserve">perational </w:t>
      </w:r>
      <w:r w:rsidR="00F87858" w:rsidRPr="009E26FF">
        <w:t>s</w:t>
      </w:r>
      <w:r w:rsidRPr="009E26FF">
        <w:t xml:space="preserve">afety in 2010 during a period when a renaissance of the nuclear industry was considered </w:t>
      </w:r>
      <w:r w:rsidR="00CD25AE" w:rsidRPr="009E26FF">
        <w:t xml:space="preserve">to be </w:t>
      </w:r>
      <w:r w:rsidRPr="009E26FF">
        <w:t>on the horizon. In 2011, however</w:t>
      </w:r>
      <w:r w:rsidR="00F87858" w:rsidRPr="009E26FF">
        <w:t>,</w:t>
      </w:r>
      <w:r w:rsidRPr="009E26FF">
        <w:t xml:space="preserve"> the nuclear safety world changed as a consequence of the accident </w:t>
      </w:r>
      <w:r w:rsidR="00F87858" w:rsidRPr="009E26FF">
        <w:t>that took place at</w:t>
      </w:r>
      <w:r w:rsidRPr="009E26FF">
        <w:t xml:space="preserve"> the Fukushima Daiichi </w:t>
      </w:r>
      <w:r w:rsidR="008B22A2">
        <w:t>N</w:t>
      </w:r>
      <w:r w:rsidR="008B22A2" w:rsidRPr="009E26FF">
        <w:t xml:space="preserve">uclear </w:t>
      </w:r>
      <w:r w:rsidR="008B22A2">
        <w:t>P</w:t>
      </w:r>
      <w:r w:rsidRPr="009E26FF">
        <w:t xml:space="preserve">ower </w:t>
      </w:r>
      <w:r w:rsidR="008B22A2">
        <w:t>Station</w:t>
      </w:r>
      <w:r w:rsidRPr="009E26FF">
        <w:t xml:space="preserve">. In response to this accident, the IAEA and </w:t>
      </w:r>
      <w:r w:rsidR="00F87858" w:rsidRPr="009E26FF">
        <w:t>its</w:t>
      </w:r>
      <w:r w:rsidRPr="009E26FF">
        <w:t xml:space="preserve"> Member States made several concrete commitments and took actions to improve nuclear safety and increase the </w:t>
      </w:r>
      <w:r w:rsidR="00F87858" w:rsidRPr="009E26FF">
        <w:t xml:space="preserve">robustness and resilience of </w:t>
      </w:r>
      <w:r w:rsidR="00A45C0D">
        <w:t>nuclear power plants (</w:t>
      </w:r>
      <w:r w:rsidRPr="009E26FF">
        <w:t>NPP</w:t>
      </w:r>
      <w:r w:rsidR="00F87858" w:rsidRPr="009E26FF">
        <w:t>s</w:t>
      </w:r>
      <w:r w:rsidR="00A45C0D">
        <w:t>)</w:t>
      </w:r>
      <w:r w:rsidRPr="009E26FF">
        <w:t xml:space="preserve"> </w:t>
      </w:r>
      <w:r w:rsidR="00F87858" w:rsidRPr="009E26FF">
        <w:t xml:space="preserve">with regard </w:t>
      </w:r>
      <w:r w:rsidRPr="009E26FF">
        <w:t xml:space="preserve">to human errors, equipment faults and natural hazards. The IAEA has hosted </w:t>
      </w:r>
      <w:r w:rsidR="00F87858" w:rsidRPr="009E26FF">
        <w:t>two</w:t>
      </w:r>
      <w:r w:rsidRPr="009E26FF">
        <w:t xml:space="preserve"> </w:t>
      </w:r>
      <w:r w:rsidR="00F87858" w:rsidRPr="009E26FF">
        <w:t>m</w:t>
      </w:r>
      <w:r w:rsidRPr="009E26FF">
        <w:t xml:space="preserve">inisterial </w:t>
      </w:r>
      <w:r w:rsidR="00F87858" w:rsidRPr="009E26FF">
        <w:t>c</w:t>
      </w:r>
      <w:r w:rsidRPr="009E26FF">
        <w:t xml:space="preserve">onferences </w:t>
      </w:r>
      <w:r w:rsidR="005002E1" w:rsidRPr="009E26FF">
        <w:t xml:space="preserve">and </w:t>
      </w:r>
      <w:r w:rsidR="00F87858" w:rsidRPr="009E26FF">
        <w:t>i</w:t>
      </w:r>
      <w:r w:rsidRPr="009E26FF">
        <w:t xml:space="preserve">nternational </w:t>
      </w:r>
      <w:r w:rsidR="00F87858" w:rsidRPr="009E26FF">
        <w:t>e</w:t>
      </w:r>
      <w:r w:rsidRPr="009E26FF">
        <w:t>xperts</w:t>
      </w:r>
      <w:r w:rsidR="00F87858" w:rsidRPr="009E26FF">
        <w:t>’</w:t>
      </w:r>
      <w:r w:rsidRPr="009E26FF">
        <w:t xml:space="preserve"> </w:t>
      </w:r>
      <w:r w:rsidR="00F87858" w:rsidRPr="009E26FF">
        <w:t>m</w:t>
      </w:r>
      <w:r w:rsidRPr="009E26FF">
        <w:t>eetings</w:t>
      </w:r>
      <w:r w:rsidR="005002E1" w:rsidRPr="009E26FF">
        <w:t>,</w:t>
      </w:r>
      <w:r w:rsidRPr="009E26FF">
        <w:t xml:space="preserve"> </w:t>
      </w:r>
      <w:r w:rsidR="005002E1" w:rsidRPr="009E26FF">
        <w:t>as well as the Second E</w:t>
      </w:r>
      <w:r w:rsidRPr="009E26FF">
        <w:t>xtraordinary</w:t>
      </w:r>
      <w:r w:rsidR="005002E1" w:rsidRPr="009E26FF">
        <w:t xml:space="preserve"> Meeting</w:t>
      </w:r>
      <w:r w:rsidRPr="009E26FF">
        <w:t xml:space="preserve"> and</w:t>
      </w:r>
      <w:r w:rsidR="005002E1" w:rsidRPr="009E26FF">
        <w:t xml:space="preserve"> the</w:t>
      </w:r>
      <w:r w:rsidRPr="009E26FF">
        <w:t xml:space="preserve"> </w:t>
      </w:r>
      <w:r w:rsidR="005002E1" w:rsidRPr="009E26FF">
        <w:t>Sixth R</w:t>
      </w:r>
      <w:r w:rsidRPr="009E26FF">
        <w:t xml:space="preserve">eview </w:t>
      </w:r>
      <w:r w:rsidR="005002E1" w:rsidRPr="009E26FF">
        <w:t>M</w:t>
      </w:r>
      <w:r w:rsidRPr="009E26FF">
        <w:t xml:space="preserve">eeting of the Contracting Parties to the Convention on Nuclear Safety, all of them dedicated to identifying actions needed to apply lessons learned from </w:t>
      </w:r>
      <w:r w:rsidR="005002E1" w:rsidRPr="009E26FF">
        <w:t xml:space="preserve">the </w:t>
      </w:r>
      <w:r w:rsidRPr="009E26FF">
        <w:t xml:space="preserve">Fukushima Daiichi </w:t>
      </w:r>
      <w:r w:rsidR="008B22A2">
        <w:t>N</w:t>
      </w:r>
      <w:r w:rsidR="008B22A2" w:rsidRPr="009E26FF">
        <w:t xml:space="preserve">uclear </w:t>
      </w:r>
      <w:r w:rsidR="008B22A2">
        <w:t>P</w:t>
      </w:r>
      <w:r w:rsidR="00432D88">
        <w:t xml:space="preserve">ower </w:t>
      </w:r>
      <w:r w:rsidR="008B22A2">
        <w:t>Station</w:t>
      </w:r>
      <w:r w:rsidR="00432D88">
        <w:t xml:space="preserve"> </w:t>
      </w:r>
      <w:r w:rsidR="005002E1" w:rsidRPr="009E26FF">
        <w:t xml:space="preserve">accident </w:t>
      </w:r>
      <w:r w:rsidRPr="009E26FF">
        <w:t xml:space="preserve">and </w:t>
      </w:r>
      <w:r w:rsidR="005002E1" w:rsidRPr="009E26FF">
        <w:t xml:space="preserve">to achieving worldwide </w:t>
      </w:r>
      <w:r w:rsidRPr="009E26FF">
        <w:t>commit</w:t>
      </w:r>
      <w:r w:rsidR="005002E1" w:rsidRPr="009E26FF">
        <w:t>ment</w:t>
      </w:r>
      <w:r w:rsidRPr="009E26FF">
        <w:t xml:space="preserve"> to their implementation. New emphasis was placed on the reassessment of NPP safety, related to both design and operational practices. Furthermore, the importance of human factors for all activities concerning plant design, construction, operation and regulation was reaffirmed. This conference will build on the consensus already achieved and seek further opportunities for </w:t>
      </w:r>
      <w:r w:rsidR="00CD25AE" w:rsidRPr="009E26FF">
        <w:t xml:space="preserve">the </w:t>
      </w:r>
      <w:r w:rsidRPr="009E26FF">
        <w:t>improvement of operational safety worldwide.</w:t>
      </w:r>
    </w:p>
    <w:p w14:paraId="200ACFB6" w14:textId="321957EA" w:rsidR="006D57B9" w:rsidRPr="00322985" w:rsidRDefault="006D57B9" w:rsidP="00CD25AE">
      <w:pPr>
        <w:pStyle w:val="BodyText"/>
      </w:pPr>
      <w:r w:rsidRPr="00322985">
        <w:lastRenderedPageBreak/>
        <w:t xml:space="preserve">Currently, there are over 400 NPP units in operation worldwide and around 150 units are in various stages of decommissioning. Some 50 units </w:t>
      </w:r>
      <w:r w:rsidR="005002E1" w:rsidRPr="00322985">
        <w:t xml:space="preserve">have been </w:t>
      </w:r>
      <w:r w:rsidRPr="00322985">
        <w:t>shut</w:t>
      </w:r>
      <w:r w:rsidR="005002E1" w:rsidRPr="00322985">
        <w:t xml:space="preserve"> </w:t>
      </w:r>
      <w:r w:rsidRPr="00322985">
        <w:t xml:space="preserve">down following the Fukushima Daiichi </w:t>
      </w:r>
      <w:r w:rsidR="008B22A2">
        <w:t>N</w:t>
      </w:r>
      <w:r w:rsidR="008B22A2" w:rsidRPr="00322985">
        <w:t xml:space="preserve">uclear </w:t>
      </w:r>
      <w:r w:rsidR="008B22A2">
        <w:t>P</w:t>
      </w:r>
      <w:r w:rsidR="008B22A2" w:rsidRPr="00322985">
        <w:t xml:space="preserve">ower </w:t>
      </w:r>
      <w:r w:rsidR="008B22A2">
        <w:t>Station</w:t>
      </w:r>
      <w:r w:rsidR="009E26FF" w:rsidRPr="00322985">
        <w:t xml:space="preserve"> </w:t>
      </w:r>
      <w:r w:rsidRPr="00322985">
        <w:t xml:space="preserve">accident and consideration is being given </w:t>
      </w:r>
      <w:r w:rsidR="005002E1" w:rsidRPr="00322985">
        <w:t xml:space="preserve">to </w:t>
      </w:r>
      <w:r w:rsidRPr="00322985">
        <w:t xml:space="preserve">whether they will restart their operation or will </w:t>
      </w:r>
      <w:r w:rsidR="005002E1" w:rsidRPr="00322985">
        <w:t>enter the</w:t>
      </w:r>
      <w:r w:rsidRPr="00322985">
        <w:t xml:space="preserve"> decommissioning</w:t>
      </w:r>
      <w:r w:rsidR="005002E1" w:rsidRPr="00322985">
        <w:t xml:space="preserve"> stage</w:t>
      </w:r>
      <w:r w:rsidRPr="00322985">
        <w:t xml:space="preserve">. Around 70 units are under construction and several countries have announced their intention to embark on new </w:t>
      </w:r>
      <w:r w:rsidR="005002E1" w:rsidRPr="00322985">
        <w:t xml:space="preserve">nuclear power programmes </w:t>
      </w:r>
      <w:r w:rsidRPr="00322985">
        <w:t xml:space="preserve">or expand </w:t>
      </w:r>
      <w:r w:rsidR="005002E1" w:rsidRPr="00322985">
        <w:t>existing programmes</w:t>
      </w:r>
      <w:r w:rsidRPr="00322985">
        <w:t>.</w:t>
      </w:r>
    </w:p>
    <w:p w14:paraId="59CF3848" w14:textId="428D4FE9" w:rsidR="006D57B9" w:rsidRPr="00322985" w:rsidRDefault="006D57B9" w:rsidP="000D4073">
      <w:pPr>
        <w:pStyle w:val="BodyText"/>
      </w:pPr>
      <w:r w:rsidRPr="00322985">
        <w:t>This diverse situation poses a number of safety challenges to the nuclear industry and</w:t>
      </w:r>
      <w:r w:rsidR="005002E1" w:rsidRPr="00322985">
        <w:t>,</w:t>
      </w:r>
      <w:r w:rsidRPr="00322985">
        <w:t xml:space="preserve"> in particular</w:t>
      </w:r>
      <w:r w:rsidR="005002E1" w:rsidRPr="00322985">
        <w:t>,</w:t>
      </w:r>
      <w:r w:rsidRPr="00322985">
        <w:t xml:space="preserve"> to utilities </w:t>
      </w:r>
      <w:r w:rsidR="000D4073" w:rsidRPr="00322985">
        <w:t xml:space="preserve">that </w:t>
      </w:r>
      <w:r w:rsidRPr="00322985">
        <w:t xml:space="preserve">are planning, constructing, commissioning, operating or decommissioning </w:t>
      </w:r>
      <w:r w:rsidR="005002E1" w:rsidRPr="00322985">
        <w:t>NPPs</w:t>
      </w:r>
      <w:r w:rsidRPr="00322985">
        <w:t>.</w:t>
      </w:r>
    </w:p>
    <w:p w14:paraId="1765BD13" w14:textId="77777777" w:rsidR="006D57B9" w:rsidRPr="00322985" w:rsidRDefault="006D57B9" w:rsidP="000D4073">
      <w:pPr>
        <w:pStyle w:val="BodyText"/>
        <w:rPr>
          <w:b/>
          <w:bCs/>
        </w:rPr>
      </w:pPr>
      <w:r w:rsidRPr="00322985">
        <w:rPr>
          <w:b/>
          <w:bCs/>
        </w:rPr>
        <w:t xml:space="preserve">IAEA Safety Standards and OSART </w:t>
      </w:r>
      <w:r w:rsidR="000D4073" w:rsidRPr="00322985">
        <w:rPr>
          <w:b/>
          <w:bCs/>
        </w:rPr>
        <w:t>M</w:t>
      </w:r>
      <w:r w:rsidRPr="00322985">
        <w:rPr>
          <w:b/>
          <w:bCs/>
        </w:rPr>
        <w:t>issions</w:t>
      </w:r>
    </w:p>
    <w:p w14:paraId="55D8BA46" w14:textId="0EDC3063" w:rsidR="006D57B9" w:rsidRPr="00322985" w:rsidRDefault="006D57B9" w:rsidP="000D4073">
      <w:pPr>
        <w:pStyle w:val="BodyText"/>
      </w:pPr>
      <w:r w:rsidRPr="00322985">
        <w:t xml:space="preserve">The IAEA </w:t>
      </w:r>
      <w:r w:rsidR="000D4073" w:rsidRPr="00322985">
        <w:t>s</w:t>
      </w:r>
      <w:r w:rsidRPr="00322985">
        <w:t xml:space="preserve">afety </w:t>
      </w:r>
      <w:r w:rsidR="000D4073" w:rsidRPr="00322985">
        <w:t>s</w:t>
      </w:r>
      <w:r w:rsidRPr="00322985">
        <w:t>tandards and Operational Safety Review Team (OSART) missions are continuously being enhanced to reflect the state</w:t>
      </w:r>
      <w:r w:rsidR="000D4073" w:rsidRPr="00322985">
        <w:t xml:space="preserve"> </w:t>
      </w:r>
      <w:r w:rsidRPr="00322985">
        <w:t>of</w:t>
      </w:r>
      <w:r w:rsidR="000D4073" w:rsidRPr="00322985">
        <w:t xml:space="preserve"> </w:t>
      </w:r>
      <w:r w:rsidRPr="00322985">
        <w:t>the</w:t>
      </w:r>
      <w:r w:rsidR="000D4073" w:rsidRPr="00322985">
        <w:t xml:space="preserve"> </w:t>
      </w:r>
      <w:r w:rsidRPr="00322985">
        <w:t>art in operational safety and support the implementation of the best operational practices worldwide. The importance of peer reviews</w:t>
      </w:r>
      <w:r w:rsidR="00CD25AE" w:rsidRPr="00322985">
        <w:t>,</w:t>
      </w:r>
      <w:r w:rsidRPr="00322985">
        <w:t xml:space="preserve"> such as</w:t>
      </w:r>
      <w:r w:rsidR="000D4073" w:rsidRPr="00322985">
        <w:t xml:space="preserve"> those conducted under the</w:t>
      </w:r>
      <w:r w:rsidRPr="00322985">
        <w:t xml:space="preserve"> OSART </w:t>
      </w:r>
      <w:r w:rsidR="000D4073" w:rsidRPr="00322985">
        <w:t xml:space="preserve">programme </w:t>
      </w:r>
      <w:r w:rsidRPr="00322985">
        <w:t>and</w:t>
      </w:r>
      <w:r w:rsidR="000D4073" w:rsidRPr="00322985">
        <w:t xml:space="preserve"> by the World Association of Nuclear Operators</w:t>
      </w:r>
      <w:r w:rsidRPr="00322985">
        <w:t xml:space="preserve"> </w:t>
      </w:r>
      <w:r w:rsidR="000D4073" w:rsidRPr="00322985">
        <w:t>(</w:t>
      </w:r>
      <w:r w:rsidRPr="00322985">
        <w:t>WANO</w:t>
      </w:r>
      <w:r w:rsidR="000D4073" w:rsidRPr="00322985">
        <w:t>)</w:t>
      </w:r>
      <w:r w:rsidR="00CD25AE" w:rsidRPr="00322985">
        <w:t>,</w:t>
      </w:r>
      <w:r w:rsidRPr="00322985">
        <w:t xml:space="preserve"> was further underlined during the </w:t>
      </w:r>
      <w:r w:rsidR="000D4073" w:rsidRPr="00322985">
        <w:t>Sixth R</w:t>
      </w:r>
      <w:r w:rsidRPr="00322985">
        <w:t xml:space="preserve">eview </w:t>
      </w:r>
      <w:r w:rsidR="000D4073" w:rsidRPr="00322985">
        <w:t>M</w:t>
      </w:r>
      <w:r w:rsidRPr="00322985">
        <w:t xml:space="preserve">eeting of the </w:t>
      </w:r>
      <w:r w:rsidR="000D4073" w:rsidRPr="00322985">
        <w:t xml:space="preserve">Contracting Parties to the </w:t>
      </w:r>
      <w:r w:rsidRPr="00322985">
        <w:t xml:space="preserve">Convention on Nuclear Safety. In particular, emphasis was made on </w:t>
      </w:r>
      <w:r w:rsidR="000D4073" w:rsidRPr="00322985">
        <w:t xml:space="preserve">OSART </w:t>
      </w:r>
      <w:r w:rsidRPr="00322985">
        <w:t xml:space="preserve">follow-up missions as a powerful tool to review the progress </w:t>
      </w:r>
      <w:r w:rsidR="000D4073" w:rsidRPr="00322985">
        <w:t xml:space="preserve">achieved in </w:t>
      </w:r>
      <w:r w:rsidRPr="00322985">
        <w:t xml:space="preserve">the implementation of the safety improvement action plan </w:t>
      </w:r>
      <w:r w:rsidR="000D4073" w:rsidRPr="00322985">
        <w:t xml:space="preserve">at </w:t>
      </w:r>
      <w:r w:rsidRPr="00322985">
        <w:t xml:space="preserve">every NPP </w:t>
      </w:r>
      <w:r w:rsidR="000D4073" w:rsidRPr="00322985">
        <w:t xml:space="preserve">that </w:t>
      </w:r>
      <w:r w:rsidRPr="00322985">
        <w:t xml:space="preserve">has hosted a review mission. Although most </w:t>
      </w:r>
      <w:r w:rsidR="000D4073" w:rsidRPr="00322985">
        <w:t>IAEA Member States with nuclear power facilities</w:t>
      </w:r>
      <w:r w:rsidRPr="00322985">
        <w:t xml:space="preserve"> have made extensive use of the </w:t>
      </w:r>
      <w:r w:rsidR="000D4073" w:rsidRPr="00322985">
        <w:t xml:space="preserve">available </w:t>
      </w:r>
      <w:r w:rsidRPr="00322985">
        <w:t>peer review</w:t>
      </w:r>
      <w:r w:rsidR="000D4073" w:rsidRPr="00322985">
        <w:t xml:space="preserve"> service</w:t>
      </w:r>
      <w:r w:rsidRPr="00322985">
        <w:t>s and more than 180 OSART missions have been undertaken since 1983, a further challenge remains to engage all countries to commit and participate in such international peer reviews on a regular basis.</w:t>
      </w:r>
    </w:p>
    <w:p w14:paraId="3C5B42C4" w14:textId="77777777" w:rsidR="006D57B9" w:rsidRPr="00322985" w:rsidRDefault="006D57B9" w:rsidP="000D4073">
      <w:pPr>
        <w:pStyle w:val="BodyText"/>
        <w:rPr>
          <w:b/>
          <w:bCs/>
        </w:rPr>
      </w:pPr>
      <w:r w:rsidRPr="00322985">
        <w:rPr>
          <w:b/>
          <w:bCs/>
        </w:rPr>
        <w:t xml:space="preserve">Corporate </w:t>
      </w:r>
      <w:r w:rsidR="000D4073" w:rsidRPr="00322985">
        <w:rPr>
          <w:b/>
          <w:bCs/>
        </w:rPr>
        <w:t>M</w:t>
      </w:r>
      <w:r w:rsidRPr="00322985">
        <w:rPr>
          <w:b/>
          <w:bCs/>
        </w:rPr>
        <w:t xml:space="preserve">anagement of </w:t>
      </w:r>
      <w:r w:rsidR="000D4073" w:rsidRPr="00322985">
        <w:rPr>
          <w:b/>
          <w:bCs/>
        </w:rPr>
        <w:t>S</w:t>
      </w:r>
      <w:r w:rsidRPr="00322985">
        <w:rPr>
          <w:b/>
          <w:bCs/>
        </w:rPr>
        <w:t>afety</w:t>
      </w:r>
    </w:p>
    <w:p w14:paraId="0EE2D51F" w14:textId="02A6D818" w:rsidR="006D57B9" w:rsidRPr="00322985" w:rsidRDefault="006D57B9" w:rsidP="00E633E6">
      <w:pPr>
        <w:pStyle w:val="BodyText"/>
      </w:pPr>
      <w:r w:rsidRPr="00322985">
        <w:t>In the past decades</w:t>
      </w:r>
      <w:r w:rsidR="000D4073" w:rsidRPr="00322985">
        <w:t>,</w:t>
      </w:r>
      <w:r w:rsidRPr="00322985">
        <w:t xml:space="preserve"> the nuclear industry has experienced significant reorganization in meeting the challenges of further market globali</w:t>
      </w:r>
      <w:r w:rsidR="000D4073" w:rsidRPr="00322985">
        <w:t>z</w:t>
      </w:r>
      <w:r w:rsidRPr="00322985">
        <w:t>ation and deregulation. While th</w:t>
      </w:r>
      <w:r w:rsidR="0089241A">
        <w:t>e need for top management commitment to safety</w:t>
      </w:r>
      <w:r w:rsidRPr="00322985">
        <w:t xml:space="preserve"> is well recogni</w:t>
      </w:r>
      <w:r w:rsidR="00E633E6" w:rsidRPr="00322985">
        <w:t>z</w:t>
      </w:r>
      <w:r w:rsidRPr="00322985">
        <w:t xml:space="preserve">ed, further challenges exist in </w:t>
      </w:r>
      <w:r w:rsidR="00E633E6" w:rsidRPr="00322985">
        <w:t xml:space="preserve">putting </w:t>
      </w:r>
      <w:r w:rsidRPr="00322985">
        <w:t xml:space="preserve">this commitment </w:t>
      </w:r>
      <w:r w:rsidR="00E633E6" w:rsidRPr="00322985">
        <w:t>into practice</w:t>
      </w:r>
      <w:r w:rsidRPr="00322985">
        <w:t>. Some M</w:t>
      </w:r>
      <w:r w:rsidR="00E633E6" w:rsidRPr="00322985">
        <w:t xml:space="preserve">ember </w:t>
      </w:r>
      <w:r w:rsidRPr="00322985">
        <w:t>S</w:t>
      </w:r>
      <w:r w:rsidR="00E633E6" w:rsidRPr="00322985">
        <w:t>tate</w:t>
      </w:r>
      <w:r w:rsidRPr="00322985">
        <w:t xml:space="preserve">s have recently reported on a number of initiatives such as the establishment of safety oversight within licensees, periodic internal and external safety culture assessment, establishment of a human resources </w:t>
      </w:r>
      <w:r w:rsidRPr="009E26FF">
        <w:t xml:space="preserve">policy identifying key competences that have to be kept internalized to ensure control of all safety related activities, development of a communication strategy to support internal and external communication needed to ensure transparency of the decision making, etc. The IAEA and WANO are performing </w:t>
      </w:r>
      <w:r w:rsidR="00E633E6" w:rsidRPr="009E26FF">
        <w:t>c</w:t>
      </w:r>
      <w:r w:rsidRPr="009E26FF">
        <w:t xml:space="preserve">orporate peer reviews and, together with the </w:t>
      </w:r>
      <w:r w:rsidR="00E633E6" w:rsidRPr="009E26FF">
        <w:t xml:space="preserve">IAEA </w:t>
      </w:r>
      <w:r w:rsidRPr="009E26FF">
        <w:t>M</w:t>
      </w:r>
      <w:r w:rsidR="00E633E6" w:rsidRPr="009E26FF">
        <w:t xml:space="preserve">ember </w:t>
      </w:r>
      <w:r w:rsidRPr="009E26FF">
        <w:t>S</w:t>
      </w:r>
      <w:r w:rsidR="00E633E6" w:rsidRPr="009E26FF">
        <w:t>tate</w:t>
      </w:r>
      <w:r w:rsidRPr="009E26FF">
        <w:t>s, will look for further opportunities to improve corporate commitments and support for safety improvements.</w:t>
      </w:r>
    </w:p>
    <w:p w14:paraId="3D6773C0" w14:textId="323EF476" w:rsidR="006D57B9" w:rsidRPr="00322985" w:rsidRDefault="006D57B9" w:rsidP="00CD25AE">
      <w:pPr>
        <w:pStyle w:val="BodyText"/>
        <w:rPr>
          <w:b/>
          <w:bCs/>
        </w:rPr>
      </w:pPr>
      <w:r w:rsidRPr="00322985">
        <w:rPr>
          <w:b/>
          <w:bCs/>
        </w:rPr>
        <w:t xml:space="preserve">Impact of Fukushima </w:t>
      </w:r>
      <w:proofErr w:type="spellStart"/>
      <w:r w:rsidR="00E633E6" w:rsidRPr="00322985">
        <w:rPr>
          <w:b/>
          <w:bCs/>
        </w:rPr>
        <w:t>B</w:t>
      </w:r>
      <w:r w:rsidRPr="00322985">
        <w:rPr>
          <w:b/>
          <w:bCs/>
        </w:rPr>
        <w:t>ackfitting</w:t>
      </w:r>
      <w:proofErr w:type="spellEnd"/>
      <w:r w:rsidRPr="00322985">
        <w:rPr>
          <w:b/>
          <w:bCs/>
        </w:rPr>
        <w:t xml:space="preserve"> on </w:t>
      </w:r>
      <w:r w:rsidR="00E633E6" w:rsidRPr="00322985">
        <w:rPr>
          <w:b/>
          <w:bCs/>
        </w:rPr>
        <w:t>O</w:t>
      </w:r>
      <w:r w:rsidRPr="00322985">
        <w:rPr>
          <w:b/>
          <w:bCs/>
        </w:rPr>
        <w:t xml:space="preserve">perational </w:t>
      </w:r>
      <w:r w:rsidR="00E633E6" w:rsidRPr="00322985">
        <w:rPr>
          <w:b/>
          <w:bCs/>
        </w:rPr>
        <w:t>S</w:t>
      </w:r>
      <w:r w:rsidRPr="00322985">
        <w:rPr>
          <w:b/>
          <w:bCs/>
        </w:rPr>
        <w:t>afety</w:t>
      </w:r>
    </w:p>
    <w:p w14:paraId="7169C384" w14:textId="0ADB6BDA" w:rsidR="006D57B9" w:rsidRPr="00322985" w:rsidRDefault="006D57B9" w:rsidP="00CD25AE">
      <w:pPr>
        <w:pStyle w:val="BodyText"/>
      </w:pPr>
      <w:r w:rsidRPr="00322985">
        <w:t xml:space="preserve">In the aftermath of the Fukushima Daiichi </w:t>
      </w:r>
      <w:r w:rsidR="008B22A2">
        <w:t>Nuclear P</w:t>
      </w:r>
      <w:r w:rsidR="009E26FF">
        <w:t xml:space="preserve">ower </w:t>
      </w:r>
      <w:r w:rsidR="008B22A2">
        <w:t>Station</w:t>
      </w:r>
      <w:r w:rsidR="009E26FF">
        <w:t xml:space="preserve"> </w:t>
      </w:r>
      <w:r w:rsidRPr="00322985">
        <w:t xml:space="preserve">accident, </w:t>
      </w:r>
      <w:r w:rsidR="00E633E6" w:rsidRPr="00322985">
        <w:t>self-assessments have been completed at many NPP</w:t>
      </w:r>
      <w:r w:rsidRPr="00322985">
        <w:t xml:space="preserve">s and </w:t>
      </w:r>
      <w:r w:rsidR="00E633E6" w:rsidRPr="00322985">
        <w:t xml:space="preserve">areas for further safety improvements </w:t>
      </w:r>
      <w:r w:rsidRPr="00322985">
        <w:t xml:space="preserve">identified. The experience gained from the implementation of plant safety improvements </w:t>
      </w:r>
      <w:r w:rsidR="00E633E6" w:rsidRPr="00322985">
        <w:t xml:space="preserve">has been </w:t>
      </w:r>
      <w:r w:rsidRPr="00322985">
        <w:t>shared internationally. Although many commonalities exist, differences were observed in the objectives, priorities and implementation of schedules for safety improvements. A number of challenges related to operational safety emerged</w:t>
      </w:r>
      <w:r w:rsidR="00E633E6" w:rsidRPr="00322985">
        <w:t>, including:</w:t>
      </w:r>
      <w:r w:rsidRPr="00322985">
        <w:t xml:space="preserve"> </w:t>
      </w:r>
      <w:r w:rsidR="008B22A2">
        <w:t>(</w:t>
      </w:r>
      <w:proofErr w:type="spellStart"/>
      <w:r w:rsidR="008B22A2">
        <w:t>i</w:t>
      </w:r>
      <w:proofErr w:type="spellEnd"/>
      <w:r w:rsidR="008B22A2">
        <w:t xml:space="preserve">) </w:t>
      </w:r>
      <w:r w:rsidRPr="00322985">
        <w:t xml:space="preserve">how to minimize gaps between Member States’ safety improvements; </w:t>
      </w:r>
      <w:r w:rsidR="008B22A2">
        <w:t xml:space="preserve">(ii) </w:t>
      </w:r>
      <w:r w:rsidRPr="00322985">
        <w:t xml:space="preserve">how to ensure an adequate prioritization and management of </w:t>
      </w:r>
      <w:r w:rsidR="00E633E6" w:rsidRPr="00322985">
        <w:t xml:space="preserve">the implementation of </w:t>
      </w:r>
      <w:r w:rsidRPr="00322985">
        <w:t xml:space="preserve">safety improvements; </w:t>
      </w:r>
      <w:r w:rsidR="008B22A2">
        <w:t xml:space="preserve">(iii) </w:t>
      </w:r>
      <w:r w:rsidRPr="00322985">
        <w:t xml:space="preserve">how to ensure </w:t>
      </w:r>
      <w:r w:rsidR="00E633E6" w:rsidRPr="00322985">
        <w:t xml:space="preserve">an </w:t>
      </w:r>
      <w:r w:rsidRPr="00322985">
        <w:t xml:space="preserve">adequate balance of activities </w:t>
      </w:r>
      <w:r w:rsidR="00E633E6" w:rsidRPr="00322985">
        <w:t>connected with</w:t>
      </w:r>
      <w:r w:rsidRPr="00322985">
        <w:t xml:space="preserve"> Fukushima</w:t>
      </w:r>
      <w:r w:rsidR="00E633E6" w:rsidRPr="009E26FF">
        <w:t>-</w:t>
      </w:r>
      <w:r w:rsidRPr="00322985">
        <w:t xml:space="preserve">related upgrades and other routine </w:t>
      </w:r>
      <w:r w:rsidRPr="00322985">
        <w:lastRenderedPageBreak/>
        <w:t xml:space="preserve">operational tasks; </w:t>
      </w:r>
      <w:r w:rsidR="008B22A2">
        <w:t xml:space="preserve">(iv) </w:t>
      </w:r>
      <w:r w:rsidRPr="00322985">
        <w:t>how to improve operators’ safety culture, transparency and openness</w:t>
      </w:r>
      <w:r w:rsidR="00E633E6" w:rsidRPr="00322985">
        <w:t>;</w:t>
      </w:r>
      <w:r w:rsidRPr="00322985">
        <w:t xml:space="preserve"> and </w:t>
      </w:r>
      <w:r w:rsidR="008B22A2">
        <w:t xml:space="preserve">(v) </w:t>
      </w:r>
      <w:r w:rsidRPr="00322985">
        <w:t xml:space="preserve">how to engage all utilities to commit </w:t>
      </w:r>
      <w:r w:rsidR="00E633E6" w:rsidRPr="00322985">
        <w:t xml:space="preserve">to </w:t>
      </w:r>
      <w:r w:rsidRPr="00322985">
        <w:t xml:space="preserve">and </w:t>
      </w:r>
      <w:r w:rsidR="00E633E6" w:rsidRPr="00322985">
        <w:t>strengthen</w:t>
      </w:r>
      <w:r w:rsidRPr="00322985">
        <w:t xml:space="preserve"> international cooperation?</w:t>
      </w:r>
    </w:p>
    <w:p w14:paraId="0719C1C5" w14:textId="77777777" w:rsidR="006D57B9" w:rsidRPr="00322985" w:rsidRDefault="006D57B9" w:rsidP="00E633E6">
      <w:pPr>
        <w:pStyle w:val="BodyText"/>
        <w:rPr>
          <w:b/>
          <w:bCs/>
        </w:rPr>
      </w:pPr>
      <w:r w:rsidRPr="00322985">
        <w:rPr>
          <w:b/>
          <w:bCs/>
        </w:rPr>
        <w:t>Leadership and Safety Culture</w:t>
      </w:r>
    </w:p>
    <w:p w14:paraId="7353387F" w14:textId="1EC55247" w:rsidR="006D57B9" w:rsidRPr="00322985" w:rsidRDefault="006D57B9" w:rsidP="004E6B98">
      <w:pPr>
        <w:pStyle w:val="BodyText"/>
      </w:pPr>
      <w:r w:rsidRPr="00322985">
        <w:t>Safety culture and organizational factors were identified as relevant issues to be addressed in the post</w:t>
      </w:r>
      <w:r w:rsidR="00E633E6" w:rsidRPr="00322985">
        <w:noBreakHyphen/>
      </w:r>
      <w:r w:rsidRPr="00322985">
        <w:t xml:space="preserve">Fukushima reassessment by </w:t>
      </w:r>
      <w:r w:rsidRPr="009E26FF">
        <w:t xml:space="preserve">both licensees and regulatory bodies. </w:t>
      </w:r>
      <w:r w:rsidRPr="00322985">
        <w:t xml:space="preserve">This is particularly important given that major accidents in the nuclear and other high hazard industries most frequently derive from organizational and human factors. </w:t>
      </w:r>
      <w:r w:rsidR="004E6B98" w:rsidRPr="00322985">
        <w:t>Significant efforts have been undertaken recently to</w:t>
      </w:r>
      <w:r w:rsidRPr="00322985">
        <w:t xml:space="preserve"> address the interactions between individuals, technology and organizations in a systemic approach to safety. Further efforts are needed to disseminate these good practices and encourage all NPP</w:t>
      </w:r>
      <w:r w:rsidR="004E6B98" w:rsidRPr="00322985">
        <w:t xml:space="preserve"> owner/operator organization</w:t>
      </w:r>
      <w:r w:rsidRPr="00322985">
        <w:t xml:space="preserve">s </w:t>
      </w:r>
      <w:r w:rsidRPr="009E26FF">
        <w:t xml:space="preserve">to take similar measures or </w:t>
      </w:r>
      <w:r w:rsidR="004E6B98" w:rsidRPr="009E26FF">
        <w:t xml:space="preserve">identify </w:t>
      </w:r>
      <w:r w:rsidRPr="009E26FF">
        <w:t>additional means suitable to achieve the same results.</w:t>
      </w:r>
    </w:p>
    <w:p w14:paraId="513DB070" w14:textId="77777777" w:rsidR="006D57B9" w:rsidRPr="00322985" w:rsidRDefault="006D57B9" w:rsidP="004E6B98">
      <w:pPr>
        <w:pStyle w:val="BodyText"/>
        <w:rPr>
          <w:b/>
          <w:bCs/>
        </w:rPr>
      </w:pPr>
      <w:r w:rsidRPr="00322985">
        <w:rPr>
          <w:b/>
          <w:bCs/>
        </w:rPr>
        <w:t>Operational Experience</w:t>
      </w:r>
    </w:p>
    <w:p w14:paraId="5A7A9C81" w14:textId="12F23D98" w:rsidR="006D57B9" w:rsidRPr="00322985" w:rsidRDefault="006D57B9" w:rsidP="00280868">
      <w:pPr>
        <w:pStyle w:val="BodyText"/>
      </w:pPr>
      <w:r w:rsidRPr="00322985">
        <w:t xml:space="preserve">A </w:t>
      </w:r>
      <w:r w:rsidRPr="009E26FF">
        <w:t xml:space="preserve">key contributor to enhancing nuclear safety is the ability to learn from experience. It is a particular challenge to ensure harmonized implementation of the </w:t>
      </w:r>
      <w:r w:rsidR="004E6B98" w:rsidRPr="009E26FF">
        <w:t xml:space="preserve">lessons learned from </w:t>
      </w:r>
      <w:r w:rsidRPr="009E26FF">
        <w:t>operational experience worldwide. While the IAEA and</w:t>
      </w:r>
      <w:r w:rsidR="004E6B98" w:rsidRPr="009E26FF">
        <w:t xml:space="preserve"> the Nuclear Energy Agency of the Organisation for Economic Co</w:t>
      </w:r>
      <w:r w:rsidR="004E6B98" w:rsidRPr="009E26FF">
        <w:noBreakHyphen/>
        <w:t>operation and Development</w:t>
      </w:r>
      <w:r w:rsidRPr="009E26FF">
        <w:t xml:space="preserve"> </w:t>
      </w:r>
      <w:r w:rsidR="004E6B98" w:rsidRPr="009E26FF">
        <w:t>(</w:t>
      </w:r>
      <w:r w:rsidRPr="009E26FF">
        <w:t>OECD/NEA</w:t>
      </w:r>
      <w:r w:rsidR="004E6B98" w:rsidRPr="009E26FF">
        <w:t>)</w:t>
      </w:r>
      <w:r w:rsidRPr="009E26FF">
        <w:t xml:space="preserve"> operate an effective system for collecting operational experience</w:t>
      </w:r>
      <w:r w:rsidR="004E6B98" w:rsidRPr="009E26FF">
        <w:t xml:space="preserve"> —</w:t>
      </w:r>
      <w:r w:rsidRPr="009E26FF">
        <w:t xml:space="preserve"> </w:t>
      </w:r>
      <w:r w:rsidR="00280868" w:rsidRPr="009E26FF">
        <w:rPr>
          <w:lang w:eastAsia="zh-CN"/>
        </w:rPr>
        <w:t>namely,</w:t>
      </w:r>
      <w:r w:rsidRPr="009E26FF">
        <w:t xml:space="preserve"> the International Reporting System for Operating Experience (IRS)</w:t>
      </w:r>
      <w:r w:rsidR="004E6B98" w:rsidRPr="009E26FF">
        <w:t xml:space="preserve"> —</w:t>
      </w:r>
      <w:r w:rsidRPr="009E26FF">
        <w:t xml:space="preserve"> further efforts are needed to develop an effective means to review the implementation rate of the lessons learned. During the</w:t>
      </w:r>
      <w:r w:rsidR="004E6B98" w:rsidRPr="009E26FF">
        <w:t xml:space="preserve"> Sixth R</w:t>
      </w:r>
      <w:r w:rsidRPr="009E26FF">
        <w:t xml:space="preserve">eview </w:t>
      </w:r>
      <w:r w:rsidR="004E6B98" w:rsidRPr="009E26FF">
        <w:t>M</w:t>
      </w:r>
      <w:r w:rsidRPr="009E26FF">
        <w:t>eeting of the</w:t>
      </w:r>
      <w:r w:rsidR="004E6B98" w:rsidRPr="009E26FF">
        <w:t xml:space="preserve"> Contracting Parties to the</w:t>
      </w:r>
      <w:r w:rsidRPr="009E26FF">
        <w:t xml:space="preserve"> Convention on Nuclear Safety, </w:t>
      </w:r>
      <w:r w:rsidR="004E6B98" w:rsidRPr="009E26FF">
        <w:t>it was</w:t>
      </w:r>
      <w:r w:rsidRPr="00322985">
        <w:t xml:space="preserve"> noted that</w:t>
      </w:r>
      <w:r w:rsidRPr="009E26FF">
        <w:t xml:space="preserve"> </w:t>
      </w:r>
      <w:r w:rsidRPr="00322985">
        <w:t>recent NPP experience ha</w:t>
      </w:r>
      <w:r w:rsidR="004E6B98" w:rsidRPr="00322985">
        <w:t>d</w:t>
      </w:r>
      <w:r w:rsidRPr="00322985">
        <w:t xml:space="preserve"> </w:t>
      </w:r>
      <w:r w:rsidR="004E6B98" w:rsidRPr="00322985">
        <w:t xml:space="preserve">highlighted </w:t>
      </w:r>
      <w:r w:rsidRPr="00322985">
        <w:t xml:space="preserve">significant problems </w:t>
      </w:r>
      <w:r w:rsidR="004E6B98" w:rsidRPr="00322985">
        <w:t xml:space="preserve">with regard to the </w:t>
      </w:r>
      <w:r w:rsidRPr="00322985">
        <w:t>quality and supply of relevant materials and external services, including</w:t>
      </w:r>
      <w:r w:rsidR="004E6B98" w:rsidRPr="00322985">
        <w:t xml:space="preserve"> problems associated with</w:t>
      </w:r>
      <w:r w:rsidRPr="00322985">
        <w:t xml:space="preserve"> counterfeit, </w:t>
      </w:r>
      <w:r w:rsidR="004E6B98" w:rsidRPr="00322985">
        <w:t xml:space="preserve">fraudulent and </w:t>
      </w:r>
      <w:r w:rsidRPr="00322985">
        <w:t>su</w:t>
      </w:r>
      <w:r w:rsidR="004E6B98" w:rsidRPr="00322985">
        <w:t>bstandard</w:t>
      </w:r>
      <w:r w:rsidRPr="00322985">
        <w:t xml:space="preserve"> items. Recognizing the importance of human and organizational factors, the </w:t>
      </w:r>
      <w:r w:rsidR="004E6B98" w:rsidRPr="00322985">
        <w:t xml:space="preserve">Contracting Parties </w:t>
      </w:r>
      <w:r w:rsidRPr="00322985">
        <w:t xml:space="preserve">also requested the </w:t>
      </w:r>
      <w:r w:rsidRPr="009E26FF">
        <w:t>IAEA</w:t>
      </w:r>
      <w:r w:rsidRPr="00322985">
        <w:t xml:space="preserve"> to promote the use of existing databases such as the IRS database </w:t>
      </w:r>
      <w:r w:rsidR="00A47645">
        <w:t xml:space="preserve">and the WANO database on good practices </w:t>
      </w:r>
      <w:r w:rsidRPr="00322985">
        <w:t xml:space="preserve">as a platform for sharing operating experience </w:t>
      </w:r>
      <w:r w:rsidR="004E6B98" w:rsidRPr="00322985">
        <w:t xml:space="preserve">related to </w:t>
      </w:r>
      <w:r w:rsidRPr="00322985">
        <w:t>safety culture.</w:t>
      </w:r>
    </w:p>
    <w:p w14:paraId="009ABED9" w14:textId="77777777" w:rsidR="006D57B9" w:rsidRPr="00322985" w:rsidRDefault="006D57B9" w:rsidP="004E6B98">
      <w:pPr>
        <w:pStyle w:val="BodyText"/>
        <w:rPr>
          <w:b/>
          <w:bCs/>
        </w:rPr>
      </w:pPr>
      <w:r w:rsidRPr="00322985">
        <w:rPr>
          <w:b/>
          <w:bCs/>
        </w:rPr>
        <w:t>Long Term Operation</w:t>
      </w:r>
    </w:p>
    <w:p w14:paraId="24636F9D" w14:textId="5F73B659" w:rsidR="00750DF0" w:rsidRPr="00322985" w:rsidRDefault="006D57B9" w:rsidP="00905C6B">
      <w:pPr>
        <w:pStyle w:val="BodyText"/>
      </w:pPr>
      <w:r w:rsidRPr="009E26FF">
        <w:t>Many NPPs are facing challenges regarding decisions on long term operation (LTO) or plant life extension and reaching or exceeding the original design lifetime. Typically, the decisions are taken within a licen</w:t>
      </w:r>
      <w:r w:rsidR="00905C6B">
        <w:t>c</w:t>
      </w:r>
      <w:r w:rsidRPr="009E26FF">
        <w:t xml:space="preserve">e renewal process or as a result of a periodic safety review and should consider all aspects of ageing and obsolescence as well as new knowledge and </w:t>
      </w:r>
      <w:r w:rsidR="00D15603" w:rsidRPr="009E26FF">
        <w:t>research and development (</w:t>
      </w:r>
      <w:r w:rsidRPr="009E26FF">
        <w:t>R&amp;D</w:t>
      </w:r>
      <w:r w:rsidR="00D15603" w:rsidRPr="009E26FF">
        <w:t>)</w:t>
      </w:r>
      <w:r w:rsidRPr="009E26FF">
        <w:t xml:space="preserve"> results. </w:t>
      </w:r>
      <w:r w:rsidR="00D15603" w:rsidRPr="009E26FF">
        <w:t xml:space="preserve">The factors to be taken into account </w:t>
      </w:r>
      <w:r w:rsidRPr="009E26FF">
        <w:t>include</w:t>
      </w:r>
      <w:r w:rsidR="00322985" w:rsidRPr="009E26FF">
        <w:rPr>
          <w:lang w:eastAsia="zh-CN"/>
        </w:rPr>
        <w:t>:</w:t>
      </w:r>
      <w:r w:rsidRPr="009E26FF">
        <w:t xml:space="preserve"> physical ageing of </w:t>
      </w:r>
      <w:r w:rsidR="00D15603" w:rsidRPr="009E26FF">
        <w:t xml:space="preserve">structures, </w:t>
      </w:r>
      <w:r w:rsidRPr="009E26FF">
        <w:t xml:space="preserve">systems and components; technological obsolescence of equipment; the ability to </w:t>
      </w:r>
      <w:r w:rsidR="00905C6B">
        <w:t>comply with</w:t>
      </w:r>
      <w:r w:rsidR="00905C6B" w:rsidRPr="009E26FF">
        <w:t xml:space="preserve"> </w:t>
      </w:r>
      <w:r w:rsidRPr="009E26FF">
        <w:t>the most recent safety standards and safety regulations; and knowledge management and organizational issues related to ageing. The IAEA has been continuously updating the relevant safety standards and guidance and review services in this area</w:t>
      </w:r>
      <w:r w:rsidR="00D15603" w:rsidRPr="009E26FF">
        <w:t xml:space="preserve"> (e.g. the Safety Aspects of Long Term Operation of </w:t>
      </w:r>
      <w:r w:rsidR="00D61D3D">
        <w:t xml:space="preserve">Nuclear Power Plants </w:t>
      </w:r>
      <w:r w:rsidR="00D15603" w:rsidRPr="009E26FF">
        <w:t>Peer Review Service [SALTO])</w:t>
      </w:r>
      <w:r w:rsidRPr="009E26FF">
        <w:t xml:space="preserve">. </w:t>
      </w:r>
      <w:r w:rsidR="00D15603" w:rsidRPr="009E26FF">
        <w:t>The e</w:t>
      </w:r>
      <w:r w:rsidRPr="009E26FF">
        <w:t>xperience</w:t>
      </w:r>
      <w:r w:rsidR="00D15603" w:rsidRPr="009E26FF">
        <w:t xml:space="preserve"> gained</w:t>
      </w:r>
      <w:r w:rsidRPr="009E26FF">
        <w:t xml:space="preserve"> and lessons learned </w:t>
      </w:r>
      <w:r w:rsidR="00D15603" w:rsidRPr="009E26FF">
        <w:t>as a result</w:t>
      </w:r>
      <w:r w:rsidRPr="009E26FF">
        <w:t xml:space="preserve"> of this process should be further </w:t>
      </w:r>
      <w:r w:rsidR="00D15603" w:rsidRPr="009E26FF">
        <w:t>disseminated</w:t>
      </w:r>
      <w:r w:rsidRPr="009E26FF">
        <w:t>.</w:t>
      </w:r>
    </w:p>
    <w:p w14:paraId="2CE593FE" w14:textId="77777777" w:rsidR="00362111" w:rsidRPr="00322985" w:rsidRDefault="00750DF0" w:rsidP="008F4504">
      <w:pPr>
        <w:pStyle w:val="Heading1"/>
      </w:pPr>
      <w:r w:rsidRPr="00322985">
        <w:lastRenderedPageBreak/>
        <w:t>Objectives</w:t>
      </w:r>
    </w:p>
    <w:p w14:paraId="4F73D66C" w14:textId="10051C76" w:rsidR="006D57B9" w:rsidRPr="00322985" w:rsidRDefault="006D57B9" w:rsidP="00322985">
      <w:pPr>
        <w:pStyle w:val="BodyText"/>
      </w:pPr>
      <w:r w:rsidRPr="00322985">
        <w:t xml:space="preserve">The </w:t>
      </w:r>
      <w:r w:rsidR="006D16CA" w:rsidRPr="00322985">
        <w:t xml:space="preserve">purpose </w:t>
      </w:r>
      <w:r w:rsidRPr="00322985">
        <w:t xml:space="preserve">of the conference is to review the progress of operational safety improvements being introduced in </w:t>
      </w:r>
      <w:r w:rsidR="006D16CA" w:rsidRPr="00322985">
        <w:t xml:space="preserve">the </w:t>
      </w:r>
      <w:r w:rsidRPr="00322985">
        <w:t xml:space="preserve">light of the Fukushima Daiichi </w:t>
      </w:r>
      <w:r w:rsidR="008B22A2">
        <w:t>Nuclear P</w:t>
      </w:r>
      <w:r w:rsidR="009E26FF">
        <w:t xml:space="preserve">ower </w:t>
      </w:r>
      <w:r w:rsidR="008B22A2">
        <w:t>Station</w:t>
      </w:r>
      <w:r w:rsidR="009E26FF">
        <w:t xml:space="preserve"> </w:t>
      </w:r>
      <w:r w:rsidRPr="00322985">
        <w:t xml:space="preserve">accident and to foster the exchange of information on operational safety performance and operating experience </w:t>
      </w:r>
      <w:r w:rsidR="006D16CA" w:rsidRPr="00322985">
        <w:t>at NPP</w:t>
      </w:r>
      <w:r w:rsidRPr="00322985">
        <w:t>s</w:t>
      </w:r>
      <w:r w:rsidR="006D16CA" w:rsidRPr="00322985">
        <w:t>. The conference thereby seeks to</w:t>
      </w:r>
      <w:r w:rsidRPr="00322985">
        <w:t xml:space="preserve"> </w:t>
      </w:r>
      <w:r w:rsidR="006D16CA" w:rsidRPr="00322985">
        <w:t xml:space="preserve">achieve and </w:t>
      </w:r>
      <w:r w:rsidRPr="00322985">
        <w:t>consolidat</w:t>
      </w:r>
      <w:r w:rsidR="006D16CA" w:rsidRPr="00322985">
        <w:t>e</w:t>
      </w:r>
      <w:r w:rsidRPr="00322985">
        <w:t xml:space="preserve"> international consensus on:</w:t>
      </w:r>
    </w:p>
    <w:p w14:paraId="5447BC8F" w14:textId="0D65CA94" w:rsidR="006D57B9" w:rsidRPr="00322985" w:rsidRDefault="006D57B9" w:rsidP="006D16CA">
      <w:pPr>
        <w:pStyle w:val="BodyText"/>
        <w:numPr>
          <w:ilvl w:val="0"/>
          <w:numId w:val="19"/>
        </w:numPr>
        <w:rPr>
          <w:rFonts w:cstheme="minorHAnsi"/>
          <w:color w:val="000000"/>
        </w:rPr>
      </w:pPr>
      <w:r w:rsidRPr="00322985">
        <w:rPr>
          <w:rFonts w:cstheme="minorHAnsi"/>
          <w:color w:val="000000"/>
        </w:rPr>
        <w:t xml:space="preserve">The role of operational safety peer reviews as a powerful tool </w:t>
      </w:r>
      <w:r w:rsidR="006D16CA" w:rsidRPr="00322985">
        <w:rPr>
          <w:rFonts w:cstheme="minorHAnsi"/>
          <w:color w:val="000000"/>
        </w:rPr>
        <w:t xml:space="preserve">for </w:t>
      </w:r>
      <w:r w:rsidRPr="00322985">
        <w:rPr>
          <w:rFonts w:cstheme="minorHAnsi"/>
          <w:color w:val="000000"/>
        </w:rPr>
        <w:t>confirm</w:t>
      </w:r>
      <w:r w:rsidR="006D16CA" w:rsidRPr="00322985">
        <w:rPr>
          <w:rFonts w:cstheme="minorHAnsi"/>
          <w:color w:val="000000"/>
        </w:rPr>
        <w:t>ing</w:t>
      </w:r>
      <w:r w:rsidRPr="00322985">
        <w:rPr>
          <w:rFonts w:cstheme="minorHAnsi"/>
          <w:color w:val="000000"/>
        </w:rPr>
        <w:t xml:space="preserve"> </w:t>
      </w:r>
      <w:r w:rsidR="006D16CA" w:rsidRPr="00322985">
        <w:rPr>
          <w:rFonts w:cstheme="minorHAnsi"/>
          <w:color w:val="000000"/>
        </w:rPr>
        <w:t xml:space="preserve">the </w:t>
      </w:r>
      <w:r w:rsidRPr="00322985">
        <w:rPr>
          <w:rFonts w:cstheme="minorHAnsi"/>
          <w:color w:val="000000"/>
        </w:rPr>
        <w:t>commitment</w:t>
      </w:r>
      <w:r w:rsidR="006D16CA" w:rsidRPr="00322985">
        <w:rPr>
          <w:rFonts w:cstheme="minorHAnsi"/>
          <w:color w:val="000000"/>
        </w:rPr>
        <w:t xml:space="preserve"> of NPP owner/operator organizations</w:t>
      </w:r>
      <w:r w:rsidRPr="00322985">
        <w:rPr>
          <w:rFonts w:cstheme="minorHAnsi"/>
          <w:color w:val="000000"/>
        </w:rPr>
        <w:t xml:space="preserve"> to safety improvements and </w:t>
      </w:r>
      <w:r w:rsidR="006D16CA" w:rsidRPr="00322985">
        <w:rPr>
          <w:rFonts w:cstheme="minorHAnsi"/>
          <w:color w:val="000000"/>
        </w:rPr>
        <w:t xml:space="preserve">for promoting the </w:t>
      </w:r>
      <w:r w:rsidRPr="00322985">
        <w:rPr>
          <w:rFonts w:cstheme="minorHAnsi"/>
          <w:color w:val="000000"/>
        </w:rPr>
        <w:t xml:space="preserve">application of IAEA </w:t>
      </w:r>
      <w:r w:rsidR="006D16CA" w:rsidRPr="00322985">
        <w:rPr>
          <w:rFonts w:cstheme="minorHAnsi"/>
          <w:color w:val="000000"/>
        </w:rPr>
        <w:t>s</w:t>
      </w:r>
      <w:r w:rsidRPr="00322985">
        <w:rPr>
          <w:rFonts w:cstheme="minorHAnsi"/>
          <w:color w:val="000000"/>
        </w:rPr>
        <w:t xml:space="preserve">afety </w:t>
      </w:r>
      <w:r w:rsidR="006D16CA" w:rsidRPr="00322985">
        <w:rPr>
          <w:rFonts w:cstheme="minorHAnsi"/>
          <w:color w:val="000000"/>
        </w:rPr>
        <w:t>s</w:t>
      </w:r>
      <w:r w:rsidRPr="00322985">
        <w:rPr>
          <w:rFonts w:cstheme="minorHAnsi"/>
          <w:color w:val="000000"/>
        </w:rPr>
        <w:t xml:space="preserve">tandards and </w:t>
      </w:r>
      <w:r w:rsidR="006D16CA" w:rsidRPr="00322985">
        <w:rPr>
          <w:rFonts w:cstheme="minorHAnsi"/>
          <w:color w:val="000000"/>
        </w:rPr>
        <w:t xml:space="preserve">associated </w:t>
      </w:r>
      <w:r w:rsidRPr="00322985">
        <w:rPr>
          <w:rFonts w:cstheme="minorHAnsi"/>
          <w:color w:val="000000"/>
        </w:rPr>
        <w:t>best practices;</w:t>
      </w:r>
    </w:p>
    <w:p w14:paraId="5F198BB2" w14:textId="77777777" w:rsidR="006D57B9" w:rsidRPr="00322985" w:rsidRDefault="006D57B9" w:rsidP="006D57B9">
      <w:pPr>
        <w:pStyle w:val="BodyText"/>
        <w:numPr>
          <w:ilvl w:val="0"/>
          <w:numId w:val="19"/>
        </w:numPr>
        <w:rPr>
          <w:rFonts w:cstheme="minorHAnsi"/>
          <w:color w:val="000000"/>
        </w:rPr>
      </w:pPr>
      <w:r w:rsidRPr="00322985">
        <w:rPr>
          <w:rFonts w:cstheme="minorHAnsi"/>
          <w:color w:val="000000"/>
        </w:rPr>
        <w:t>The need for further development of the IAEA safety standards in order to continuously reflect the state of the art in operational safety;</w:t>
      </w:r>
    </w:p>
    <w:p w14:paraId="72110C05" w14:textId="70487906" w:rsidR="006D57B9" w:rsidRPr="00322985" w:rsidRDefault="006D57B9" w:rsidP="006D16CA">
      <w:pPr>
        <w:pStyle w:val="BodyText"/>
        <w:numPr>
          <w:ilvl w:val="0"/>
          <w:numId w:val="19"/>
        </w:numPr>
        <w:rPr>
          <w:rFonts w:cstheme="minorHAnsi"/>
          <w:color w:val="000000"/>
        </w:rPr>
      </w:pPr>
      <w:r w:rsidRPr="00322985">
        <w:rPr>
          <w:rFonts w:cstheme="minorHAnsi"/>
          <w:color w:val="000000"/>
        </w:rPr>
        <w:t xml:space="preserve">How to implement, in a harmonized manner, the lessons learned from </w:t>
      </w:r>
      <w:r w:rsidR="008B22A2">
        <w:rPr>
          <w:rFonts w:cstheme="minorHAnsi"/>
          <w:color w:val="000000"/>
        </w:rPr>
        <w:t xml:space="preserve">the </w:t>
      </w:r>
      <w:r w:rsidRPr="00322985">
        <w:rPr>
          <w:rFonts w:cstheme="minorHAnsi"/>
          <w:color w:val="000000"/>
        </w:rPr>
        <w:t>Fukushima</w:t>
      </w:r>
      <w:r w:rsidR="008B22A2">
        <w:rPr>
          <w:rFonts w:cstheme="minorHAnsi"/>
          <w:color w:val="000000"/>
        </w:rPr>
        <w:t xml:space="preserve"> Daiichi Nuclear Power Station accident</w:t>
      </w:r>
      <w:r w:rsidRPr="00322985">
        <w:rPr>
          <w:rFonts w:cstheme="minorHAnsi"/>
          <w:color w:val="000000"/>
        </w:rPr>
        <w:t xml:space="preserve"> and</w:t>
      </w:r>
      <w:r w:rsidR="006D16CA" w:rsidRPr="00322985">
        <w:rPr>
          <w:rFonts w:cstheme="minorHAnsi"/>
          <w:color w:val="000000"/>
        </w:rPr>
        <w:t>,</w:t>
      </w:r>
      <w:r w:rsidRPr="00322985">
        <w:rPr>
          <w:rFonts w:cstheme="minorHAnsi"/>
          <w:color w:val="000000"/>
        </w:rPr>
        <w:t xml:space="preserve"> in particular</w:t>
      </w:r>
      <w:r w:rsidR="006D16CA" w:rsidRPr="00322985">
        <w:rPr>
          <w:rFonts w:cstheme="minorHAnsi"/>
          <w:color w:val="000000"/>
        </w:rPr>
        <w:t>,</w:t>
      </w:r>
      <w:r w:rsidRPr="00322985">
        <w:rPr>
          <w:rFonts w:cstheme="minorHAnsi"/>
          <w:color w:val="000000"/>
        </w:rPr>
        <w:t xml:space="preserve"> those related to operational safety</w:t>
      </w:r>
      <w:r w:rsidR="006D16CA" w:rsidRPr="00322985">
        <w:rPr>
          <w:rFonts w:cstheme="minorHAnsi"/>
          <w:color w:val="000000"/>
        </w:rPr>
        <w:t>,</w:t>
      </w:r>
      <w:r w:rsidRPr="00322985">
        <w:rPr>
          <w:rFonts w:cstheme="minorHAnsi"/>
          <w:color w:val="000000"/>
        </w:rPr>
        <w:t xml:space="preserve"> and how to ensure synergy between safety and security at the operational level;</w:t>
      </w:r>
    </w:p>
    <w:p w14:paraId="106F18BA" w14:textId="3E37B410" w:rsidR="006D57B9" w:rsidRPr="00322985" w:rsidRDefault="006D57B9" w:rsidP="006D57B9">
      <w:pPr>
        <w:pStyle w:val="BodyText"/>
        <w:numPr>
          <w:ilvl w:val="0"/>
          <w:numId w:val="19"/>
        </w:numPr>
        <w:rPr>
          <w:rFonts w:cstheme="minorHAnsi"/>
          <w:color w:val="000000"/>
        </w:rPr>
      </w:pPr>
      <w:r w:rsidRPr="00322985">
        <w:rPr>
          <w:rFonts w:cstheme="minorHAnsi"/>
          <w:color w:val="000000"/>
        </w:rPr>
        <w:t>The importance of operational experience feedback and periodic safety reviews for the enhancement of plant safety;</w:t>
      </w:r>
    </w:p>
    <w:p w14:paraId="111440A2" w14:textId="30BE8244" w:rsidR="006D57B9" w:rsidRPr="00322985" w:rsidRDefault="006D57B9" w:rsidP="006D16CA">
      <w:pPr>
        <w:pStyle w:val="BodyText"/>
        <w:numPr>
          <w:ilvl w:val="0"/>
          <w:numId w:val="19"/>
        </w:numPr>
        <w:rPr>
          <w:rFonts w:cstheme="minorHAnsi"/>
          <w:color w:val="000000"/>
        </w:rPr>
      </w:pPr>
      <w:r w:rsidRPr="00322985">
        <w:rPr>
          <w:rFonts w:cstheme="minorHAnsi"/>
          <w:color w:val="000000"/>
        </w:rPr>
        <w:t>Safety culture and leadership as driver</w:t>
      </w:r>
      <w:r w:rsidR="006D16CA" w:rsidRPr="00322985">
        <w:rPr>
          <w:rFonts w:cstheme="minorHAnsi"/>
          <w:color w:val="000000"/>
        </w:rPr>
        <w:t>s</w:t>
      </w:r>
      <w:r w:rsidRPr="00322985">
        <w:rPr>
          <w:rFonts w:cstheme="minorHAnsi"/>
          <w:color w:val="000000"/>
        </w:rPr>
        <w:t xml:space="preserve"> for continuous safety improvements;</w:t>
      </w:r>
    </w:p>
    <w:p w14:paraId="3AB65721" w14:textId="179825D3" w:rsidR="006D57B9" w:rsidRPr="00322985" w:rsidRDefault="006D16CA" w:rsidP="006D16CA">
      <w:pPr>
        <w:pStyle w:val="BodyText"/>
        <w:numPr>
          <w:ilvl w:val="0"/>
          <w:numId w:val="19"/>
        </w:numPr>
        <w:rPr>
          <w:rFonts w:cstheme="minorHAnsi"/>
          <w:color w:val="000000"/>
        </w:rPr>
      </w:pPr>
      <w:r w:rsidRPr="00322985">
        <w:rPr>
          <w:rFonts w:cstheme="minorHAnsi"/>
          <w:color w:val="000000"/>
        </w:rPr>
        <w:t>The r</w:t>
      </w:r>
      <w:r w:rsidR="006D57B9" w:rsidRPr="00322985">
        <w:rPr>
          <w:rFonts w:cstheme="minorHAnsi"/>
          <w:color w:val="000000"/>
        </w:rPr>
        <w:t>esponsibility of corporate management for safety improvements throughout the lifetime of a</w:t>
      </w:r>
      <w:r w:rsidRPr="00322985">
        <w:rPr>
          <w:rFonts w:cstheme="minorHAnsi"/>
          <w:color w:val="000000"/>
        </w:rPr>
        <w:t>n</w:t>
      </w:r>
      <w:r w:rsidR="006D57B9" w:rsidRPr="00322985">
        <w:rPr>
          <w:rFonts w:cstheme="minorHAnsi"/>
          <w:color w:val="000000"/>
        </w:rPr>
        <w:t xml:space="preserve"> NPP;</w:t>
      </w:r>
      <w:r w:rsidRPr="00322985">
        <w:rPr>
          <w:rFonts w:cstheme="minorHAnsi"/>
          <w:color w:val="000000"/>
        </w:rPr>
        <w:t xml:space="preserve"> and</w:t>
      </w:r>
    </w:p>
    <w:p w14:paraId="2B2EBA12" w14:textId="77777777" w:rsidR="00322985" w:rsidRPr="00322985" w:rsidRDefault="00322985" w:rsidP="00322985">
      <w:pPr>
        <w:pStyle w:val="BodyText"/>
        <w:numPr>
          <w:ilvl w:val="0"/>
          <w:numId w:val="19"/>
        </w:numPr>
        <w:rPr>
          <w:rFonts w:cstheme="minorHAnsi"/>
          <w:color w:val="000000"/>
        </w:rPr>
      </w:pPr>
      <w:r w:rsidRPr="00322985">
        <w:rPr>
          <w:rFonts w:cstheme="minorHAnsi"/>
          <w:color w:val="000000"/>
        </w:rPr>
        <w:t>The adequate management of LTO for NPPs, including ageing management, and additional R&amp;D needed to define the limiting factors for plant life extension.</w:t>
      </w:r>
    </w:p>
    <w:p w14:paraId="23619D22" w14:textId="7E0831DB" w:rsidR="00322985" w:rsidRPr="006B59F8" w:rsidRDefault="00322985" w:rsidP="006B59F8">
      <w:pPr>
        <w:pStyle w:val="Heading1"/>
      </w:pPr>
      <w:r w:rsidRPr="006B59F8">
        <w:t>Format and Topics</w:t>
      </w:r>
    </w:p>
    <w:p w14:paraId="15D467B5" w14:textId="538AB936" w:rsidR="006D57B9" w:rsidRPr="00322985" w:rsidRDefault="006D57B9" w:rsidP="008F4504">
      <w:pPr>
        <w:pStyle w:val="BodyText"/>
      </w:pPr>
      <w:r w:rsidRPr="00322985">
        <w:t>A preliminary programme will be made available on the conference web page</w:t>
      </w:r>
      <w:r w:rsidR="006D16CA" w:rsidRPr="00322985">
        <w:t xml:space="preserve"> (see Section </w:t>
      </w:r>
      <w:r w:rsidR="00C623B3">
        <w:t>M</w:t>
      </w:r>
      <w:r w:rsidR="006D16CA" w:rsidRPr="00322985">
        <w:t>)</w:t>
      </w:r>
      <w:r w:rsidRPr="00322985">
        <w:t xml:space="preserve"> well in advance of the conference. The final programme and the </w:t>
      </w:r>
      <w:r w:rsidR="005B6836" w:rsidRPr="00322985">
        <w:t xml:space="preserve">electronic Compilation </w:t>
      </w:r>
      <w:r w:rsidRPr="00322985">
        <w:t>of Contributed Papers will be available upon registration at the conference.</w:t>
      </w:r>
    </w:p>
    <w:p w14:paraId="2FC322B1" w14:textId="77777777" w:rsidR="006D57B9" w:rsidRPr="00322985" w:rsidRDefault="006D57B9" w:rsidP="006D57B9">
      <w:pPr>
        <w:pStyle w:val="BodyText"/>
      </w:pPr>
      <w:r w:rsidRPr="00322985">
        <w:t>The conference will consist of an opening plenary session, six topic-specific sessions, and a closing plenary session.</w:t>
      </w:r>
    </w:p>
    <w:p w14:paraId="6C16ADB3" w14:textId="77777777" w:rsidR="006D57B9" w:rsidRPr="00322985" w:rsidRDefault="006D57B9" w:rsidP="006D57B9">
      <w:pPr>
        <w:pStyle w:val="BodyText"/>
      </w:pPr>
      <w:r w:rsidRPr="00322985">
        <w:t>To meet the conference’s objectives, each topical session will have the following format:</w:t>
      </w:r>
    </w:p>
    <w:p w14:paraId="68C84B93" w14:textId="77777777" w:rsidR="006D57B9" w:rsidRPr="00322985" w:rsidRDefault="006D57B9" w:rsidP="006D57B9">
      <w:pPr>
        <w:pStyle w:val="BodyText"/>
        <w:numPr>
          <w:ilvl w:val="0"/>
          <w:numId w:val="24"/>
        </w:numPr>
        <w:rPr>
          <w:rFonts w:cstheme="minorHAnsi"/>
          <w:color w:val="000000"/>
        </w:rPr>
      </w:pPr>
      <w:r w:rsidRPr="00322985">
        <w:rPr>
          <w:rFonts w:cstheme="minorHAnsi"/>
          <w:color w:val="000000"/>
        </w:rPr>
        <w:t>Presentations by invited keynote speakers;</w:t>
      </w:r>
    </w:p>
    <w:p w14:paraId="3D129E38" w14:textId="77777777" w:rsidR="006D57B9" w:rsidRPr="00322985" w:rsidRDefault="006D57B9" w:rsidP="006D57B9">
      <w:pPr>
        <w:pStyle w:val="BodyText"/>
        <w:numPr>
          <w:ilvl w:val="0"/>
          <w:numId w:val="24"/>
        </w:numPr>
        <w:rPr>
          <w:color w:val="000000"/>
        </w:rPr>
      </w:pPr>
      <w:r w:rsidRPr="00322985">
        <w:rPr>
          <w:rFonts w:cstheme="minorHAnsi"/>
          <w:color w:val="000000"/>
        </w:rPr>
        <w:t xml:space="preserve">A set of presentations that supplement specific areas within the topical session and stimulate discussion among conference </w:t>
      </w:r>
      <w:r w:rsidRPr="00322985">
        <w:rPr>
          <w:color w:val="000000"/>
        </w:rPr>
        <w:t>participants; and</w:t>
      </w:r>
    </w:p>
    <w:p w14:paraId="6DFB1AD5" w14:textId="338FCC77" w:rsidR="006D57B9" w:rsidRPr="00322985" w:rsidRDefault="006D57B9" w:rsidP="006D57B9">
      <w:pPr>
        <w:pStyle w:val="BodyText"/>
        <w:numPr>
          <w:ilvl w:val="0"/>
          <w:numId w:val="24"/>
        </w:numPr>
        <w:rPr>
          <w:color w:val="000000"/>
        </w:rPr>
      </w:pPr>
      <w:r w:rsidRPr="00322985">
        <w:rPr>
          <w:color w:val="000000"/>
        </w:rPr>
        <w:t xml:space="preserve">A set of </w:t>
      </w:r>
      <w:r w:rsidR="007A12C6">
        <w:rPr>
          <w:color w:val="000000"/>
        </w:rPr>
        <w:t>posters</w:t>
      </w:r>
      <w:r w:rsidRPr="00322985">
        <w:rPr>
          <w:color w:val="000000"/>
        </w:rPr>
        <w:t xml:space="preserve"> that present state-of-the-art information and knowledge in the subject area.</w:t>
      </w:r>
    </w:p>
    <w:p w14:paraId="4FAE704F" w14:textId="77777777" w:rsidR="006D57B9" w:rsidRPr="00322985" w:rsidRDefault="006D57B9" w:rsidP="008F4504">
      <w:pPr>
        <w:pStyle w:val="Heading2"/>
        <w:rPr>
          <w:rFonts w:eastAsia="MS Mincho"/>
        </w:rPr>
      </w:pPr>
      <w:r w:rsidRPr="00322985">
        <w:rPr>
          <w:rFonts w:eastAsia="MS Mincho"/>
        </w:rPr>
        <w:lastRenderedPageBreak/>
        <w:t>Opening Plenary Session</w:t>
      </w:r>
    </w:p>
    <w:p w14:paraId="7217707F" w14:textId="77777777" w:rsidR="006D57B9" w:rsidRPr="00322985" w:rsidRDefault="006D57B9" w:rsidP="009E26FF">
      <w:pPr>
        <w:pStyle w:val="BodyText"/>
        <w:keepNext/>
        <w:keepLines/>
      </w:pPr>
      <w:r w:rsidRPr="00322985">
        <w:t>This session will include:</w:t>
      </w:r>
    </w:p>
    <w:p w14:paraId="4687DC1F" w14:textId="04EC65D8" w:rsidR="006D57B9" w:rsidRPr="00322985" w:rsidRDefault="006D57B9" w:rsidP="006D16CA">
      <w:pPr>
        <w:pStyle w:val="BodyText"/>
        <w:numPr>
          <w:ilvl w:val="0"/>
          <w:numId w:val="25"/>
        </w:numPr>
        <w:rPr>
          <w:color w:val="000000"/>
        </w:rPr>
      </w:pPr>
      <w:r w:rsidRPr="00322985">
        <w:rPr>
          <w:color w:val="000000"/>
        </w:rPr>
        <w:t xml:space="preserve">A review and recap of the 2010 </w:t>
      </w:r>
      <w:r w:rsidR="006D16CA" w:rsidRPr="00322985">
        <w:rPr>
          <w:color w:val="000000"/>
        </w:rPr>
        <w:t>I</w:t>
      </w:r>
      <w:r w:rsidRPr="00322985">
        <w:rPr>
          <w:color w:val="000000"/>
        </w:rPr>
        <w:t xml:space="preserve">nternational </w:t>
      </w:r>
      <w:r w:rsidR="006D16CA" w:rsidRPr="00322985">
        <w:rPr>
          <w:color w:val="000000"/>
        </w:rPr>
        <w:t>C</w:t>
      </w:r>
      <w:r w:rsidRPr="00322985">
        <w:rPr>
          <w:color w:val="000000"/>
        </w:rPr>
        <w:t>onference</w:t>
      </w:r>
      <w:r w:rsidR="006D16CA" w:rsidRPr="00322985">
        <w:rPr>
          <w:color w:val="000000"/>
        </w:rPr>
        <w:t xml:space="preserve"> on Operational Safety Experience and Performance of NPPs and Fuel Cycle Facilities</w:t>
      </w:r>
      <w:r w:rsidRPr="00322985">
        <w:rPr>
          <w:color w:val="000000"/>
        </w:rPr>
        <w:t>, and in particular of its key outcomes; and</w:t>
      </w:r>
    </w:p>
    <w:p w14:paraId="65146D1F" w14:textId="0640293B" w:rsidR="006D57B9" w:rsidRPr="00322985" w:rsidRDefault="006D57B9" w:rsidP="00125555">
      <w:pPr>
        <w:pStyle w:val="BodyText"/>
        <w:numPr>
          <w:ilvl w:val="0"/>
          <w:numId w:val="25"/>
        </w:numPr>
        <w:rPr>
          <w:rFonts w:cstheme="minorHAnsi"/>
          <w:color w:val="000000"/>
        </w:rPr>
      </w:pPr>
      <w:r w:rsidRPr="00322985">
        <w:rPr>
          <w:color w:val="000000"/>
        </w:rPr>
        <w:t xml:space="preserve">An overview of the </w:t>
      </w:r>
      <w:r w:rsidR="00125555" w:rsidRPr="00322985">
        <w:rPr>
          <w:color w:val="000000"/>
        </w:rPr>
        <w:t>NPP</w:t>
      </w:r>
      <w:r w:rsidRPr="00322985">
        <w:rPr>
          <w:color w:val="000000"/>
        </w:rPr>
        <w:t xml:space="preserve"> operational safety challenges as faced by different stakeholders </w:t>
      </w:r>
      <w:r w:rsidR="00125555" w:rsidRPr="00322985">
        <w:rPr>
          <w:color w:val="000000"/>
        </w:rPr>
        <w:t xml:space="preserve">— </w:t>
      </w:r>
      <w:r w:rsidRPr="00322985">
        <w:rPr>
          <w:color w:val="000000"/>
        </w:rPr>
        <w:t xml:space="preserve">industry, operators, regulatory </w:t>
      </w:r>
      <w:r w:rsidR="00125555" w:rsidRPr="00322985">
        <w:rPr>
          <w:color w:val="000000"/>
        </w:rPr>
        <w:t>bodies</w:t>
      </w:r>
      <w:r w:rsidRPr="00322985">
        <w:rPr>
          <w:color w:val="000000"/>
        </w:rPr>
        <w:t>, technical support organizations, international organi</w:t>
      </w:r>
      <w:r w:rsidR="00125555" w:rsidRPr="00322985">
        <w:rPr>
          <w:color w:val="000000"/>
        </w:rPr>
        <w:t>z</w:t>
      </w:r>
      <w:r w:rsidRPr="00322985">
        <w:rPr>
          <w:color w:val="000000"/>
        </w:rPr>
        <w:t>ations</w:t>
      </w:r>
      <w:r w:rsidR="00125555" w:rsidRPr="00322985">
        <w:rPr>
          <w:color w:val="000000"/>
        </w:rPr>
        <w:t>,</w:t>
      </w:r>
      <w:r w:rsidRPr="00322985">
        <w:rPr>
          <w:color w:val="000000"/>
        </w:rPr>
        <w:t xml:space="preserve"> and others.</w:t>
      </w:r>
    </w:p>
    <w:p w14:paraId="5BAB32A0" w14:textId="747FC269" w:rsidR="006D57B9" w:rsidRPr="00322985" w:rsidRDefault="006D57B9" w:rsidP="0072693A">
      <w:pPr>
        <w:pStyle w:val="Heading2"/>
        <w:jc w:val="both"/>
        <w:rPr>
          <w:rFonts w:eastAsia="MS Mincho"/>
          <w:b w:val="0"/>
          <w:bCs/>
          <w:sz w:val="22"/>
          <w:szCs w:val="22"/>
        </w:rPr>
      </w:pPr>
      <w:r w:rsidRPr="00322985">
        <w:rPr>
          <w:rFonts w:eastAsia="MS Mincho"/>
        </w:rPr>
        <w:t xml:space="preserve">Session 1: </w:t>
      </w:r>
      <w:r w:rsidRPr="00322985">
        <w:rPr>
          <w:szCs w:val="28"/>
        </w:rPr>
        <w:t>International Operational Safety Peer Reviews</w:t>
      </w:r>
      <w:r w:rsidRPr="00322985">
        <w:rPr>
          <w:b w:val="0"/>
          <w:bCs/>
          <w:sz w:val="22"/>
          <w:szCs w:val="22"/>
        </w:rPr>
        <w:t xml:space="preserve"> — How do these help to improve nuclear safety and to build transparency, trust, and confidence?</w:t>
      </w:r>
    </w:p>
    <w:p w14:paraId="1ABA1896" w14:textId="667A6F02" w:rsidR="006D57B9" w:rsidRPr="00322985" w:rsidRDefault="006D57B9" w:rsidP="0072693A">
      <w:pPr>
        <w:pStyle w:val="BodyText"/>
        <w:keepNext/>
        <w:keepLines/>
      </w:pPr>
      <w:r w:rsidRPr="00322985">
        <w:t>This session will cover the following topics:</w:t>
      </w:r>
    </w:p>
    <w:p w14:paraId="1013A80A" w14:textId="77777777" w:rsidR="006D57B9" w:rsidRPr="00322985" w:rsidRDefault="006D57B9" w:rsidP="0072693A">
      <w:pPr>
        <w:pStyle w:val="BodyText"/>
        <w:keepNext/>
        <w:keepLines/>
        <w:numPr>
          <w:ilvl w:val="0"/>
          <w:numId w:val="26"/>
        </w:numPr>
      </w:pPr>
      <w:r w:rsidRPr="00322985">
        <w:t>Effective and efficient evaluation of operational safety performance and commissioning of NPPs</w:t>
      </w:r>
    </w:p>
    <w:p w14:paraId="704DEBE2" w14:textId="2D73D7E4" w:rsidR="006D57B9" w:rsidRPr="00322985" w:rsidRDefault="006D57B9" w:rsidP="00804062">
      <w:pPr>
        <w:pStyle w:val="BodyText"/>
        <w:numPr>
          <w:ilvl w:val="0"/>
          <w:numId w:val="26"/>
        </w:numPr>
      </w:pPr>
      <w:r w:rsidRPr="00322985">
        <w:t>Scope appropriate to address recent trends and emerging issues</w:t>
      </w:r>
      <w:r w:rsidR="00125555" w:rsidRPr="00322985">
        <w:t>,</w:t>
      </w:r>
      <w:r w:rsidRPr="00322985">
        <w:t xml:space="preserve"> e.g. </w:t>
      </w:r>
      <w:r w:rsidR="00125555" w:rsidRPr="00322985">
        <w:t>s</w:t>
      </w:r>
      <w:r w:rsidRPr="00322985">
        <w:t xml:space="preserve">evere </w:t>
      </w:r>
      <w:r w:rsidR="00125555" w:rsidRPr="00322985">
        <w:t>a</w:t>
      </w:r>
      <w:r w:rsidRPr="00322985">
        <w:t xml:space="preserve">ccident </w:t>
      </w:r>
      <w:r w:rsidR="00125555" w:rsidRPr="00322985">
        <w:t>m</w:t>
      </w:r>
      <w:r w:rsidRPr="00322985">
        <w:t xml:space="preserve">anagement, </w:t>
      </w:r>
      <w:r w:rsidR="00125555" w:rsidRPr="00322985">
        <w:t>p</w:t>
      </w:r>
      <w:r w:rsidRPr="00322985">
        <w:t xml:space="preserve">eriodic </w:t>
      </w:r>
      <w:r w:rsidR="00125555" w:rsidRPr="00322985">
        <w:t>s</w:t>
      </w:r>
      <w:r w:rsidRPr="00322985">
        <w:t xml:space="preserve">afety </w:t>
      </w:r>
      <w:r w:rsidR="00125555" w:rsidRPr="00322985">
        <w:t>r</w:t>
      </w:r>
      <w:r w:rsidRPr="00322985">
        <w:t xml:space="preserve">eviews, </w:t>
      </w:r>
      <w:r w:rsidR="00125555" w:rsidRPr="00322985">
        <w:t>s</w:t>
      </w:r>
      <w:r w:rsidRPr="00322985">
        <w:t xml:space="preserve">ynergy between safety and security, NPP construction, </w:t>
      </w:r>
      <w:r w:rsidR="00125555" w:rsidRPr="00322985">
        <w:t>t</w:t>
      </w:r>
      <w:r w:rsidRPr="00322985">
        <w:t>ransition to decommissioning</w:t>
      </w:r>
    </w:p>
    <w:p w14:paraId="0816D242" w14:textId="77777777" w:rsidR="00125555" w:rsidRPr="00322985" w:rsidRDefault="006D57B9" w:rsidP="00125555">
      <w:pPr>
        <w:pStyle w:val="BodyText"/>
        <w:numPr>
          <w:ilvl w:val="0"/>
          <w:numId w:val="26"/>
        </w:numPr>
      </w:pPr>
      <w:r w:rsidRPr="00322985">
        <w:t>What need</w:t>
      </w:r>
      <w:r w:rsidR="00125555" w:rsidRPr="00322985">
        <w:t>s</w:t>
      </w:r>
      <w:r w:rsidRPr="00322985">
        <w:t xml:space="preserve"> to</w:t>
      </w:r>
      <w:r w:rsidR="00125555" w:rsidRPr="00322985">
        <w:t xml:space="preserve"> be</w:t>
      </w:r>
      <w:r w:rsidRPr="00322985">
        <w:t xml:space="preserve"> change</w:t>
      </w:r>
      <w:r w:rsidR="00125555" w:rsidRPr="00322985">
        <w:t>d</w:t>
      </w:r>
      <w:r w:rsidRPr="00322985">
        <w:t xml:space="preserve"> in the IAEA </w:t>
      </w:r>
      <w:r w:rsidR="00125555" w:rsidRPr="00322985">
        <w:t>safety standards that are relevant to o</w:t>
      </w:r>
      <w:r w:rsidRPr="00322985">
        <w:t xml:space="preserve">perational </w:t>
      </w:r>
      <w:r w:rsidR="00125555" w:rsidRPr="00322985">
        <w:t>safety</w:t>
      </w:r>
      <w:r w:rsidRPr="00322985">
        <w:t>?</w:t>
      </w:r>
    </w:p>
    <w:p w14:paraId="785F428C" w14:textId="19FD0F40" w:rsidR="006D57B9" w:rsidRPr="00322985" w:rsidRDefault="006D57B9" w:rsidP="00804062">
      <w:pPr>
        <w:pStyle w:val="BodyText"/>
        <w:numPr>
          <w:ilvl w:val="0"/>
          <w:numId w:val="26"/>
        </w:numPr>
      </w:pPr>
      <w:r w:rsidRPr="00322985">
        <w:t xml:space="preserve">Worldwide application of IAEA </w:t>
      </w:r>
      <w:r w:rsidR="00125555" w:rsidRPr="00322985">
        <w:t>safety standards relevant to o</w:t>
      </w:r>
      <w:r w:rsidRPr="00322985">
        <w:t xml:space="preserve">perational </w:t>
      </w:r>
      <w:r w:rsidR="00125555" w:rsidRPr="00322985">
        <w:t>safety —</w:t>
      </w:r>
      <w:r w:rsidRPr="00322985">
        <w:t xml:space="preserve"> </w:t>
      </w:r>
      <w:r w:rsidR="00125555" w:rsidRPr="00322985">
        <w:t>H</w:t>
      </w:r>
      <w:r w:rsidRPr="00322985">
        <w:t xml:space="preserve">ow </w:t>
      </w:r>
      <w:r w:rsidR="00804062" w:rsidRPr="00322985">
        <w:t>can Member States’ commitment to these be</w:t>
      </w:r>
      <w:r w:rsidRPr="00322985">
        <w:t xml:space="preserve"> </w:t>
      </w:r>
      <w:r w:rsidR="0072693A" w:rsidRPr="00322985">
        <w:t>encouraged</w:t>
      </w:r>
      <w:r w:rsidRPr="00322985">
        <w:t>?</w:t>
      </w:r>
    </w:p>
    <w:p w14:paraId="1C5F9628" w14:textId="20E96243" w:rsidR="006D57B9" w:rsidRPr="00322985" w:rsidRDefault="006D57B9" w:rsidP="00804062">
      <w:pPr>
        <w:pStyle w:val="BodyText"/>
        <w:numPr>
          <w:ilvl w:val="0"/>
          <w:numId w:val="26"/>
        </w:numPr>
      </w:pPr>
      <w:r w:rsidRPr="00322985">
        <w:t>Effective tools in avoiding complacency</w:t>
      </w:r>
      <w:r w:rsidR="00125555" w:rsidRPr="00322985">
        <w:t xml:space="preserve"> —</w:t>
      </w:r>
      <w:r w:rsidRPr="00322985">
        <w:t xml:space="preserve"> Synergy and complementarity between IAEA and WANO peer reviews</w:t>
      </w:r>
    </w:p>
    <w:p w14:paraId="06E2D58C" w14:textId="77777777" w:rsidR="006D57B9" w:rsidRPr="00322985" w:rsidRDefault="006D57B9" w:rsidP="00804062">
      <w:pPr>
        <w:pStyle w:val="BodyText"/>
        <w:numPr>
          <w:ilvl w:val="0"/>
          <w:numId w:val="26"/>
        </w:numPr>
        <w:rPr>
          <w:rFonts w:cstheme="minorHAnsi"/>
          <w:color w:val="000000"/>
        </w:rPr>
      </w:pPr>
      <w:r w:rsidRPr="00322985">
        <w:t xml:space="preserve">How </w:t>
      </w:r>
      <w:r w:rsidR="00804062" w:rsidRPr="00322985">
        <w:t>can</w:t>
      </w:r>
      <w:r w:rsidRPr="00322985">
        <w:t xml:space="preserve"> all </w:t>
      </w:r>
      <w:r w:rsidR="00125555" w:rsidRPr="00322985">
        <w:t>NPP owner/operator organizations</w:t>
      </w:r>
      <w:r w:rsidRPr="00322985">
        <w:t xml:space="preserve"> </w:t>
      </w:r>
      <w:r w:rsidR="00804062" w:rsidRPr="00322985">
        <w:t xml:space="preserve">be engaged </w:t>
      </w:r>
      <w:r w:rsidRPr="00322985">
        <w:t>in the international peer review process?</w:t>
      </w:r>
    </w:p>
    <w:p w14:paraId="1A103B2D" w14:textId="5832DAD4" w:rsidR="006D57B9" w:rsidRPr="00322985" w:rsidRDefault="006D57B9" w:rsidP="00051557">
      <w:pPr>
        <w:pStyle w:val="Heading2"/>
        <w:jc w:val="both"/>
        <w:rPr>
          <w:rFonts w:eastAsia="MS Mincho"/>
          <w:b w:val="0"/>
          <w:bCs/>
          <w:sz w:val="22"/>
          <w:szCs w:val="22"/>
        </w:rPr>
      </w:pPr>
      <w:r w:rsidRPr="00322985">
        <w:rPr>
          <w:rFonts w:eastAsia="MS Mincho"/>
        </w:rPr>
        <w:t xml:space="preserve">Session 2: </w:t>
      </w:r>
      <w:r w:rsidRPr="00322985">
        <w:rPr>
          <w:szCs w:val="28"/>
        </w:rPr>
        <w:t xml:space="preserve">Corporate Management of Safety </w:t>
      </w:r>
      <w:r w:rsidRPr="00322985">
        <w:rPr>
          <w:b w:val="0"/>
          <w:bCs/>
          <w:sz w:val="22"/>
          <w:szCs w:val="22"/>
        </w:rPr>
        <w:t>— How can we improve the effectiveness of the corporate management from commissioning to decommissioning of NPPs, including early closure of NPPs?</w:t>
      </w:r>
    </w:p>
    <w:p w14:paraId="4A755A27" w14:textId="7C7B70C0" w:rsidR="006D57B9" w:rsidRPr="00322985" w:rsidRDefault="006D57B9" w:rsidP="00051557">
      <w:pPr>
        <w:pStyle w:val="BodyText"/>
        <w:keepNext/>
        <w:keepLines/>
      </w:pPr>
      <w:r w:rsidRPr="00322985">
        <w:t>This session will cover the following topics:</w:t>
      </w:r>
    </w:p>
    <w:p w14:paraId="131069DB" w14:textId="5D5F880F" w:rsidR="006D57B9" w:rsidRPr="00322985" w:rsidRDefault="006D57B9" w:rsidP="00051557">
      <w:pPr>
        <w:pStyle w:val="BodyText"/>
        <w:keepNext/>
        <w:keepLines/>
        <w:numPr>
          <w:ilvl w:val="0"/>
          <w:numId w:val="27"/>
        </w:numPr>
      </w:pPr>
      <w:r w:rsidRPr="00322985">
        <w:t xml:space="preserve">Opportunities for improvements at the </w:t>
      </w:r>
      <w:r w:rsidR="00125555" w:rsidRPr="00322985">
        <w:t xml:space="preserve">corporate </w:t>
      </w:r>
      <w:r w:rsidRPr="00322985">
        <w:t xml:space="preserve">level that can enhance operational safety </w:t>
      </w:r>
      <w:r w:rsidR="00125555" w:rsidRPr="00322985">
        <w:t xml:space="preserve">at </w:t>
      </w:r>
      <w:r w:rsidRPr="00322985">
        <w:t xml:space="preserve">the </w:t>
      </w:r>
      <w:r w:rsidR="00125555" w:rsidRPr="00322985">
        <w:t>NPPs</w:t>
      </w:r>
      <w:r w:rsidRPr="00322985">
        <w:t xml:space="preserve"> </w:t>
      </w:r>
      <w:r w:rsidR="00125555" w:rsidRPr="00322985">
        <w:t xml:space="preserve">owned by a </w:t>
      </w:r>
      <w:r w:rsidRPr="00322985">
        <w:t>utility</w:t>
      </w:r>
    </w:p>
    <w:p w14:paraId="77B9A84F" w14:textId="38BE85B4" w:rsidR="006D57B9" w:rsidRPr="00322985" w:rsidRDefault="006D57B9" w:rsidP="00804062">
      <w:pPr>
        <w:pStyle w:val="BodyText"/>
        <w:numPr>
          <w:ilvl w:val="0"/>
          <w:numId w:val="27"/>
        </w:numPr>
      </w:pPr>
      <w:r w:rsidRPr="00322985">
        <w:t xml:space="preserve">Independent nuclear oversight </w:t>
      </w:r>
      <w:r w:rsidR="00125555" w:rsidRPr="00322985">
        <w:t>— W</w:t>
      </w:r>
      <w:r w:rsidRPr="00322985">
        <w:t>hat are the benefits?</w:t>
      </w:r>
    </w:p>
    <w:p w14:paraId="287ACFEB" w14:textId="51E345E6" w:rsidR="006D57B9" w:rsidRPr="00322985" w:rsidRDefault="006D57B9" w:rsidP="00804062">
      <w:pPr>
        <w:pStyle w:val="BodyText"/>
        <w:numPr>
          <w:ilvl w:val="0"/>
          <w:numId w:val="27"/>
        </w:numPr>
      </w:pPr>
      <w:r w:rsidRPr="00322985">
        <w:t>Corporate support to provide human resources and to motivate staff in case of early closure of NPPs</w:t>
      </w:r>
    </w:p>
    <w:p w14:paraId="0A872F89" w14:textId="1363C95B" w:rsidR="006D57B9" w:rsidRPr="00322985" w:rsidRDefault="006D57B9" w:rsidP="00804062">
      <w:pPr>
        <w:pStyle w:val="BodyText"/>
        <w:numPr>
          <w:ilvl w:val="0"/>
          <w:numId w:val="27"/>
        </w:numPr>
      </w:pPr>
      <w:r w:rsidRPr="00322985">
        <w:t xml:space="preserve">Effective communication at </w:t>
      </w:r>
      <w:r w:rsidR="00125555" w:rsidRPr="00322985">
        <w:t xml:space="preserve">the </w:t>
      </w:r>
      <w:r w:rsidRPr="00322985">
        <w:t>corporate level</w:t>
      </w:r>
      <w:r w:rsidR="00125555" w:rsidRPr="00322985">
        <w:t xml:space="preserve"> —</w:t>
      </w:r>
      <w:r w:rsidRPr="00322985">
        <w:t xml:space="preserve"> Can such communication help to improve the transparency of decision making?</w:t>
      </w:r>
    </w:p>
    <w:p w14:paraId="40F79ABD" w14:textId="77777777" w:rsidR="006D57B9" w:rsidRPr="00322985" w:rsidRDefault="006D57B9" w:rsidP="00804062">
      <w:pPr>
        <w:pStyle w:val="BodyText"/>
        <w:numPr>
          <w:ilvl w:val="0"/>
          <w:numId w:val="27"/>
        </w:numPr>
      </w:pPr>
      <w:r w:rsidRPr="00322985">
        <w:lastRenderedPageBreak/>
        <w:t xml:space="preserve">How </w:t>
      </w:r>
      <w:r w:rsidR="00804062" w:rsidRPr="00322985">
        <w:t xml:space="preserve">can </w:t>
      </w:r>
      <w:r w:rsidRPr="00322985">
        <w:t>the international corporate peer reviews help to harmonize and promote best practices?</w:t>
      </w:r>
    </w:p>
    <w:p w14:paraId="318F66D0" w14:textId="763051F1" w:rsidR="006D57B9" w:rsidRPr="00322985" w:rsidRDefault="006D57B9" w:rsidP="0072693A">
      <w:pPr>
        <w:pStyle w:val="Heading2"/>
        <w:jc w:val="both"/>
        <w:rPr>
          <w:b w:val="0"/>
          <w:bCs/>
          <w:sz w:val="22"/>
          <w:szCs w:val="22"/>
        </w:rPr>
      </w:pPr>
      <w:r w:rsidRPr="00322985">
        <w:rPr>
          <w:rFonts w:eastAsia="MS Mincho"/>
          <w:szCs w:val="28"/>
        </w:rPr>
        <w:t xml:space="preserve">Session 3: </w:t>
      </w:r>
      <w:r w:rsidRPr="00322985">
        <w:rPr>
          <w:szCs w:val="28"/>
        </w:rPr>
        <w:t xml:space="preserve">Post-Fukushima Operational Safety Improvements </w:t>
      </w:r>
      <w:r w:rsidRPr="00322985">
        <w:rPr>
          <w:b w:val="0"/>
          <w:bCs/>
          <w:sz w:val="22"/>
          <w:szCs w:val="22"/>
        </w:rPr>
        <w:t>— What is the impact of the implemented safety upgrades on operational safety?</w:t>
      </w:r>
    </w:p>
    <w:p w14:paraId="4C2C955C" w14:textId="77777777" w:rsidR="006D57B9" w:rsidRPr="00322985" w:rsidRDefault="006D57B9" w:rsidP="0072693A">
      <w:pPr>
        <w:pStyle w:val="BodyText"/>
        <w:keepNext/>
        <w:keepLines/>
        <w:rPr>
          <w:szCs w:val="22"/>
        </w:rPr>
      </w:pPr>
      <w:r w:rsidRPr="00322985">
        <w:rPr>
          <w:szCs w:val="22"/>
        </w:rPr>
        <w:t>This session will cover the following topics:</w:t>
      </w:r>
    </w:p>
    <w:p w14:paraId="636FB717" w14:textId="36C478FF" w:rsidR="006D57B9" w:rsidRPr="00322985" w:rsidRDefault="006D57B9" w:rsidP="0072693A">
      <w:pPr>
        <w:pStyle w:val="BodyText"/>
        <w:keepNext/>
        <w:keepLines/>
        <w:numPr>
          <w:ilvl w:val="0"/>
          <w:numId w:val="28"/>
        </w:numPr>
        <w:rPr>
          <w:szCs w:val="22"/>
        </w:rPr>
      </w:pPr>
      <w:r w:rsidRPr="00322985">
        <w:rPr>
          <w:szCs w:val="22"/>
        </w:rPr>
        <w:t>What could the international nuclear community have done differently prior to the accident that could have helped to avoid it?</w:t>
      </w:r>
    </w:p>
    <w:p w14:paraId="4FCFD86D" w14:textId="42D121B8" w:rsidR="006D57B9" w:rsidRPr="00322985" w:rsidRDefault="006D57B9" w:rsidP="00804062">
      <w:pPr>
        <w:pStyle w:val="BodyText"/>
        <w:numPr>
          <w:ilvl w:val="0"/>
          <w:numId w:val="28"/>
        </w:numPr>
        <w:rPr>
          <w:szCs w:val="22"/>
        </w:rPr>
      </w:pPr>
      <w:r w:rsidRPr="00322985">
        <w:rPr>
          <w:szCs w:val="22"/>
        </w:rPr>
        <w:t xml:space="preserve">Challenges </w:t>
      </w:r>
      <w:r w:rsidR="00125555" w:rsidRPr="00322985">
        <w:rPr>
          <w:szCs w:val="22"/>
        </w:rPr>
        <w:t xml:space="preserve">in </w:t>
      </w:r>
      <w:r w:rsidRPr="00322985">
        <w:rPr>
          <w:szCs w:val="22"/>
        </w:rPr>
        <w:t>the implementation of post-Fukushima upgrades at NPPs</w:t>
      </w:r>
      <w:r w:rsidR="00125555" w:rsidRPr="00322985">
        <w:rPr>
          <w:szCs w:val="22"/>
        </w:rPr>
        <w:t xml:space="preserve"> —</w:t>
      </w:r>
      <w:r w:rsidRPr="00322985">
        <w:rPr>
          <w:szCs w:val="22"/>
        </w:rPr>
        <w:t xml:space="preserve"> How to minimize the gaps between </w:t>
      </w:r>
      <w:r w:rsidR="00125555" w:rsidRPr="00322985">
        <w:rPr>
          <w:szCs w:val="22"/>
        </w:rPr>
        <w:t xml:space="preserve">the implementation of safety improvements by </w:t>
      </w:r>
      <w:r w:rsidRPr="00322985">
        <w:rPr>
          <w:szCs w:val="22"/>
        </w:rPr>
        <w:t>M</w:t>
      </w:r>
      <w:r w:rsidR="00125555" w:rsidRPr="00322985">
        <w:rPr>
          <w:szCs w:val="22"/>
        </w:rPr>
        <w:t xml:space="preserve">ember </w:t>
      </w:r>
      <w:r w:rsidRPr="00322985">
        <w:rPr>
          <w:szCs w:val="22"/>
        </w:rPr>
        <w:t>S</w:t>
      </w:r>
      <w:r w:rsidR="00125555" w:rsidRPr="00322985">
        <w:rPr>
          <w:szCs w:val="22"/>
        </w:rPr>
        <w:t>tate</w:t>
      </w:r>
      <w:r w:rsidRPr="00322985">
        <w:rPr>
          <w:szCs w:val="22"/>
        </w:rPr>
        <w:t>s?</w:t>
      </w:r>
    </w:p>
    <w:p w14:paraId="1198FFFD" w14:textId="5B8BF308" w:rsidR="006D57B9" w:rsidRPr="00322985" w:rsidRDefault="006D57B9" w:rsidP="00804062">
      <w:pPr>
        <w:pStyle w:val="BodyText"/>
        <w:numPr>
          <w:ilvl w:val="0"/>
          <w:numId w:val="28"/>
        </w:numPr>
        <w:rPr>
          <w:szCs w:val="22"/>
        </w:rPr>
      </w:pPr>
      <w:r w:rsidRPr="00322985">
        <w:rPr>
          <w:szCs w:val="22"/>
        </w:rPr>
        <w:t xml:space="preserve">Severe accident management programmes </w:t>
      </w:r>
      <w:r w:rsidR="00125555" w:rsidRPr="00322985">
        <w:rPr>
          <w:szCs w:val="22"/>
        </w:rPr>
        <w:t>— E</w:t>
      </w:r>
      <w:r w:rsidRPr="00322985">
        <w:rPr>
          <w:szCs w:val="22"/>
        </w:rPr>
        <w:t>volution from concept to implementation</w:t>
      </w:r>
    </w:p>
    <w:p w14:paraId="05DF6B43" w14:textId="22F75E63" w:rsidR="006D57B9" w:rsidRPr="00322985" w:rsidRDefault="006D57B9" w:rsidP="00804062">
      <w:pPr>
        <w:pStyle w:val="BodyText"/>
        <w:numPr>
          <w:ilvl w:val="0"/>
          <w:numId w:val="28"/>
        </w:numPr>
        <w:rPr>
          <w:szCs w:val="22"/>
        </w:rPr>
      </w:pPr>
      <w:r w:rsidRPr="00322985">
        <w:rPr>
          <w:szCs w:val="22"/>
        </w:rPr>
        <w:t xml:space="preserve">Operators’ views on the outcomes of the </w:t>
      </w:r>
      <w:r w:rsidR="00125555" w:rsidRPr="00322985">
        <w:rPr>
          <w:szCs w:val="22"/>
        </w:rPr>
        <w:t>Sixth R</w:t>
      </w:r>
      <w:r w:rsidRPr="00322985">
        <w:rPr>
          <w:szCs w:val="22"/>
        </w:rPr>
        <w:t xml:space="preserve">eview </w:t>
      </w:r>
      <w:r w:rsidR="00125555" w:rsidRPr="00322985">
        <w:rPr>
          <w:szCs w:val="22"/>
        </w:rPr>
        <w:t>M</w:t>
      </w:r>
      <w:r w:rsidRPr="00322985">
        <w:rPr>
          <w:szCs w:val="22"/>
        </w:rPr>
        <w:t>eeting of the</w:t>
      </w:r>
      <w:r w:rsidR="00125555" w:rsidRPr="00322985">
        <w:rPr>
          <w:szCs w:val="22"/>
        </w:rPr>
        <w:t xml:space="preserve"> Contracting Parties to the</w:t>
      </w:r>
      <w:r w:rsidRPr="00322985">
        <w:rPr>
          <w:szCs w:val="22"/>
        </w:rPr>
        <w:t xml:space="preserve"> Convention on Nuclear Safety</w:t>
      </w:r>
    </w:p>
    <w:p w14:paraId="67229CAA" w14:textId="77777777" w:rsidR="006D57B9" w:rsidRPr="00322985" w:rsidRDefault="006D57B9" w:rsidP="005530B7">
      <w:pPr>
        <w:pStyle w:val="Heading2"/>
        <w:jc w:val="both"/>
        <w:rPr>
          <w:b w:val="0"/>
          <w:bCs/>
          <w:sz w:val="22"/>
          <w:szCs w:val="22"/>
        </w:rPr>
      </w:pPr>
      <w:r w:rsidRPr="00322985">
        <w:rPr>
          <w:rFonts w:eastAsia="MS Mincho"/>
          <w:szCs w:val="28"/>
        </w:rPr>
        <w:t>Session 4:</w:t>
      </w:r>
      <w:r w:rsidRPr="00322985">
        <w:rPr>
          <w:rFonts w:eastAsia="MS Mincho"/>
        </w:rPr>
        <w:t xml:space="preserve"> </w:t>
      </w:r>
      <w:r w:rsidRPr="00322985">
        <w:rPr>
          <w:rFonts w:eastAsia="MS Mincho"/>
          <w:szCs w:val="28"/>
        </w:rPr>
        <w:t>Operating Experience</w:t>
      </w:r>
      <w:r w:rsidRPr="00322985">
        <w:rPr>
          <w:rFonts w:eastAsia="MS Mincho"/>
        </w:rPr>
        <w:t xml:space="preserve"> </w:t>
      </w:r>
      <w:r w:rsidRPr="00322985">
        <w:rPr>
          <w:rFonts w:eastAsia="MS Mincho"/>
          <w:b w:val="0"/>
          <w:bCs/>
          <w:sz w:val="22"/>
          <w:szCs w:val="22"/>
        </w:rPr>
        <w:t xml:space="preserve">— </w:t>
      </w:r>
      <w:r w:rsidRPr="00322985">
        <w:rPr>
          <w:b w:val="0"/>
          <w:bCs/>
          <w:sz w:val="22"/>
          <w:szCs w:val="22"/>
        </w:rPr>
        <w:t>How can we improve the effectiveness of operational experience feedback?</w:t>
      </w:r>
    </w:p>
    <w:p w14:paraId="35E10FDB" w14:textId="44690D50" w:rsidR="006D57B9" w:rsidRPr="00322985" w:rsidRDefault="006D57B9" w:rsidP="005530B7">
      <w:pPr>
        <w:pStyle w:val="BodyText"/>
        <w:keepNext/>
        <w:keepLines/>
      </w:pPr>
      <w:r w:rsidRPr="00322985">
        <w:t>This session will cover the following topics:</w:t>
      </w:r>
    </w:p>
    <w:p w14:paraId="727EA4A4" w14:textId="77777777" w:rsidR="006D57B9" w:rsidRPr="00322985" w:rsidRDefault="006D57B9" w:rsidP="005530B7">
      <w:pPr>
        <w:pStyle w:val="BodyText"/>
        <w:keepNext/>
        <w:keepLines/>
        <w:numPr>
          <w:ilvl w:val="0"/>
          <w:numId w:val="29"/>
        </w:numPr>
      </w:pPr>
      <w:r w:rsidRPr="00322985">
        <w:t xml:space="preserve">Good practices in conducting effective </w:t>
      </w:r>
      <w:r w:rsidR="00804062" w:rsidRPr="00322985">
        <w:t xml:space="preserve">screening of </w:t>
      </w:r>
      <w:r w:rsidRPr="00322985">
        <w:t>internal and external events</w:t>
      </w:r>
    </w:p>
    <w:p w14:paraId="162A2631" w14:textId="2443E83B" w:rsidR="006D57B9" w:rsidRPr="00322985" w:rsidRDefault="006D57B9" w:rsidP="00804062">
      <w:pPr>
        <w:pStyle w:val="BodyText"/>
        <w:numPr>
          <w:ilvl w:val="0"/>
          <w:numId w:val="29"/>
        </w:numPr>
      </w:pPr>
      <w:r w:rsidRPr="00322985">
        <w:t>Approach</w:t>
      </w:r>
      <w:r w:rsidR="00804062" w:rsidRPr="00322985">
        <w:t>es</w:t>
      </w:r>
      <w:r w:rsidRPr="00322985">
        <w:t xml:space="preserve"> </w:t>
      </w:r>
      <w:r w:rsidR="00804062" w:rsidRPr="00322985">
        <w:t xml:space="preserve">for </w:t>
      </w:r>
      <w:r w:rsidRPr="00322985">
        <w:t>prioritiz</w:t>
      </w:r>
      <w:r w:rsidR="00804062" w:rsidRPr="00322985">
        <w:t>ing</w:t>
      </w:r>
      <w:r w:rsidRPr="00322985">
        <w:t xml:space="preserve"> and </w:t>
      </w:r>
      <w:r w:rsidR="00742F46" w:rsidRPr="00322985">
        <w:t>implement</w:t>
      </w:r>
      <w:r w:rsidR="00804062" w:rsidRPr="00322985">
        <w:t>ing</w:t>
      </w:r>
      <w:r w:rsidR="00742F46" w:rsidRPr="00322985">
        <w:t xml:space="preserve">, in a </w:t>
      </w:r>
      <w:r w:rsidRPr="00322985">
        <w:t xml:space="preserve">timely </w:t>
      </w:r>
      <w:r w:rsidR="00742F46" w:rsidRPr="00322985">
        <w:t xml:space="preserve">manner, the </w:t>
      </w:r>
      <w:r w:rsidRPr="00322985">
        <w:t>lessons learn</w:t>
      </w:r>
      <w:r w:rsidR="00742F46" w:rsidRPr="00322985">
        <w:t>ed</w:t>
      </w:r>
      <w:r w:rsidRPr="00322985">
        <w:t xml:space="preserve"> from internal and external operating experience</w:t>
      </w:r>
    </w:p>
    <w:p w14:paraId="48716015" w14:textId="77777777" w:rsidR="006D57B9" w:rsidRPr="00322985" w:rsidRDefault="006D57B9" w:rsidP="00804062">
      <w:pPr>
        <w:pStyle w:val="BodyText"/>
        <w:numPr>
          <w:ilvl w:val="0"/>
          <w:numId w:val="29"/>
        </w:numPr>
      </w:pPr>
      <w:r w:rsidRPr="00322985">
        <w:t>Conduct of effectiveness review of corrective actions to prevent recurrence</w:t>
      </w:r>
    </w:p>
    <w:p w14:paraId="4E0CBD97" w14:textId="5A4E2771" w:rsidR="006D57B9" w:rsidRPr="00322985" w:rsidRDefault="006D57B9" w:rsidP="008F4504">
      <w:pPr>
        <w:pStyle w:val="BodyText"/>
        <w:numPr>
          <w:ilvl w:val="0"/>
          <w:numId w:val="29"/>
        </w:numPr>
      </w:pPr>
      <w:r w:rsidRPr="00322985">
        <w:t xml:space="preserve">How </w:t>
      </w:r>
      <w:r w:rsidR="00804062" w:rsidRPr="00322985">
        <w:t xml:space="preserve">can </w:t>
      </w:r>
      <w:r w:rsidRPr="00322985">
        <w:t>the IRS</w:t>
      </w:r>
      <w:r w:rsidR="00804062" w:rsidRPr="00322985">
        <w:t xml:space="preserve"> </w:t>
      </w:r>
      <w:r w:rsidR="005530B7" w:rsidRPr="00322985">
        <w:t xml:space="preserve">database </w:t>
      </w:r>
      <w:r w:rsidR="00804062" w:rsidRPr="00322985">
        <w:t>be enhanced</w:t>
      </w:r>
      <w:r w:rsidRPr="00322985">
        <w:t xml:space="preserve"> to respond to M</w:t>
      </w:r>
      <w:r w:rsidR="00742F46" w:rsidRPr="00322985">
        <w:t xml:space="preserve">ember </w:t>
      </w:r>
      <w:r w:rsidRPr="00322985">
        <w:t>S</w:t>
      </w:r>
      <w:r w:rsidR="00742F46" w:rsidRPr="00322985">
        <w:t>tate</w:t>
      </w:r>
      <w:r w:rsidRPr="00322985">
        <w:t>s</w:t>
      </w:r>
      <w:r w:rsidR="00742F46" w:rsidRPr="00322985">
        <w:t>’</w:t>
      </w:r>
      <w:r w:rsidRPr="00322985">
        <w:t xml:space="preserve"> request</w:t>
      </w:r>
      <w:r w:rsidR="00742F46" w:rsidRPr="00322985">
        <w:t>s</w:t>
      </w:r>
      <w:r w:rsidRPr="00322985">
        <w:t xml:space="preserve"> to promote </w:t>
      </w:r>
      <w:r w:rsidR="008F4504">
        <w:t xml:space="preserve">the use of the </w:t>
      </w:r>
      <w:r w:rsidR="005530B7" w:rsidRPr="00322985">
        <w:t xml:space="preserve">IRS </w:t>
      </w:r>
      <w:r w:rsidRPr="00322985">
        <w:t xml:space="preserve">as a platform for sharing operating experience </w:t>
      </w:r>
      <w:r w:rsidR="00804062" w:rsidRPr="00322985">
        <w:t xml:space="preserve">related to </w:t>
      </w:r>
      <w:r w:rsidRPr="00322985">
        <w:t>safety culture</w:t>
      </w:r>
      <w:r w:rsidR="00804062" w:rsidRPr="00322985">
        <w:t>?</w:t>
      </w:r>
    </w:p>
    <w:p w14:paraId="6C09A858" w14:textId="237C00FA" w:rsidR="006D57B9" w:rsidRPr="00322985" w:rsidRDefault="006D57B9" w:rsidP="00804062">
      <w:pPr>
        <w:pStyle w:val="BodyText"/>
        <w:numPr>
          <w:ilvl w:val="0"/>
          <w:numId w:val="29"/>
        </w:numPr>
      </w:pPr>
      <w:r w:rsidRPr="00322985">
        <w:t>Use of operating experience by new embarking countries</w:t>
      </w:r>
    </w:p>
    <w:p w14:paraId="63625B4D" w14:textId="7AD50E50" w:rsidR="006D57B9" w:rsidRPr="00322985" w:rsidRDefault="006D57B9" w:rsidP="00804062">
      <w:pPr>
        <w:pStyle w:val="BodyText"/>
        <w:numPr>
          <w:ilvl w:val="0"/>
          <w:numId w:val="29"/>
        </w:numPr>
      </w:pPr>
      <w:r w:rsidRPr="00322985">
        <w:t>Approach</w:t>
      </w:r>
      <w:r w:rsidR="00804062" w:rsidRPr="00322985">
        <w:t>es</w:t>
      </w:r>
      <w:r w:rsidRPr="00322985">
        <w:t xml:space="preserve"> </w:t>
      </w:r>
      <w:r w:rsidR="00804062" w:rsidRPr="00322985">
        <w:t xml:space="preserve">for </w:t>
      </w:r>
      <w:r w:rsidRPr="00322985">
        <w:t>us</w:t>
      </w:r>
      <w:r w:rsidR="00804062" w:rsidRPr="00322985">
        <w:t>ing</w:t>
      </w:r>
      <w:r w:rsidRPr="00322985">
        <w:t xml:space="preserve"> operating experience</w:t>
      </w:r>
      <w:r w:rsidR="005530B7" w:rsidRPr="00322985">
        <w:t xml:space="preserve"> to promote development of </w:t>
      </w:r>
      <w:r w:rsidR="008F4504">
        <w:t xml:space="preserve">a </w:t>
      </w:r>
      <w:r w:rsidR="005530B7" w:rsidRPr="00322985">
        <w:t>learning attitude</w:t>
      </w:r>
    </w:p>
    <w:p w14:paraId="220EF046" w14:textId="0E01EA8C" w:rsidR="006D57B9" w:rsidRPr="00322985" w:rsidRDefault="006D57B9" w:rsidP="005530B7">
      <w:pPr>
        <w:pStyle w:val="Heading2"/>
        <w:jc w:val="both"/>
        <w:rPr>
          <w:rFonts w:eastAsia="MS Mincho"/>
          <w:b w:val="0"/>
          <w:bCs/>
          <w:sz w:val="22"/>
          <w:szCs w:val="22"/>
        </w:rPr>
      </w:pPr>
      <w:r w:rsidRPr="00322985">
        <w:rPr>
          <w:rFonts w:eastAsia="MS Mincho"/>
        </w:rPr>
        <w:t xml:space="preserve">Session 5: Leadership and Safety Culture </w:t>
      </w:r>
      <w:r w:rsidRPr="00322985">
        <w:rPr>
          <w:rFonts w:eastAsia="MS Mincho"/>
          <w:b w:val="0"/>
          <w:bCs/>
          <w:sz w:val="22"/>
          <w:szCs w:val="22"/>
        </w:rPr>
        <w:t>—</w:t>
      </w:r>
      <w:r w:rsidRPr="00322985">
        <w:rPr>
          <w:b w:val="0"/>
          <w:bCs/>
          <w:sz w:val="22"/>
          <w:szCs w:val="22"/>
        </w:rPr>
        <w:t xml:space="preserve"> How </w:t>
      </w:r>
      <w:r w:rsidR="00804062" w:rsidRPr="00322985">
        <w:rPr>
          <w:b w:val="0"/>
          <w:bCs/>
          <w:sz w:val="22"/>
          <w:szCs w:val="22"/>
        </w:rPr>
        <w:t xml:space="preserve">can </w:t>
      </w:r>
      <w:r w:rsidRPr="00322985">
        <w:rPr>
          <w:b w:val="0"/>
          <w:bCs/>
          <w:sz w:val="22"/>
          <w:szCs w:val="22"/>
        </w:rPr>
        <w:t xml:space="preserve">we achieve </w:t>
      </w:r>
      <w:r w:rsidR="00804062" w:rsidRPr="00322985">
        <w:rPr>
          <w:b w:val="0"/>
          <w:bCs/>
          <w:sz w:val="22"/>
          <w:szCs w:val="22"/>
        </w:rPr>
        <w:t xml:space="preserve">a </w:t>
      </w:r>
      <w:r w:rsidRPr="00322985">
        <w:rPr>
          <w:b w:val="0"/>
          <w:bCs/>
          <w:sz w:val="22"/>
          <w:szCs w:val="22"/>
        </w:rPr>
        <w:t>common understanding and appreciation of leadership and safety culture?</w:t>
      </w:r>
    </w:p>
    <w:p w14:paraId="39614D8C" w14:textId="7A8FC4A3" w:rsidR="006D57B9" w:rsidRPr="00322985" w:rsidRDefault="006D57B9" w:rsidP="005530B7">
      <w:pPr>
        <w:pStyle w:val="BodyText"/>
        <w:keepNext/>
        <w:keepLines/>
      </w:pPr>
      <w:r w:rsidRPr="00322985">
        <w:t>This session will cover the following topics:</w:t>
      </w:r>
    </w:p>
    <w:p w14:paraId="7D5DBB8B" w14:textId="77777777" w:rsidR="006D57B9" w:rsidRPr="00322985" w:rsidRDefault="006D57B9" w:rsidP="005530B7">
      <w:pPr>
        <w:pStyle w:val="BodyText"/>
        <w:keepNext/>
        <w:keepLines/>
        <w:numPr>
          <w:ilvl w:val="0"/>
          <w:numId w:val="30"/>
        </w:numPr>
      </w:pPr>
      <w:r w:rsidRPr="00322985">
        <w:t>Recent achievements, developments and enhancements in leadership and safety culture</w:t>
      </w:r>
    </w:p>
    <w:p w14:paraId="64E8CDEC" w14:textId="208996D8" w:rsidR="006D57B9" w:rsidRPr="00322985" w:rsidRDefault="006D57B9" w:rsidP="00804062">
      <w:pPr>
        <w:pStyle w:val="BodyText"/>
        <w:numPr>
          <w:ilvl w:val="0"/>
          <w:numId w:val="30"/>
        </w:numPr>
      </w:pPr>
      <w:r w:rsidRPr="00322985">
        <w:t>Can we agree amongst regulators, operators</w:t>
      </w:r>
      <w:r w:rsidR="00804062" w:rsidRPr="00322985">
        <w:t xml:space="preserve"> and</w:t>
      </w:r>
      <w:r w:rsidRPr="00322985">
        <w:t xml:space="preserve"> international organizations on harmonized definitions of strong safety culture attributes?</w:t>
      </w:r>
    </w:p>
    <w:p w14:paraId="32DB7317" w14:textId="04E980C9" w:rsidR="006D57B9" w:rsidRPr="00322985" w:rsidRDefault="006D57B9" w:rsidP="00804062">
      <w:pPr>
        <w:pStyle w:val="BodyText"/>
        <w:numPr>
          <w:ilvl w:val="0"/>
          <w:numId w:val="30"/>
        </w:numPr>
      </w:pPr>
      <w:r w:rsidRPr="00322985">
        <w:lastRenderedPageBreak/>
        <w:t>Comparison of safety culture assessment methods</w:t>
      </w:r>
      <w:r w:rsidR="00804062" w:rsidRPr="00322985">
        <w:t xml:space="preserve"> —</w:t>
      </w:r>
      <w:r w:rsidRPr="00322985">
        <w:t xml:space="preserve"> Is it possible/necessary to harmonize them or </w:t>
      </w:r>
      <w:r w:rsidR="00804062" w:rsidRPr="00322985">
        <w:t xml:space="preserve">is </w:t>
      </w:r>
      <w:r w:rsidRPr="00322985">
        <w:t>diversity better?</w:t>
      </w:r>
    </w:p>
    <w:p w14:paraId="1837B066" w14:textId="77777777" w:rsidR="006D57B9" w:rsidRPr="00322985" w:rsidRDefault="006D57B9" w:rsidP="00804062">
      <w:pPr>
        <w:pStyle w:val="BodyText"/>
        <w:numPr>
          <w:ilvl w:val="0"/>
          <w:numId w:val="30"/>
        </w:numPr>
      </w:pPr>
      <w:r w:rsidRPr="00322985">
        <w:t>Components of a strong safety culture oversight programme</w:t>
      </w:r>
      <w:r w:rsidR="00804062" w:rsidRPr="00322985">
        <w:t xml:space="preserve"> —</w:t>
      </w:r>
      <w:r w:rsidRPr="00322985">
        <w:t xml:space="preserve"> </w:t>
      </w:r>
      <w:r w:rsidR="00804062" w:rsidRPr="00322985">
        <w:t>T</w:t>
      </w:r>
      <w:r w:rsidRPr="00322985">
        <w:t>he role of the regulator</w:t>
      </w:r>
    </w:p>
    <w:p w14:paraId="27DB08B5" w14:textId="4FE1D908" w:rsidR="006D57B9" w:rsidRPr="00322985" w:rsidRDefault="006D57B9" w:rsidP="00804062">
      <w:pPr>
        <w:pStyle w:val="BodyText"/>
        <w:numPr>
          <w:ilvl w:val="0"/>
          <w:numId w:val="30"/>
        </w:numPr>
      </w:pPr>
      <w:r w:rsidRPr="00322985">
        <w:t>Addressing safety culture in an integrated manner in the OSART</w:t>
      </w:r>
      <w:r w:rsidR="00804062" w:rsidRPr="00322985">
        <w:t xml:space="preserve"> programme</w:t>
      </w:r>
      <w:r w:rsidRPr="00322985">
        <w:t xml:space="preserve"> and </w:t>
      </w:r>
      <w:r w:rsidR="00804062" w:rsidRPr="00322985">
        <w:t xml:space="preserve">in IAEA safety standards relevant to </w:t>
      </w:r>
      <w:r w:rsidRPr="00322985">
        <w:t xml:space="preserve">operational </w:t>
      </w:r>
      <w:r w:rsidR="00804062" w:rsidRPr="00322985">
        <w:t>safety</w:t>
      </w:r>
    </w:p>
    <w:p w14:paraId="20EDCF31" w14:textId="47250A01" w:rsidR="006D57B9" w:rsidRPr="00322985" w:rsidRDefault="006D57B9" w:rsidP="006D57B9">
      <w:pPr>
        <w:pStyle w:val="BodyText"/>
        <w:numPr>
          <w:ilvl w:val="0"/>
          <w:numId w:val="30"/>
        </w:numPr>
      </w:pPr>
      <w:r w:rsidRPr="00322985">
        <w:t>When talking about safety culture assessment, what are we looking for?</w:t>
      </w:r>
    </w:p>
    <w:p w14:paraId="5E3250DB" w14:textId="77777777" w:rsidR="006D57B9" w:rsidRPr="00322985" w:rsidRDefault="006D57B9" w:rsidP="006720EC">
      <w:pPr>
        <w:pStyle w:val="Heading2"/>
        <w:jc w:val="both"/>
        <w:rPr>
          <w:b w:val="0"/>
          <w:bCs/>
          <w:sz w:val="22"/>
          <w:szCs w:val="22"/>
        </w:rPr>
      </w:pPr>
      <w:r w:rsidRPr="00322985">
        <w:rPr>
          <w:rFonts w:eastAsia="MS Mincho"/>
        </w:rPr>
        <w:t>Session 6: Long Term Operation</w:t>
      </w:r>
      <w:r w:rsidR="00804062" w:rsidRPr="00322985">
        <w:rPr>
          <w:rFonts w:eastAsia="MS Mincho"/>
        </w:rPr>
        <w:t xml:space="preserve"> </w:t>
      </w:r>
      <w:r w:rsidRPr="00322985">
        <w:rPr>
          <w:rFonts w:eastAsia="MS Mincho"/>
          <w:b w:val="0"/>
          <w:bCs/>
          <w:sz w:val="22"/>
          <w:szCs w:val="22"/>
        </w:rPr>
        <w:t>—</w:t>
      </w:r>
      <w:r w:rsidRPr="00322985">
        <w:rPr>
          <w:b w:val="0"/>
          <w:bCs/>
          <w:sz w:val="22"/>
          <w:szCs w:val="22"/>
        </w:rPr>
        <w:t xml:space="preserve"> What have we learned from</w:t>
      </w:r>
      <w:r w:rsidR="005530B7" w:rsidRPr="00322985">
        <w:rPr>
          <w:b w:val="0"/>
          <w:bCs/>
          <w:sz w:val="22"/>
          <w:szCs w:val="22"/>
        </w:rPr>
        <w:t xml:space="preserve"> preparation for operation beyond the original design lifetime?</w:t>
      </w:r>
    </w:p>
    <w:p w14:paraId="4B54DB64" w14:textId="36D47CE5" w:rsidR="006D57B9" w:rsidRPr="00322985" w:rsidRDefault="006D57B9" w:rsidP="006720EC">
      <w:pPr>
        <w:pStyle w:val="BodyText"/>
        <w:keepNext/>
        <w:keepLines/>
      </w:pPr>
      <w:r w:rsidRPr="00322985">
        <w:t>This session will cover the following topics:</w:t>
      </w:r>
    </w:p>
    <w:p w14:paraId="11717282" w14:textId="75274BC5" w:rsidR="006D57B9" w:rsidRPr="00322985" w:rsidRDefault="006D57B9" w:rsidP="00905C6B">
      <w:pPr>
        <w:pStyle w:val="BodyText"/>
        <w:keepNext/>
        <w:keepLines/>
        <w:numPr>
          <w:ilvl w:val="0"/>
          <w:numId w:val="31"/>
        </w:numPr>
      </w:pPr>
      <w:r w:rsidRPr="00322985">
        <w:t>Licensing requirements</w:t>
      </w:r>
      <w:r w:rsidR="00804062" w:rsidRPr="00322985">
        <w:t xml:space="preserve"> —</w:t>
      </w:r>
      <w:r w:rsidRPr="00322985">
        <w:t xml:space="preserve"> </w:t>
      </w:r>
      <w:r w:rsidR="00804062" w:rsidRPr="00322985">
        <w:t>A</w:t>
      </w:r>
      <w:r w:rsidRPr="00322985">
        <w:t xml:space="preserve">bility of the NPPs to </w:t>
      </w:r>
      <w:r w:rsidR="00905C6B">
        <w:t>comply with</w:t>
      </w:r>
      <w:r w:rsidR="00905C6B" w:rsidRPr="00322985">
        <w:t xml:space="preserve"> </w:t>
      </w:r>
      <w:r w:rsidR="00804062" w:rsidRPr="00322985">
        <w:t xml:space="preserve">the </w:t>
      </w:r>
      <w:r w:rsidRPr="00322985">
        <w:t>most recent safety standards and safety regulation</w:t>
      </w:r>
      <w:r w:rsidR="00804062" w:rsidRPr="00322985">
        <w:t>s</w:t>
      </w:r>
    </w:p>
    <w:p w14:paraId="48429D46" w14:textId="65D2F290" w:rsidR="006D57B9" w:rsidRPr="00322985" w:rsidRDefault="006D57B9" w:rsidP="00804062">
      <w:pPr>
        <w:pStyle w:val="BodyText"/>
        <w:numPr>
          <w:ilvl w:val="0"/>
          <w:numId w:val="31"/>
        </w:numPr>
      </w:pPr>
      <w:r w:rsidRPr="00322985">
        <w:t xml:space="preserve">Scoping and screening of </w:t>
      </w:r>
      <w:r w:rsidR="00804062" w:rsidRPr="00322985">
        <w:t xml:space="preserve">structures, </w:t>
      </w:r>
      <w:r w:rsidRPr="00322985">
        <w:t>systems</w:t>
      </w:r>
      <w:r w:rsidR="00804062" w:rsidRPr="00322985">
        <w:t xml:space="preserve"> and</w:t>
      </w:r>
      <w:r w:rsidRPr="00322985">
        <w:t xml:space="preserve"> components important to safety for LTO</w:t>
      </w:r>
    </w:p>
    <w:p w14:paraId="75EE9188" w14:textId="224EE756" w:rsidR="006D57B9" w:rsidRPr="00322985" w:rsidRDefault="006D57B9" w:rsidP="00804062">
      <w:pPr>
        <w:pStyle w:val="BodyText"/>
        <w:numPr>
          <w:ilvl w:val="0"/>
          <w:numId w:val="31"/>
        </w:numPr>
      </w:pPr>
      <w:r w:rsidRPr="00322985">
        <w:t>Ageing management review and improvement of ageing management programmes</w:t>
      </w:r>
    </w:p>
    <w:p w14:paraId="5C51F37C" w14:textId="480D9AE5" w:rsidR="006D57B9" w:rsidRPr="00322985" w:rsidRDefault="006D57B9" w:rsidP="00804062">
      <w:pPr>
        <w:pStyle w:val="BodyText"/>
        <w:numPr>
          <w:ilvl w:val="0"/>
          <w:numId w:val="31"/>
        </w:numPr>
      </w:pPr>
      <w:r w:rsidRPr="00322985">
        <w:t>Revalidation of time-limited ageing analyses</w:t>
      </w:r>
    </w:p>
    <w:p w14:paraId="517570C1" w14:textId="77777777" w:rsidR="006D57B9" w:rsidRPr="00322985" w:rsidRDefault="006D57B9" w:rsidP="00804062">
      <w:pPr>
        <w:pStyle w:val="BodyText"/>
        <w:numPr>
          <w:ilvl w:val="0"/>
          <w:numId w:val="31"/>
        </w:numPr>
      </w:pPr>
      <w:r w:rsidRPr="00322985">
        <w:t xml:space="preserve">Use of </w:t>
      </w:r>
      <w:r w:rsidR="00804062" w:rsidRPr="00322985">
        <w:t>p</w:t>
      </w:r>
      <w:r w:rsidRPr="00322985">
        <w:t xml:space="preserve">eriodic </w:t>
      </w:r>
      <w:r w:rsidR="00804062" w:rsidRPr="00322985">
        <w:t>s</w:t>
      </w:r>
      <w:r w:rsidRPr="00322985">
        <w:t xml:space="preserve">afety </w:t>
      </w:r>
      <w:r w:rsidR="00804062" w:rsidRPr="00322985">
        <w:t>r</w:t>
      </w:r>
      <w:r w:rsidRPr="00322985">
        <w:t>eview to manage conceptual obsolescence</w:t>
      </w:r>
    </w:p>
    <w:p w14:paraId="21738A8F" w14:textId="77777777" w:rsidR="006D57B9" w:rsidRPr="00322985" w:rsidRDefault="006D57B9" w:rsidP="00804062">
      <w:pPr>
        <w:pStyle w:val="BodyText"/>
        <w:numPr>
          <w:ilvl w:val="0"/>
          <w:numId w:val="31"/>
        </w:numPr>
      </w:pPr>
      <w:r w:rsidRPr="00322985">
        <w:t>Technological obsolescence management</w:t>
      </w:r>
    </w:p>
    <w:p w14:paraId="3724F9CA" w14:textId="589352AC" w:rsidR="007A12C6" w:rsidRDefault="006D57B9" w:rsidP="006D57B9">
      <w:pPr>
        <w:pStyle w:val="BodyText"/>
        <w:numPr>
          <w:ilvl w:val="0"/>
          <w:numId w:val="31"/>
        </w:numPr>
      </w:pPr>
      <w:r w:rsidRPr="00322985">
        <w:t xml:space="preserve">IAEA safety standards and </w:t>
      </w:r>
      <w:r w:rsidR="006B34CB" w:rsidRPr="00322985">
        <w:t xml:space="preserve">the </w:t>
      </w:r>
      <w:r w:rsidRPr="00322985">
        <w:t>SALTO peer review service and its results</w:t>
      </w:r>
    </w:p>
    <w:p w14:paraId="4EF6B73C" w14:textId="208F9220" w:rsidR="006D57B9" w:rsidRPr="00322985" w:rsidRDefault="006D57B9" w:rsidP="006D57B9">
      <w:pPr>
        <w:pStyle w:val="BodyText"/>
        <w:numPr>
          <w:ilvl w:val="0"/>
          <w:numId w:val="31"/>
        </w:numPr>
      </w:pPr>
      <w:r w:rsidRPr="00322985">
        <w:t xml:space="preserve">Is NPP life beyond </w:t>
      </w:r>
      <w:r w:rsidR="006B34CB" w:rsidRPr="00322985">
        <w:t xml:space="preserve">the </w:t>
      </w:r>
      <w:r w:rsidRPr="00322985">
        <w:t>60s’</w:t>
      </w:r>
      <w:r w:rsidR="006B34CB" w:rsidRPr="00322985">
        <w:t xml:space="preserve"> </w:t>
      </w:r>
      <w:r w:rsidRPr="00322985">
        <w:t>possible? What are the limiting factors for plant life extension?</w:t>
      </w:r>
    </w:p>
    <w:p w14:paraId="12410D63" w14:textId="77777777" w:rsidR="006D57B9" w:rsidRPr="00322985" w:rsidRDefault="006D57B9" w:rsidP="006D57B9">
      <w:pPr>
        <w:pStyle w:val="Heading2"/>
        <w:rPr>
          <w:rFonts w:eastAsia="MS Mincho"/>
        </w:rPr>
      </w:pPr>
      <w:r w:rsidRPr="00322985">
        <w:rPr>
          <w:rFonts w:eastAsia="MS Mincho"/>
        </w:rPr>
        <w:t>Closing Plenary Session</w:t>
      </w:r>
    </w:p>
    <w:p w14:paraId="1184B045" w14:textId="47204B42" w:rsidR="00897F1A" w:rsidRPr="00322985" w:rsidRDefault="006D57B9" w:rsidP="006B34CB">
      <w:pPr>
        <w:pStyle w:val="BodyText"/>
      </w:pPr>
      <w:r w:rsidRPr="00322985">
        <w:t xml:space="preserve">The closing session will include short presentations on the outcomes of all </w:t>
      </w:r>
      <w:r w:rsidR="006B34CB" w:rsidRPr="00322985">
        <w:t xml:space="preserve">topic-specific </w:t>
      </w:r>
      <w:r w:rsidRPr="00322985">
        <w:t xml:space="preserve">sessions. The Chairperson and the individual session chairs will participate in a panel discussion on key issues related to NPP </w:t>
      </w:r>
      <w:r w:rsidR="006B34CB" w:rsidRPr="00322985">
        <w:t>o</w:t>
      </w:r>
      <w:r w:rsidRPr="00322985">
        <w:t xml:space="preserve">perational </w:t>
      </w:r>
      <w:r w:rsidR="006B34CB" w:rsidRPr="00322985">
        <w:t>s</w:t>
      </w:r>
      <w:r w:rsidRPr="00322985">
        <w:t xml:space="preserve">afety to conclude the </w:t>
      </w:r>
      <w:r w:rsidR="006B34CB" w:rsidRPr="00322985">
        <w:t>c</w:t>
      </w:r>
      <w:r w:rsidRPr="00322985">
        <w:t>onference.</w:t>
      </w:r>
    </w:p>
    <w:p w14:paraId="1B542161" w14:textId="3375488A" w:rsidR="00CA5882" w:rsidRPr="00322985" w:rsidRDefault="006D57B9" w:rsidP="008F4504">
      <w:pPr>
        <w:pStyle w:val="Heading1"/>
      </w:pPr>
      <w:r w:rsidRPr="00322985">
        <w:t xml:space="preserve">Contributed Papers and </w:t>
      </w:r>
      <w:r w:rsidR="007A12C6">
        <w:t>Poster</w:t>
      </w:r>
      <w:r w:rsidR="007A12C6" w:rsidRPr="00322985">
        <w:t xml:space="preserve"> </w:t>
      </w:r>
      <w:r w:rsidRPr="00322985">
        <w:t>Presentations</w:t>
      </w:r>
    </w:p>
    <w:p w14:paraId="74899CF3" w14:textId="356C95F9" w:rsidR="006D57B9" w:rsidRPr="00322985" w:rsidRDefault="006D57B9" w:rsidP="006B34CB">
      <w:pPr>
        <w:pStyle w:val="BodyText"/>
      </w:pPr>
      <w:r w:rsidRPr="00322985">
        <w:t>Concise papers on issues falling within the topics outlined in Section</w:t>
      </w:r>
      <w:r w:rsidR="007C12D0" w:rsidRPr="00322985">
        <w:t> </w:t>
      </w:r>
      <w:r w:rsidR="00C623B3">
        <w:t>C</w:t>
      </w:r>
      <w:r w:rsidRPr="00322985">
        <w:t xml:space="preserve"> above may be submitted as contributions to the conference. All papers, apart from invited papers, must present original work and should not have been published elsewhere.</w:t>
      </w:r>
    </w:p>
    <w:p w14:paraId="2EFE378D" w14:textId="77777777" w:rsidR="006D57B9" w:rsidRPr="00322985" w:rsidRDefault="006D57B9" w:rsidP="006B34CB">
      <w:pPr>
        <w:pStyle w:val="Heading2"/>
      </w:pPr>
      <w:r w:rsidRPr="00322985">
        <w:lastRenderedPageBreak/>
        <w:t>D.1</w:t>
      </w:r>
      <w:r w:rsidRPr="00322985">
        <w:tab/>
        <w:t xml:space="preserve">Submission of </w:t>
      </w:r>
      <w:r w:rsidR="006B34CB" w:rsidRPr="00322985">
        <w:t>A</w:t>
      </w:r>
      <w:r w:rsidRPr="00322985">
        <w:t>bstracts</w:t>
      </w:r>
    </w:p>
    <w:p w14:paraId="4E007EB0" w14:textId="21C24202" w:rsidR="006D57B9" w:rsidRPr="00322985" w:rsidRDefault="006D57B9" w:rsidP="006B34CB">
      <w:pPr>
        <w:pStyle w:val="BodyText"/>
      </w:pPr>
      <w:r w:rsidRPr="00322985">
        <w:t xml:space="preserve">Persons who wish to present a paper at the </w:t>
      </w:r>
      <w:r w:rsidR="006B34CB" w:rsidRPr="00322985">
        <w:t xml:space="preserve">conference </w:t>
      </w:r>
      <w:r w:rsidRPr="00322985">
        <w:t xml:space="preserve">— either orally or in the form of </w:t>
      </w:r>
      <w:r w:rsidR="007A12C6">
        <w:t>a poster</w:t>
      </w:r>
      <w:r w:rsidRPr="00322985">
        <w:t xml:space="preserve"> — must </w:t>
      </w:r>
      <w:r w:rsidR="006B34CB" w:rsidRPr="00322985">
        <w:t xml:space="preserve">first </w:t>
      </w:r>
      <w:r w:rsidRPr="00322985">
        <w:t>submit an abstract of not more than 300 words. The abstract should give enough information on the contents of the proposed paper to enable the Programme Committee to evaluate it. Authors should state to which of the topics outlined in Section</w:t>
      </w:r>
      <w:r w:rsidR="00C623B3">
        <w:t> C t</w:t>
      </w:r>
      <w:r w:rsidRPr="00322985">
        <w:t>heir contribution relates.</w:t>
      </w:r>
    </w:p>
    <w:p w14:paraId="04090E8B" w14:textId="13342D16" w:rsidR="006D57B9" w:rsidRPr="00322985" w:rsidRDefault="006D57B9" w:rsidP="00905C6B">
      <w:pPr>
        <w:pStyle w:val="BodyText"/>
      </w:pPr>
      <w:r w:rsidRPr="00322985">
        <w:t>Authors are urged to make use of the sample abstract available from the conference web page (see Section </w:t>
      </w:r>
      <w:r w:rsidR="00C623B3">
        <w:t>M</w:t>
      </w:r>
      <w:r w:rsidRPr="00322985">
        <w:t>).</w:t>
      </w:r>
    </w:p>
    <w:p w14:paraId="6A7F8D7C" w14:textId="7F92C3CB" w:rsidR="006D57B9" w:rsidRPr="00322985" w:rsidRDefault="006D57B9" w:rsidP="008D6F04">
      <w:pPr>
        <w:spacing w:after="170" w:line="280" w:lineRule="atLeast"/>
        <w:jc w:val="both"/>
      </w:pPr>
      <w:r w:rsidRPr="00322985">
        <w:t>The abstracts should be submitted together with a completed Participation Form (Form A) and Form for Submission of a Paper (Form B) to the competent official authority (see Section </w:t>
      </w:r>
      <w:r w:rsidR="00C623B3">
        <w:t>E</w:t>
      </w:r>
      <w:r w:rsidRPr="00322985">
        <w:t>) for subsequent electronic transmission to the IAEA (</w:t>
      </w:r>
      <w:hyperlink r:id="rId10" w:history="1">
        <w:r w:rsidR="006B34CB" w:rsidRPr="00322985">
          <w:rPr>
            <w:rStyle w:val="Hyperlink"/>
          </w:rPr>
          <w:t>Official.Mail@iaea.org</w:t>
        </w:r>
      </w:hyperlink>
      <w:r w:rsidRPr="00322985">
        <w:t xml:space="preserve">), to be received by the IAEA by </w:t>
      </w:r>
      <w:r w:rsidRPr="00322985">
        <w:rPr>
          <w:b/>
          <w:bCs/>
        </w:rPr>
        <w:t>15 December 2014</w:t>
      </w:r>
      <w:r w:rsidRPr="00322985">
        <w:t>. In addition, the abstracts must be sent electronically to</w:t>
      </w:r>
      <w:proofErr w:type="gramStart"/>
      <w:r w:rsidRPr="00322985">
        <w:t>:</w:t>
      </w:r>
      <w:proofErr w:type="gramEnd"/>
      <w:r w:rsidR="00905C6B">
        <w:rPr>
          <w:rStyle w:val="Hyperlink"/>
        </w:rPr>
        <w:br/>
      </w:r>
      <w:hyperlink r:id="rId11" w:history="1">
        <w:r w:rsidR="006B59F8" w:rsidRPr="006B59F8">
          <w:rPr>
            <w:rStyle w:val="Hyperlink"/>
          </w:rPr>
          <w:t>Operational-Safety-2015.Contact-Point@iaea.org</w:t>
        </w:r>
      </w:hyperlink>
      <w:r w:rsidRPr="00322985">
        <w:t>. Introductory and general matters should not be included.</w:t>
      </w:r>
    </w:p>
    <w:p w14:paraId="3EFDE49B" w14:textId="77777777" w:rsidR="006D57B9" w:rsidRPr="00322985" w:rsidRDefault="006D57B9" w:rsidP="006B34CB">
      <w:pPr>
        <w:pStyle w:val="Heading2"/>
      </w:pPr>
      <w:r w:rsidRPr="00322985">
        <w:t>D.2</w:t>
      </w:r>
      <w:r w:rsidRPr="00322985">
        <w:tab/>
        <w:t xml:space="preserve">Acceptance of </w:t>
      </w:r>
      <w:r w:rsidR="00051557" w:rsidRPr="00322985">
        <w:t>Abstracts for Oral and Poster Presentation</w:t>
      </w:r>
    </w:p>
    <w:p w14:paraId="20EC6A6F" w14:textId="77777777" w:rsidR="006D57B9" w:rsidRPr="00322985" w:rsidRDefault="006D57B9" w:rsidP="006D57B9">
      <w:pPr>
        <w:pStyle w:val="BodyText"/>
      </w:pPr>
      <w:r w:rsidRPr="00322985">
        <w:t>The abstract will be considered only if the Participation Form (Form A) and Form for Submission of a Paper (Form B) have been received by the above-mentioned deadline and through the established official channels.</w:t>
      </w:r>
    </w:p>
    <w:p w14:paraId="745AF363" w14:textId="034C06C7" w:rsidR="006D57B9" w:rsidRPr="00322985" w:rsidRDefault="006D57B9" w:rsidP="008F4504">
      <w:pPr>
        <w:pStyle w:val="BodyText"/>
      </w:pPr>
      <w:r w:rsidRPr="00322985">
        <w:t xml:space="preserve">A limited number of abstracts will be selected for submission of a full paper and, consequently, for either oral or </w:t>
      </w:r>
      <w:r w:rsidR="00051557" w:rsidRPr="00322985">
        <w:t xml:space="preserve">poster </w:t>
      </w:r>
      <w:r w:rsidRPr="00322985">
        <w:t>presentation.</w:t>
      </w:r>
    </w:p>
    <w:p w14:paraId="7B2BA394" w14:textId="4342A654" w:rsidR="006D57B9" w:rsidRPr="00322985" w:rsidRDefault="006D57B9" w:rsidP="006D57B9">
      <w:pPr>
        <w:pStyle w:val="BodyText"/>
      </w:pPr>
      <w:r w:rsidRPr="00322985">
        <w:t xml:space="preserve">Authors will be notified by </w:t>
      </w:r>
      <w:r w:rsidRPr="00322985">
        <w:rPr>
          <w:b/>
          <w:bCs/>
        </w:rPr>
        <w:t>27 February 2015</w:t>
      </w:r>
      <w:r w:rsidRPr="00322985">
        <w:t xml:space="preserve"> as to whether their abstracts have been accepted and, if so, whether the full papers should be delivered as oral or </w:t>
      </w:r>
      <w:r w:rsidR="00051557" w:rsidRPr="00322985">
        <w:t xml:space="preserve">poster </w:t>
      </w:r>
      <w:r w:rsidRPr="00322985">
        <w:t>presentations.</w:t>
      </w:r>
    </w:p>
    <w:p w14:paraId="542F5EBF" w14:textId="3C6E2CEC" w:rsidR="006D57B9" w:rsidRPr="00322985" w:rsidRDefault="006D57B9" w:rsidP="00905C6B">
      <w:pPr>
        <w:pStyle w:val="BodyText"/>
      </w:pPr>
      <w:r w:rsidRPr="00322985">
        <w:t>Authors will be asked to provide their full length paper (</w:t>
      </w:r>
      <w:r w:rsidR="00905C6B">
        <w:rPr>
          <w:b/>
          <w:bCs/>
        </w:rPr>
        <w:t>max.</w:t>
      </w:r>
      <w:r w:rsidRPr="00322985">
        <w:rPr>
          <w:b/>
          <w:bCs/>
        </w:rPr>
        <w:t xml:space="preserve"> 4 pages</w:t>
      </w:r>
      <w:r w:rsidRPr="00322985">
        <w:t xml:space="preserve">) by </w:t>
      </w:r>
      <w:r w:rsidRPr="00322985">
        <w:rPr>
          <w:b/>
          <w:bCs/>
        </w:rPr>
        <w:t>30 March 2015</w:t>
      </w:r>
      <w:r w:rsidRPr="00322985">
        <w:t>. Guidelines and a template for the preparation and submission of full papers will be made available at the conference web page</w:t>
      </w:r>
      <w:r w:rsidR="006B34CB" w:rsidRPr="00322985">
        <w:t xml:space="preserve"> (see Section </w:t>
      </w:r>
      <w:r w:rsidR="00C623B3">
        <w:t>M</w:t>
      </w:r>
      <w:r w:rsidR="006B34CB" w:rsidRPr="00322985">
        <w:t>)</w:t>
      </w:r>
      <w:r w:rsidRPr="00322985">
        <w:t>.</w:t>
      </w:r>
    </w:p>
    <w:p w14:paraId="3852BA80" w14:textId="59B90F88" w:rsidR="006D57B9" w:rsidRPr="00322985" w:rsidRDefault="006D57B9" w:rsidP="006B34CB">
      <w:pPr>
        <w:pStyle w:val="BodyText"/>
      </w:pPr>
      <w:r w:rsidRPr="00322985">
        <w:t>The papers that have been accepted by the Programme Committee will be reproduced unedited in the electronic</w:t>
      </w:r>
      <w:r w:rsidR="005B6836" w:rsidRPr="00322985">
        <w:t xml:space="preserve"> Compilation</w:t>
      </w:r>
      <w:r w:rsidRPr="00322985">
        <w:t xml:space="preserve"> of Contributed Papers </w:t>
      </w:r>
      <w:r w:rsidR="006B34CB" w:rsidRPr="00322985">
        <w:t xml:space="preserve">that </w:t>
      </w:r>
      <w:r w:rsidRPr="00322985">
        <w:t>will be distributed to all participants at the conference.</w:t>
      </w:r>
    </w:p>
    <w:p w14:paraId="58C996AB" w14:textId="123F5649" w:rsidR="006D57B9" w:rsidRPr="00322985" w:rsidRDefault="006D57B9" w:rsidP="006B34CB">
      <w:pPr>
        <w:pStyle w:val="BodyText"/>
      </w:pPr>
      <w:r w:rsidRPr="00322985">
        <w:t xml:space="preserve">The Secretariat reserves the right to exclude papers that do not comply with its quality standards and/or that do not apply to one of the topics outlined in Section </w:t>
      </w:r>
      <w:r w:rsidR="00C623B3">
        <w:t xml:space="preserve">C </w:t>
      </w:r>
      <w:r w:rsidRPr="00322985">
        <w:t>above.</w:t>
      </w:r>
    </w:p>
    <w:p w14:paraId="6E392149" w14:textId="77777777" w:rsidR="006D57B9" w:rsidRPr="00322985" w:rsidRDefault="006D57B9" w:rsidP="006D57B9">
      <w:pPr>
        <w:pStyle w:val="Heading2"/>
      </w:pPr>
      <w:r w:rsidRPr="00322985">
        <w:t>D.3</w:t>
      </w:r>
      <w:r w:rsidRPr="00322985">
        <w:tab/>
        <w:t>Proceedings</w:t>
      </w:r>
    </w:p>
    <w:p w14:paraId="50449A92" w14:textId="159A9650" w:rsidR="00CA5882" w:rsidRPr="00322985" w:rsidRDefault="006D57B9" w:rsidP="006D57B9">
      <w:pPr>
        <w:pStyle w:val="BodyText"/>
      </w:pPr>
      <w:r w:rsidRPr="00322985">
        <w:t>The proceedings</w:t>
      </w:r>
      <w:bookmarkStart w:id="1" w:name="_Ref388282111"/>
      <w:r w:rsidRPr="00322985">
        <w:t xml:space="preserve"> of the confe</w:t>
      </w:r>
      <w:bookmarkEnd w:id="1"/>
      <w:r w:rsidRPr="00322985">
        <w:t>rence will be published by the IAEA and made available on its website as soon as possible after the conference.</w:t>
      </w:r>
    </w:p>
    <w:p w14:paraId="52E45B4E" w14:textId="77777777" w:rsidR="00750DF0" w:rsidRPr="00322985" w:rsidRDefault="006D57B9" w:rsidP="008F4504">
      <w:pPr>
        <w:pStyle w:val="Heading1"/>
      </w:pPr>
      <w:r w:rsidRPr="00322985">
        <w:lastRenderedPageBreak/>
        <w:t>Participation</w:t>
      </w:r>
    </w:p>
    <w:p w14:paraId="74BD7492" w14:textId="5BC39DE2" w:rsidR="006D57B9" w:rsidRPr="00322985" w:rsidRDefault="006D57B9" w:rsidP="006B34CB">
      <w:pPr>
        <w:pStyle w:val="BodyText"/>
      </w:pPr>
      <w:r w:rsidRPr="00322985">
        <w:t>The conference is directed at a broad range of experts in the area of safe nuclear operations, including professionals from the different disciplines involved in the operation</w:t>
      </w:r>
      <w:r w:rsidR="006B34CB" w:rsidRPr="00322985">
        <w:t>al</w:t>
      </w:r>
      <w:r w:rsidRPr="00322985">
        <w:t xml:space="preserve"> safety of </w:t>
      </w:r>
      <w:r w:rsidR="006B34CB" w:rsidRPr="00322985">
        <w:t>NPPs</w:t>
      </w:r>
      <w:r w:rsidRPr="00322985">
        <w:t xml:space="preserve">. It is aimed at both licensees and governmental officials, including persons from </w:t>
      </w:r>
      <w:r w:rsidR="007C12D0" w:rsidRPr="00322985">
        <w:t xml:space="preserve">nuclear utilities, </w:t>
      </w:r>
      <w:r w:rsidRPr="00322985">
        <w:t>regulatory bodies, the industry and academ</w:t>
      </w:r>
      <w:r w:rsidR="006B34CB" w:rsidRPr="00322985">
        <w:t>ia</w:t>
      </w:r>
      <w:r w:rsidRPr="00322985">
        <w:t xml:space="preserve"> as well as senior policymakers.</w:t>
      </w:r>
    </w:p>
    <w:p w14:paraId="232DF309" w14:textId="22DDD69C" w:rsidR="006D57B9" w:rsidRPr="00322985" w:rsidRDefault="006D57B9" w:rsidP="006D57B9">
      <w:pPr>
        <w:pStyle w:val="BodyText"/>
      </w:pPr>
      <w:r w:rsidRPr="00322985">
        <w:t xml:space="preserve">All persons wishing to participate in the conference are requested to </w:t>
      </w:r>
      <w:r w:rsidRPr="00322985">
        <w:rPr>
          <w:b/>
          <w:bCs/>
        </w:rPr>
        <w:t xml:space="preserve">register online in advance </w:t>
      </w:r>
      <w:r w:rsidRPr="00322985">
        <w:rPr>
          <w:bCs/>
        </w:rPr>
        <w:t>through the conference web page (see Section </w:t>
      </w:r>
      <w:r w:rsidR="00C623B3">
        <w:rPr>
          <w:bCs/>
        </w:rPr>
        <w:t>M</w:t>
      </w:r>
      <w:r w:rsidRPr="00322985">
        <w:rPr>
          <w:bCs/>
        </w:rPr>
        <w:t>)</w:t>
      </w:r>
      <w:r w:rsidRPr="00322985">
        <w:t>. In addition, they are required to send a completed Participation Form (Form A) and, if applicable, the Form for Submission of a Paper (Form B) and the Grant Application Form (Form C) to their competent national authority (e.g. Ministry of Foreign Affairs or National Atomic Energy Authority), or to one of the organizations invited to participate, for subsequent electronic transmission to the IAEA (</w:t>
      </w:r>
      <w:hyperlink r:id="rId12" w:history="1">
        <w:r w:rsidR="006B34CB" w:rsidRPr="00322985">
          <w:rPr>
            <w:rStyle w:val="Hyperlink"/>
          </w:rPr>
          <w:t>Official.Mail@iaea.org</w:t>
        </w:r>
      </w:hyperlink>
      <w:r w:rsidRPr="00322985">
        <w:t>).</w:t>
      </w:r>
    </w:p>
    <w:p w14:paraId="34D16C9F" w14:textId="77777777" w:rsidR="006D57B9" w:rsidRPr="00322985" w:rsidRDefault="006D57B9" w:rsidP="006D57B9">
      <w:pPr>
        <w:pStyle w:val="BodyText"/>
      </w:pPr>
      <w:r w:rsidRPr="00322985">
        <w:t>A participant will be accepted only if the Participation Form is transmitted through the competent national authority of a Member State of the IAEA or by an organization invited to participate.</w:t>
      </w:r>
    </w:p>
    <w:p w14:paraId="259EF31F" w14:textId="337ED8F8" w:rsidR="005B6E72" w:rsidRPr="00322985" w:rsidRDefault="006D57B9" w:rsidP="006D57B9">
      <w:pPr>
        <w:pStyle w:val="BodyText"/>
        <w:widowControl w:val="0"/>
        <w:overflowPunct w:val="0"/>
        <w:autoSpaceDE w:val="0"/>
        <w:autoSpaceDN w:val="0"/>
        <w:adjustRightInd w:val="0"/>
        <w:textAlignment w:val="baseline"/>
      </w:pPr>
      <w:r w:rsidRPr="00322985">
        <w:t>Participants whose official designations have been received by the IAEA will receive from the IAEA further information approximately three months before the opening of the conference. This information will also be posted on the conference web page (see Section </w:t>
      </w:r>
      <w:r w:rsidR="00C623B3">
        <w:t>M</w:t>
      </w:r>
      <w:r w:rsidRPr="00322985">
        <w:t>).</w:t>
      </w:r>
    </w:p>
    <w:p w14:paraId="6E70901C" w14:textId="77777777" w:rsidR="00750DF0" w:rsidRPr="00322985" w:rsidRDefault="006D57B9" w:rsidP="008F4504">
      <w:pPr>
        <w:pStyle w:val="Heading1"/>
      </w:pPr>
      <w:r w:rsidRPr="00322985">
        <w:t>Expenditures</w:t>
      </w:r>
    </w:p>
    <w:p w14:paraId="6F5569A5" w14:textId="77777777" w:rsidR="006D57B9" w:rsidRPr="00322985" w:rsidRDefault="006D57B9" w:rsidP="006D57B9">
      <w:pPr>
        <w:pStyle w:val="BodyText"/>
      </w:pPr>
      <w:r w:rsidRPr="00322985">
        <w:t>No registration fee is charged to participants.</w:t>
      </w:r>
    </w:p>
    <w:p w14:paraId="19426889" w14:textId="22D5C91D" w:rsidR="006D57B9" w:rsidRPr="00322985" w:rsidRDefault="006D57B9" w:rsidP="006B34CB">
      <w:pPr>
        <w:pStyle w:val="BodyText"/>
        <w:rPr>
          <w:szCs w:val="22"/>
        </w:rPr>
      </w:pPr>
      <w:r w:rsidRPr="00322985">
        <w:rPr>
          <w:szCs w:val="22"/>
        </w:rPr>
        <w:t xml:space="preserve">The IAEA is generally not in a position to bear the travel and other costs of participants in the conference. The IAEA has, however, limited funds at its disposal to help </w:t>
      </w:r>
      <w:r w:rsidR="006B34CB" w:rsidRPr="00322985">
        <w:rPr>
          <w:szCs w:val="22"/>
        </w:rPr>
        <w:t xml:space="preserve">meet </w:t>
      </w:r>
      <w:r w:rsidRPr="00322985">
        <w:rPr>
          <w:szCs w:val="22"/>
        </w:rPr>
        <w:t xml:space="preserve">the cost of attendance of </w:t>
      </w:r>
      <w:r w:rsidR="006B34CB" w:rsidRPr="00322985">
        <w:rPr>
          <w:szCs w:val="22"/>
        </w:rPr>
        <w:t xml:space="preserve">certain </w:t>
      </w:r>
      <w:r w:rsidRPr="00322985">
        <w:rPr>
          <w:szCs w:val="22"/>
        </w:rPr>
        <w:t>participants. Such assistance may be offered upon specific request to normally one participant per country provided that, in the IAEA’s view, the participant on whose behalf assistance is requested will make an important contribution to the conference.</w:t>
      </w:r>
    </w:p>
    <w:p w14:paraId="23B11A7A" w14:textId="7E912790" w:rsidR="006D57B9" w:rsidRPr="00322985" w:rsidRDefault="006D57B9" w:rsidP="006B34CB">
      <w:pPr>
        <w:pStyle w:val="BodyText"/>
        <w:rPr>
          <w:szCs w:val="22"/>
        </w:rPr>
      </w:pPr>
      <w:r w:rsidRPr="00322985">
        <w:rPr>
          <w:szCs w:val="22"/>
        </w:rPr>
        <w:t xml:space="preserve">If </w:t>
      </w:r>
      <w:r w:rsidR="006B34CB" w:rsidRPr="00322985">
        <w:rPr>
          <w:szCs w:val="22"/>
        </w:rPr>
        <w:t>G</w:t>
      </w:r>
      <w:r w:rsidRPr="00322985">
        <w:rPr>
          <w:szCs w:val="22"/>
        </w:rPr>
        <w:t>overnments wish to apply for a grant on behalf of one of their specialists, they should address specific requests to the IAEA to this effect. Governments should ensure that applications for grants are:</w:t>
      </w:r>
    </w:p>
    <w:p w14:paraId="73BDAE52" w14:textId="77777777" w:rsidR="006D57B9" w:rsidRPr="00322985" w:rsidRDefault="006D57B9" w:rsidP="006D57B9">
      <w:pPr>
        <w:pStyle w:val="BodyText"/>
        <w:ind w:left="567"/>
        <w:rPr>
          <w:szCs w:val="22"/>
        </w:rPr>
      </w:pPr>
      <w:r w:rsidRPr="00322985">
        <w:rPr>
          <w:szCs w:val="22"/>
        </w:rPr>
        <w:t>1.</w:t>
      </w:r>
      <w:r w:rsidRPr="00322985">
        <w:rPr>
          <w:szCs w:val="22"/>
        </w:rPr>
        <w:tab/>
        <w:t>Submitted by</w:t>
      </w:r>
      <w:r w:rsidRPr="00322985">
        <w:rPr>
          <w:b/>
          <w:szCs w:val="22"/>
        </w:rPr>
        <w:t xml:space="preserve"> 15 December 2014</w:t>
      </w:r>
      <w:r w:rsidRPr="00322985">
        <w:rPr>
          <w:szCs w:val="22"/>
        </w:rPr>
        <w:t>;</w:t>
      </w:r>
    </w:p>
    <w:p w14:paraId="7281A2AF" w14:textId="77777777" w:rsidR="006D57B9" w:rsidRPr="00322985" w:rsidRDefault="006D57B9" w:rsidP="006D57B9">
      <w:pPr>
        <w:pStyle w:val="BodyText"/>
        <w:ind w:left="567"/>
        <w:rPr>
          <w:szCs w:val="22"/>
        </w:rPr>
      </w:pPr>
      <w:r w:rsidRPr="00322985">
        <w:rPr>
          <w:szCs w:val="22"/>
        </w:rPr>
        <w:t>2.</w:t>
      </w:r>
      <w:r w:rsidRPr="00322985">
        <w:rPr>
          <w:szCs w:val="22"/>
        </w:rPr>
        <w:tab/>
        <w:t>Accompanied by a completed and signed Grant Application Form (Form C); and</w:t>
      </w:r>
    </w:p>
    <w:p w14:paraId="724B1A84" w14:textId="77777777" w:rsidR="006D57B9" w:rsidRPr="00322985" w:rsidRDefault="006D57B9" w:rsidP="006D57B9">
      <w:pPr>
        <w:pStyle w:val="BodyText"/>
        <w:ind w:left="567"/>
        <w:rPr>
          <w:szCs w:val="22"/>
        </w:rPr>
      </w:pPr>
      <w:r w:rsidRPr="00322985">
        <w:rPr>
          <w:szCs w:val="22"/>
        </w:rPr>
        <w:t>3.</w:t>
      </w:r>
      <w:r w:rsidRPr="00322985">
        <w:rPr>
          <w:szCs w:val="22"/>
        </w:rPr>
        <w:tab/>
        <w:t>Accompanied by a completed Participation Form (Form A).</w:t>
      </w:r>
    </w:p>
    <w:p w14:paraId="6837EEA2" w14:textId="699E1939" w:rsidR="006D57B9" w:rsidRPr="00322985" w:rsidRDefault="006D57B9" w:rsidP="006D57B9">
      <w:pPr>
        <w:pStyle w:val="BodyText"/>
      </w:pPr>
      <w:r w:rsidRPr="00322985">
        <w:t>Applications that do not comply with the above conditions cannot be considered.</w:t>
      </w:r>
    </w:p>
    <w:p w14:paraId="52EC5FC8" w14:textId="28ABB95D" w:rsidR="00BF68CA" w:rsidRPr="00322985" w:rsidRDefault="006D57B9" w:rsidP="006D57B9">
      <w:pPr>
        <w:pStyle w:val="BodyText"/>
      </w:pPr>
      <w:r w:rsidRPr="00322985">
        <w:t xml:space="preserve">Approved grants will be issued in the form of a lump sum payment that usually </w:t>
      </w:r>
      <w:r w:rsidRPr="00322985">
        <w:rPr>
          <w:b/>
        </w:rPr>
        <w:t>covers only part of the cost of attendance</w:t>
      </w:r>
      <w:r w:rsidRPr="00322985">
        <w:t>.</w:t>
      </w:r>
    </w:p>
    <w:p w14:paraId="6DE346CB" w14:textId="77777777" w:rsidR="00750DF0" w:rsidRPr="00322985" w:rsidRDefault="006D57B9" w:rsidP="008F4504">
      <w:pPr>
        <w:pStyle w:val="Heading1"/>
      </w:pPr>
      <w:r w:rsidRPr="00322985">
        <w:lastRenderedPageBreak/>
        <w:t>Distribution of Documents</w:t>
      </w:r>
    </w:p>
    <w:p w14:paraId="5B3E116C" w14:textId="3B83A97E" w:rsidR="003332DA" w:rsidRPr="00322985" w:rsidRDefault="006D57B9" w:rsidP="006B34CB">
      <w:pPr>
        <w:pStyle w:val="BodyText"/>
        <w:spacing w:after="240"/>
        <w:rPr>
          <w:szCs w:val="22"/>
        </w:rPr>
      </w:pPr>
      <w:r w:rsidRPr="00322985">
        <w:t>A preliminary programme will be posted on the IAEA conference web page as soon as possible. The final programme and the electronic</w:t>
      </w:r>
      <w:r w:rsidR="005B6836" w:rsidRPr="00322985">
        <w:t xml:space="preserve"> Compilation</w:t>
      </w:r>
      <w:r w:rsidRPr="00322985">
        <w:t xml:space="preserve"> of Contributed Papers will be available free of charge upon registration at the conference.</w:t>
      </w:r>
    </w:p>
    <w:p w14:paraId="7135B518" w14:textId="1750A5ED" w:rsidR="00E77634" w:rsidRPr="00322985" w:rsidRDefault="006D57B9" w:rsidP="008F4504">
      <w:pPr>
        <w:pStyle w:val="Heading1"/>
        <w:rPr>
          <w:lang w:eastAsia="en-GB"/>
        </w:rPr>
      </w:pPr>
      <w:r w:rsidRPr="00322985">
        <w:rPr>
          <w:lang w:eastAsia="en-GB"/>
        </w:rPr>
        <w:t>Working Language</w:t>
      </w:r>
    </w:p>
    <w:p w14:paraId="501A8D3D" w14:textId="40FF500D" w:rsidR="006117D0" w:rsidRPr="00322985" w:rsidRDefault="006D57B9" w:rsidP="006117D0">
      <w:pPr>
        <w:pStyle w:val="BodyTextMultiline"/>
        <w:numPr>
          <w:ilvl w:val="0"/>
          <w:numId w:val="0"/>
        </w:numPr>
      </w:pPr>
      <w:r w:rsidRPr="00322985">
        <w:t>The working language of the conference will be English. All communications and papers must be sent to the IAEA in English.</w:t>
      </w:r>
    </w:p>
    <w:p w14:paraId="4103ABC6" w14:textId="77777777" w:rsidR="00750DF0" w:rsidRPr="00322985" w:rsidRDefault="006D57B9" w:rsidP="008F4504">
      <w:pPr>
        <w:pStyle w:val="Heading1"/>
      </w:pPr>
      <w:r w:rsidRPr="00322985">
        <w:t>Conference Venue and Accommodation</w:t>
      </w:r>
    </w:p>
    <w:p w14:paraId="3254F098" w14:textId="6EF3AA1F" w:rsidR="00E379C7" w:rsidRPr="00322985" w:rsidRDefault="006D57B9" w:rsidP="006B34CB">
      <w:pPr>
        <w:overflowPunct/>
        <w:spacing w:after="170" w:line="280" w:lineRule="atLeast"/>
        <w:jc w:val="both"/>
        <w:textAlignment w:val="auto"/>
        <w:rPr>
          <w:color w:val="000000"/>
          <w:szCs w:val="22"/>
          <w:lang w:eastAsia="en-GB"/>
        </w:rPr>
      </w:pPr>
      <w:r w:rsidRPr="00322985">
        <w:rPr>
          <w:szCs w:val="22"/>
        </w:rPr>
        <w:t>The conference will be held at the IAEA’s Headquarters in Vienna, Austria. Participants must make their own travel and accommodation arrangements. Hotels which are offering a reduced rate for conference participants will be listed on the conference web page. Please note that the IAEA is not in a position to assist participants with hotel bookings, nor can the IAEA assume responsibility for paying cancellation fees or for re-booking and no shows.</w:t>
      </w:r>
    </w:p>
    <w:p w14:paraId="1C58EF53" w14:textId="77777777" w:rsidR="005E28D8" w:rsidRPr="00322985" w:rsidRDefault="005E28D8" w:rsidP="008F4504">
      <w:pPr>
        <w:pStyle w:val="Heading1"/>
      </w:pPr>
      <w:r w:rsidRPr="00322985">
        <w:t>V</w:t>
      </w:r>
      <w:r w:rsidR="006D57B9" w:rsidRPr="00322985">
        <w:t>isas</w:t>
      </w:r>
    </w:p>
    <w:p w14:paraId="243A82C8" w14:textId="4946DF5F" w:rsidR="008F3152" w:rsidRPr="00322985" w:rsidRDefault="006D57B9" w:rsidP="008F3152">
      <w:pPr>
        <w:overflowPunct/>
        <w:spacing w:after="170" w:line="280" w:lineRule="atLeast"/>
        <w:jc w:val="both"/>
        <w:textAlignment w:val="auto"/>
        <w:rPr>
          <w:b/>
          <w:bCs/>
          <w:color w:val="000000"/>
          <w:szCs w:val="22"/>
          <w:lang w:eastAsia="en-GB"/>
        </w:rPr>
      </w:pPr>
      <w:r w:rsidRPr="00322985">
        <w:t xml:space="preserve">Designated participants who require a visa to enter Austria should submit the necessary application to the nearest diplomatic or consular representative of Austria at least four weeks before they travel to Austria. Since Austria is a Schengen State, persons requiring a visa will have to apply for a Schengen visa. In States where Austria has no diplomatic mission, visas can be obtained from the consular </w:t>
      </w:r>
      <w:r w:rsidRPr="00322985">
        <w:rPr>
          <w:szCs w:val="22"/>
          <w:lang w:eastAsia="en-GB"/>
        </w:rPr>
        <w:t>authority of a Schengen Partner State representing Austria in the country in question.</w:t>
      </w:r>
    </w:p>
    <w:p w14:paraId="6982F2E0" w14:textId="77777777" w:rsidR="00750DF0" w:rsidRPr="00322985" w:rsidRDefault="006D57B9" w:rsidP="008F4504">
      <w:pPr>
        <w:pStyle w:val="Heading1"/>
      </w:pPr>
      <w:r w:rsidRPr="00322985">
        <w:t>Key Deadlines</w:t>
      </w:r>
    </w:p>
    <w:p w14:paraId="194EA386" w14:textId="77777777" w:rsidR="006D57B9" w:rsidRPr="00322985" w:rsidRDefault="006D57B9" w:rsidP="006C46BA">
      <w:pPr>
        <w:pStyle w:val="BodyText"/>
        <w:spacing w:after="60"/>
      </w:pPr>
      <w:r w:rsidRPr="00322985">
        <w:t>Submission of Form for Submission of a Paper (Form B) and abstract:</w:t>
      </w:r>
      <w:r w:rsidRPr="00322985">
        <w:tab/>
      </w:r>
      <w:r w:rsidRPr="00322985">
        <w:tab/>
      </w:r>
      <w:r w:rsidRPr="00322985">
        <w:rPr>
          <w:b/>
        </w:rPr>
        <w:t>15 December 2014</w:t>
      </w:r>
    </w:p>
    <w:p w14:paraId="78E3FC74" w14:textId="77777777" w:rsidR="006D57B9" w:rsidRPr="00322985" w:rsidRDefault="006D57B9" w:rsidP="006C46BA">
      <w:pPr>
        <w:pStyle w:val="BodyText"/>
        <w:spacing w:after="60"/>
      </w:pPr>
      <w:r w:rsidRPr="00322985">
        <w:t>Submission of Grant Application Form (Form C):</w:t>
      </w:r>
      <w:r w:rsidRPr="00322985">
        <w:tab/>
      </w:r>
      <w:r w:rsidRPr="00322985">
        <w:tab/>
      </w:r>
      <w:r w:rsidRPr="00322985">
        <w:tab/>
      </w:r>
      <w:r w:rsidRPr="00322985">
        <w:tab/>
      </w:r>
      <w:r w:rsidRPr="00322985">
        <w:tab/>
      </w:r>
      <w:r w:rsidRPr="00322985">
        <w:rPr>
          <w:b/>
        </w:rPr>
        <w:t>15 December 2014</w:t>
      </w:r>
    </w:p>
    <w:p w14:paraId="5D58F7DB" w14:textId="77777777" w:rsidR="006D57B9" w:rsidRPr="00322985" w:rsidRDefault="006D57B9" w:rsidP="006C46BA">
      <w:pPr>
        <w:pStyle w:val="BodyText"/>
        <w:spacing w:after="60"/>
        <w:rPr>
          <w:b/>
        </w:rPr>
      </w:pPr>
      <w:r w:rsidRPr="00322985">
        <w:t>Notification of acceptance of papers:</w:t>
      </w:r>
      <w:r w:rsidRPr="00322985">
        <w:tab/>
      </w:r>
      <w:r w:rsidRPr="00322985">
        <w:tab/>
      </w:r>
      <w:r w:rsidRPr="00322985">
        <w:tab/>
      </w:r>
      <w:r w:rsidRPr="00322985">
        <w:tab/>
      </w:r>
      <w:r w:rsidRPr="00322985">
        <w:tab/>
      </w:r>
      <w:r w:rsidRPr="00322985">
        <w:tab/>
      </w:r>
      <w:r w:rsidRPr="00322985">
        <w:tab/>
      </w:r>
      <w:r w:rsidRPr="00322985">
        <w:rPr>
          <w:b/>
        </w:rPr>
        <w:t>27 February 2015</w:t>
      </w:r>
    </w:p>
    <w:p w14:paraId="6F46614D" w14:textId="77777777" w:rsidR="006D57B9" w:rsidRPr="00322985" w:rsidRDefault="006D57B9" w:rsidP="006C46BA">
      <w:pPr>
        <w:pStyle w:val="BodyText"/>
        <w:spacing w:after="60"/>
        <w:rPr>
          <w:b/>
        </w:rPr>
      </w:pPr>
      <w:r w:rsidRPr="00322985">
        <w:t>Submission of accepted full paper (4 pages max.):</w:t>
      </w:r>
      <w:r w:rsidRPr="00322985">
        <w:tab/>
      </w:r>
      <w:r w:rsidRPr="00322985">
        <w:tab/>
      </w:r>
      <w:r w:rsidRPr="00322985">
        <w:tab/>
      </w:r>
      <w:r w:rsidRPr="00322985">
        <w:tab/>
      </w:r>
      <w:r w:rsidRPr="00322985">
        <w:tab/>
      </w:r>
      <w:r w:rsidRPr="00322985">
        <w:rPr>
          <w:b/>
        </w:rPr>
        <w:t>30 March 2015</w:t>
      </w:r>
    </w:p>
    <w:p w14:paraId="39382ABA" w14:textId="77777777" w:rsidR="00657734" w:rsidRPr="00322985" w:rsidRDefault="006D57B9" w:rsidP="008F4504">
      <w:pPr>
        <w:pStyle w:val="Heading1"/>
        <w:rPr>
          <w:lang w:eastAsia="en-GB"/>
        </w:rPr>
      </w:pPr>
      <w:r w:rsidRPr="00322985">
        <w:rPr>
          <w:lang w:eastAsia="en-GB"/>
        </w:rPr>
        <w:lastRenderedPageBreak/>
        <w:t>Conference Secretariat</w:t>
      </w:r>
    </w:p>
    <w:p w14:paraId="3ACBE83A" w14:textId="77777777" w:rsidR="006D57B9" w:rsidRPr="00322985" w:rsidRDefault="006D57B9" w:rsidP="006D57B9">
      <w:pPr>
        <w:pStyle w:val="BodyText"/>
        <w:keepNext/>
        <w:keepLines/>
        <w:rPr>
          <w:b/>
        </w:rPr>
      </w:pPr>
      <w:r w:rsidRPr="00322985">
        <w:rPr>
          <w:b/>
        </w:rPr>
        <w:t>General contact details of the Conference Secretariat:</w:t>
      </w:r>
    </w:p>
    <w:p w14:paraId="7A0FBBB5" w14:textId="75DF0B1A" w:rsidR="006D57B9" w:rsidRPr="00322985" w:rsidRDefault="006D57B9" w:rsidP="006B34CB">
      <w:pPr>
        <w:pStyle w:val="BodyText"/>
        <w:keepNext/>
        <w:keepLines/>
      </w:pPr>
      <w:r w:rsidRPr="00322985">
        <w:rPr>
          <w:rFonts w:eastAsia="MS Mincho"/>
          <w:szCs w:val="22"/>
        </w:rPr>
        <w:t>International Atomic Energy Agency</w:t>
      </w:r>
      <w:r w:rsidRPr="00322985">
        <w:br/>
      </w:r>
      <w:r w:rsidRPr="00322985">
        <w:rPr>
          <w:rFonts w:eastAsia="MS Mincho"/>
          <w:szCs w:val="22"/>
        </w:rPr>
        <w:t>Vienna International Centre</w:t>
      </w:r>
      <w:r w:rsidRPr="00322985">
        <w:rPr>
          <w:rFonts w:eastAsia="MS Mincho"/>
          <w:szCs w:val="22"/>
        </w:rPr>
        <w:br/>
        <w:t>PO Box 100</w:t>
      </w:r>
      <w:r w:rsidRPr="00322985">
        <w:br/>
      </w:r>
      <w:r w:rsidRPr="00322985">
        <w:rPr>
          <w:rFonts w:eastAsia="MS Mincho"/>
          <w:szCs w:val="22"/>
        </w:rPr>
        <w:t>1400 VIENNA</w:t>
      </w:r>
      <w:r w:rsidRPr="00322985">
        <w:rPr>
          <w:rFonts w:eastAsia="MS Mincho"/>
          <w:szCs w:val="22"/>
        </w:rPr>
        <w:br/>
        <w:t>AUSTRIA</w:t>
      </w:r>
      <w:r w:rsidRPr="00322985">
        <w:br/>
      </w:r>
      <w:r w:rsidRPr="00322985">
        <w:rPr>
          <w:rFonts w:eastAsia="MS Mincho"/>
          <w:szCs w:val="22"/>
          <w:lang w:eastAsia="ja-JP"/>
        </w:rPr>
        <w:t>Tel.: +43 1 2600</w:t>
      </w:r>
      <w:r w:rsidRPr="00322985">
        <w:br/>
      </w:r>
      <w:r w:rsidRPr="00322985">
        <w:rPr>
          <w:rFonts w:eastAsia="MS Mincho"/>
          <w:szCs w:val="22"/>
          <w:lang w:eastAsia="ja-JP"/>
        </w:rPr>
        <w:t>Fax: +43 1 2600 2007</w:t>
      </w:r>
      <w:r w:rsidRPr="00322985">
        <w:br/>
      </w:r>
      <w:r w:rsidRPr="00322985">
        <w:rPr>
          <w:rFonts w:eastAsia="MS Mincho"/>
          <w:szCs w:val="22"/>
          <w:lang w:eastAsia="ja-JP"/>
        </w:rPr>
        <w:t xml:space="preserve">Email: </w:t>
      </w:r>
      <w:hyperlink r:id="rId13" w:history="1">
        <w:r w:rsidR="006B34CB" w:rsidRPr="00322985">
          <w:rPr>
            <w:rStyle w:val="Hyperlink"/>
            <w:rFonts w:eastAsia="Batang"/>
            <w:szCs w:val="22"/>
            <w:lang w:eastAsia="ko-KR"/>
          </w:rPr>
          <w:t>Official.Mail@iaea.org</w:t>
        </w:r>
      </w:hyperlink>
    </w:p>
    <w:p w14:paraId="7286934D" w14:textId="77777777" w:rsidR="006D57B9" w:rsidRPr="00322985" w:rsidRDefault="006D57B9" w:rsidP="006D57B9">
      <w:pPr>
        <w:pStyle w:val="BodyTextMultiline"/>
        <w:numPr>
          <w:ilvl w:val="0"/>
          <w:numId w:val="0"/>
        </w:numPr>
        <w:rPr>
          <w:lang w:eastAsia="en-GB"/>
        </w:rPr>
      </w:pPr>
    </w:p>
    <w:p w14:paraId="3D67A69B" w14:textId="261251B1" w:rsidR="00750DF0" w:rsidRPr="00322985" w:rsidRDefault="00C7512B" w:rsidP="006D57B9">
      <w:pPr>
        <w:keepNext/>
        <w:keepLines/>
        <w:overflowPunct/>
        <w:spacing w:after="120" w:line="276" w:lineRule="auto"/>
        <w:jc w:val="both"/>
        <w:textAlignment w:val="auto"/>
        <w:rPr>
          <w:b/>
          <w:bCs/>
          <w:color w:val="000000"/>
          <w:sz w:val="32"/>
          <w:szCs w:val="32"/>
          <w:lang w:eastAsia="en-GB"/>
        </w:rPr>
      </w:pPr>
      <w:r w:rsidRPr="00322985">
        <w:rPr>
          <w:b/>
          <w:bCs/>
          <w:color w:val="000000"/>
          <w:szCs w:val="22"/>
          <w:lang w:eastAsia="en-GB"/>
        </w:rPr>
        <w:t xml:space="preserve">Scientific </w:t>
      </w:r>
      <w:r w:rsidR="007C12D0" w:rsidRPr="00322985">
        <w:rPr>
          <w:b/>
          <w:bCs/>
          <w:color w:val="000000"/>
          <w:szCs w:val="22"/>
          <w:lang w:eastAsia="en-GB"/>
        </w:rPr>
        <w:t xml:space="preserve">Secretary </w:t>
      </w:r>
      <w:r w:rsidR="006D57B9" w:rsidRPr="00322985">
        <w:rPr>
          <w:b/>
          <w:bCs/>
          <w:color w:val="000000"/>
          <w:szCs w:val="22"/>
          <w:lang w:eastAsia="en-GB"/>
        </w:rPr>
        <w:t>of the conference:</w:t>
      </w:r>
    </w:p>
    <w:p w14:paraId="69401006" w14:textId="28922B2C" w:rsidR="00C7512B" w:rsidRPr="00322985" w:rsidRDefault="00C7512B" w:rsidP="006D57B9">
      <w:pPr>
        <w:keepNext/>
        <w:keepLines/>
        <w:overflowPunct/>
        <w:spacing w:line="276" w:lineRule="auto"/>
        <w:jc w:val="both"/>
        <w:textAlignment w:val="auto"/>
        <w:rPr>
          <w:b/>
          <w:bCs/>
          <w:szCs w:val="22"/>
          <w:lang w:eastAsia="en-GB"/>
        </w:rPr>
      </w:pPr>
      <w:r w:rsidRPr="00322985">
        <w:rPr>
          <w:b/>
          <w:bCs/>
          <w:szCs w:val="22"/>
          <w:lang w:eastAsia="en-GB"/>
        </w:rPr>
        <w:t>Ms</w:t>
      </w:r>
      <w:r w:rsidR="006D57B9" w:rsidRPr="00322985">
        <w:rPr>
          <w:b/>
          <w:bCs/>
          <w:szCs w:val="22"/>
          <w:lang w:eastAsia="en-GB"/>
        </w:rPr>
        <w:t xml:space="preserve"> Vesselina </w:t>
      </w:r>
      <w:proofErr w:type="spellStart"/>
      <w:r w:rsidR="006D57B9" w:rsidRPr="00322985">
        <w:rPr>
          <w:b/>
          <w:bCs/>
        </w:rPr>
        <w:t>Ranguelova</w:t>
      </w:r>
      <w:proofErr w:type="spellEnd"/>
    </w:p>
    <w:p w14:paraId="275C725E" w14:textId="2932921E" w:rsidR="00F87858" w:rsidRPr="00322985" w:rsidRDefault="00F87858" w:rsidP="00CC6750">
      <w:pPr>
        <w:keepNext/>
        <w:keepLines/>
        <w:overflowPunct/>
        <w:spacing w:line="276" w:lineRule="auto"/>
        <w:jc w:val="both"/>
        <w:textAlignment w:val="auto"/>
      </w:pPr>
      <w:r w:rsidRPr="00322985">
        <w:t>Operational Safety Section</w:t>
      </w:r>
    </w:p>
    <w:p w14:paraId="5AD0BDF5" w14:textId="77777777" w:rsidR="00C7512B" w:rsidRPr="00322985" w:rsidRDefault="006D57B9" w:rsidP="00CC6750">
      <w:pPr>
        <w:keepNext/>
        <w:keepLines/>
        <w:overflowPunct/>
        <w:spacing w:line="276" w:lineRule="auto"/>
        <w:jc w:val="both"/>
        <w:textAlignment w:val="auto"/>
      </w:pPr>
      <w:r w:rsidRPr="00322985">
        <w:t>Division of Nuclear Installation Safety</w:t>
      </w:r>
    </w:p>
    <w:p w14:paraId="151447B5" w14:textId="77777777" w:rsidR="00C7512B" w:rsidRPr="00322985" w:rsidRDefault="006D57B9" w:rsidP="00CC6750">
      <w:pPr>
        <w:keepNext/>
        <w:keepLines/>
        <w:overflowPunct/>
        <w:spacing w:line="276" w:lineRule="auto"/>
        <w:jc w:val="both"/>
        <w:textAlignment w:val="auto"/>
        <w:rPr>
          <w:szCs w:val="22"/>
          <w:lang w:eastAsia="en-GB"/>
        </w:rPr>
      </w:pPr>
      <w:r w:rsidRPr="00322985">
        <w:t>Department of Nuclear Safety and Security</w:t>
      </w:r>
    </w:p>
    <w:p w14:paraId="460FAD37" w14:textId="77777777" w:rsidR="001F3F28" w:rsidRPr="00322985" w:rsidRDefault="001F3F28" w:rsidP="0063750C">
      <w:pPr>
        <w:overflowPunct/>
        <w:spacing w:line="276" w:lineRule="auto"/>
        <w:jc w:val="both"/>
        <w:textAlignment w:val="auto"/>
        <w:rPr>
          <w:color w:val="000000"/>
          <w:szCs w:val="22"/>
          <w:lang w:eastAsia="en-GB"/>
        </w:rPr>
      </w:pPr>
    </w:p>
    <w:p w14:paraId="28EA53F2" w14:textId="7AED2B76" w:rsidR="00750DF0" w:rsidRPr="00322985" w:rsidRDefault="00750DF0" w:rsidP="006D57B9">
      <w:pPr>
        <w:keepNext/>
        <w:keepLines/>
        <w:overflowPunct/>
        <w:spacing w:line="276" w:lineRule="auto"/>
        <w:jc w:val="both"/>
        <w:textAlignment w:val="auto"/>
        <w:rPr>
          <w:color w:val="000000"/>
          <w:szCs w:val="22"/>
          <w:lang w:eastAsia="en-GB"/>
        </w:rPr>
      </w:pPr>
      <w:r w:rsidRPr="00322985">
        <w:rPr>
          <w:color w:val="000000"/>
          <w:szCs w:val="22"/>
          <w:lang w:eastAsia="en-GB"/>
        </w:rPr>
        <w:t>Tel.: +43 1 2600</w:t>
      </w:r>
      <w:r w:rsidR="006D57B9" w:rsidRPr="00322985">
        <w:rPr>
          <w:color w:val="000000"/>
          <w:szCs w:val="22"/>
          <w:lang w:eastAsia="en-GB"/>
        </w:rPr>
        <w:t xml:space="preserve"> 26083</w:t>
      </w:r>
    </w:p>
    <w:p w14:paraId="6B6CB7B5" w14:textId="0D62A7CC" w:rsidR="00750DF0" w:rsidRPr="00322985" w:rsidRDefault="00750DF0" w:rsidP="006D57B9">
      <w:pPr>
        <w:keepNext/>
        <w:keepLines/>
        <w:overflowPunct/>
        <w:spacing w:line="276" w:lineRule="auto"/>
        <w:jc w:val="both"/>
        <w:textAlignment w:val="auto"/>
        <w:rPr>
          <w:color w:val="000000"/>
          <w:szCs w:val="22"/>
          <w:lang w:eastAsia="en-GB"/>
        </w:rPr>
      </w:pPr>
      <w:r w:rsidRPr="00322985">
        <w:rPr>
          <w:color w:val="000000"/>
          <w:szCs w:val="22"/>
          <w:lang w:eastAsia="en-GB"/>
        </w:rPr>
        <w:t>Fax: +43 1 26007</w:t>
      </w:r>
    </w:p>
    <w:p w14:paraId="782D60FB" w14:textId="43F2FA2B" w:rsidR="006B59F8" w:rsidRPr="006B59F8" w:rsidRDefault="00750DF0" w:rsidP="006B59F8">
      <w:pPr>
        <w:rPr>
          <w:rStyle w:val="Hyperlink"/>
          <w:szCs w:val="22"/>
          <w:lang w:eastAsia="en-GB"/>
        </w:rPr>
      </w:pPr>
      <w:r w:rsidRPr="00322985">
        <w:rPr>
          <w:color w:val="000000"/>
          <w:szCs w:val="22"/>
          <w:lang w:eastAsia="en-GB"/>
        </w:rPr>
        <w:t>Email:</w:t>
      </w:r>
      <w:r w:rsidR="006D57B9" w:rsidRPr="00322985">
        <w:rPr>
          <w:color w:val="000000"/>
          <w:szCs w:val="22"/>
          <w:lang w:eastAsia="en-GB"/>
        </w:rPr>
        <w:t xml:space="preserve"> </w:t>
      </w:r>
      <w:hyperlink r:id="rId14" w:history="1">
        <w:r w:rsidR="006B59F8" w:rsidRPr="006B59F8">
          <w:rPr>
            <w:rStyle w:val="Hyperlink"/>
            <w:szCs w:val="22"/>
            <w:lang w:eastAsia="en-GB"/>
          </w:rPr>
          <w:t>Operational-Safety-2015.Contact-Point@iaea.org</w:t>
        </w:r>
      </w:hyperlink>
    </w:p>
    <w:p w14:paraId="2D5F7C0D" w14:textId="63376F89" w:rsidR="0063750C" w:rsidRPr="00322985" w:rsidRDefault="0063750C" w:rsidP="006B34CB">
      <w:pPr>
        <w:keepNext/>
        <w:keepLines/>
        <w:overflowPunct/>
        <w:spacing w:after="120" w:line="276" w:lineRule="auto"/>
        <w:jc w:val="both"/>
        <w:textAlignment w:val="auto"/>
        <w:rPr>
          <w:color w:val="0000FF"/>
        </w:rPr>
      </w:pPr>
    </w:p>
    <w:p w14:paraId="61215FAE" w14:textId="07E546D2" w:rsidR="00C7512B" w:rsidRPr="00322985" w:rsidRDefault="00C7512B" w:rsidP="00C7512B">
      <w:pPr>
        <w:overflowPunct/>
        <w:spacing w:after="120" w:line="276" w:lineRule="auto"/>
        <w:jc w:val="both"/>
        <w:textAlignment w:val="auto"/>
      </w:pPr>
    </w:p>
    <w:p w14:paraId="44EFD6BE" w14:textId="0C3D5A10" w:rsidR="00C7512B" w:rsidRPr="00322985" w:rsidRDefault="00C7512B" w:rsidP="006D57B9">
      <w:pPr>
        <w:keepNext/>
        <w:keepLines/>
        <w:overflowPunct/>
        <w:spacing w:after="120" w:line="276" w:lineRule="auto"/>
        <w:jc w:val="both"/>
        <w:textAlignment w:val="auto"/>
        <w:rPr>
          <w:b/>
          <w:bCs/>
          <w:szCs w:val="22"/>
          <w:lang w:eastAsia="en-GB"/>
        </w:rPr>
      </w:pPr>
      <w:r w:rsidRPr="00322985">
        <w:rPr>
          <w:b/>
          <w:bCs/>
          <w:szCs w:val="22"/>
        </w:rPr>
        <w:t>Administrati</w:t>
      </w:r>
      <w:r w:rsidR="006D57B9" w:rsidRPr="00322985">
        <w:rPr>
          <w:b/>
          <w:bCs/>
          <w:szCs w:val="22"/>
        </w:rPr>
        <w:t>on and organization</w:t>
      </w:r>
      <w:r w:rsidRPr="00322985">
        <w:rPr>
          <w:b/>
          <w:bCs/>
          <w:szCs w:val="22"/>
          <w:lang w:eastAsia="en-GB"/>
        </w:rPr>
        <w:t>:</w:t>
      </w:r>
    </w:p>
    <w:p w14:paraId="363ED087" w14:textId="1DD520F7" w:rsidR="00C7512B" w:rsidRPr="00322985" w:rsidRDefault="00C7512B" w:rsidP="006D57B9">
      <w:pPr>
        <w:keepNext/>
        <w:keepLines/>
        <w:overflowPunct/>
        <w:spacing w:line="276" w:lineRule="auto"/>
        <w:jc w:val="both"/>
        <w:textAlignment w:val="auto"/>
        <w:rPr>
          <w:b/>
          <w:bCs/>
          <w:color w:val="000000"/>
          <w:szCs w:val="22"/>
          <w:lang w:eastAsia="en-GB"/>
        </w:rPr>
      </w:pPr>
      <w:r w:rsidRPr="00322985">
        <w:rPr>
          <w:b/>
          <w:bCs/>
          <w:color w:val="000000"/>
          <w:szCs w:val="22"/>
          <w:lang w:eastAsia="en-GB"/>
        </w:rPr>
        <w:t>Ms</w:t>
      </w:r>
      <w:r w:rsidR="006D57B9" w:rsidRPr="00322985">
        <w:rPr>
          <w:b/>
          <w:bCs/>
          <w:color w:val="000000"/>
          <w:szCs w:val="22"/>
          <w:lang w:eastAsia="en-GB"/>
        </w:rPr>
        <w:t xml:space="preserve"> Martina </w:t>
      </w:r>
      <w:proofErr w:type="spellStart"/>
      <w:r w:rsidR="006D57B9" w:rsidRPr="00322985">
        <w:rPr>
          <w:b/>
          <w:bCs/>
          <w:color w:val="000000"/>
          <w:szCs w:val="22"/>
          <w:lang w:eastAsia="en-GB"/>
        </w:rPr>
        <w:t>Neuhold</w:t>
      </w:r>
      <w:proofErr w:type="spellEnd"/>
    </w:p>
    <w:p w14:paraId="0AA89ECE" w14:textId="5FFA34F6" w:rsidR="00C7512B" w:rsidRPr="00322985" w:rsidRDefault="006D57B9" w:rsidP="00CC6750">
      <w:pPr>
        <w:keepNext/>
        <w:keepLines/>
        <w:overflowPunct/>
        <w:spacing w:line="276" w:lineRule="auto"/>
        <w:jc w:val="both"/>
        <w:textAlignment w:val="auto"/>
      </w:pPr>
      <w:r w:rsidRPr="00322985">
        <w:t>Conference Services Section</w:t>
      </w:r>
    </w:p>
    <w:p w14:paraId="1FCB75DE" w14:textId="77777777" w:rsidR="006D57B9" w:rsidRPr="00322985" w:rsidRDefault="006D57B9" w:rsidP="00CC6750">
      <w:pPr>
        <w:keepNext/>
        <w:keepLines/>
        <w:overflowPunct/>
        <w:spacing w:line="276" w:lineRule="auto"/>
        <w:jc w:val="both"/>
        <w:textAlignment w:val="auto"/>
      </w:pPr>
      <w:r w:rsidRPr="00322985">
        <w:t>Division of Conference and Document Services</w:t>
      </w:r>
    </w:p>
    <w:p w14:paraId="319404DA" w14:textId="328874C5" w:rsidR="00C7512B" w:rsidRPr="00322985" w:rsidRDefault="006D57B9" w:rsidP="00CC6750">
      <w:pPr>
        <w:keepNext/>
        <w:keepLines/>
        <w:overflowPunct/>
        <w:spacing w:line="276" w:lineRule="auto"/>
        <w:jc w:val="both"/>
        <w:textAlignment w:val="auto"/>
        <w:rPr>
          <w:szCs w:val="22"/>
          <w:lang w:eastAsia="en-GB"/>
        </w:rPr>
      </w:pPr>
      <w:r w:rsidRPr="00322985">
        <w:t>Department of Management</w:t>
      </w:r>
    </w:p>
    <w:p w14:paraId="49325E91" w14:textId="77777777" w:rsidR="00C7512B" w:rsidRPr="00322985" w:rsidRDefault="006D57B9" w:rsidP="006B34CB">
      <w:pPr>
        <w:keepNext/>
        <w:keepLines/>
        <w:overflowPunct/>
        <w:spacing w:line="276" w:lineRule="auto"/>
        <w:jc w:val="both"/>
        <w:textAlignment w:val="auto"/>
        <w:rPr>
          <w:szCs w:val="22"/>
          <w:lang w:eastAsia="en-GB"/>
        </w:rPr>
      </w:pPr>
      <w:r w:rsidRPr="00322985">
        <w:rPr>
          <w:szCs w:val="22"/>
          <w:lang w:eastAsia="en-GB"/>
        </w:rPr>
        <w:t>IAEA-CN-</w:t>
      </w:r>
      <w:r w:rsidR="006B34CB" w:rsidRPr="00322985">
        <w:rPr>
          <w:szCs w:val="22"/>
          <w:lang w:eastAsia="en-GB"/>
        </w:rPr>
        <w:t>227</w:t>
      </w:r>
    </w:p>
    <w:p w14:paraId="2C62BB44" w14:textId="77777777" w:rsidR="00C7512B" w:rsidRPr="00322985" w:rsidRDefault="00C7512B" w:rsidP="00C7512B">
      <w:pPr>
        <w:overflowPunct/>
        <w:spacing w:line="276" w:lineRule="auto"/>
        <w:jc w:val="both"/>
        <w:textAlignment w:val="auto"/>
        <w:rPr>
          <w:color w:val="000000"/>
          <w:szCs w:val="22"/>
          <w:lang w:eastAsia="en-GB"/>
        </w:rPr>
      </w:pPr>
    </w:p>
    <w:p w14:paraId="62B6EA54" w14:textId="77777777" w:rsidR="00C7512B" w:rsidRPr="00322985" w:rsidRDefault="00C7512B" w:rsidP="006D57B9">
      <w:pPr>
        <w:keepNext/>
        <w:keepLines/>
        <w:overflowPunct/>
        <w:spacing w:line="276" w:lineRule="auto"/>
        <w:jc w:val="both"/>
        <w:textAlignment w:val="auto"/>
        <w:rPr>
          <w:szCs w:val="22"/>
          <w:lang w:eastAsia="en-GB"/>
        </w:rPr>
      </w:pPr>
      <w:r w:rsidRPr="00322985">
        <w:rPr>
          <w:color w:val="000000"/>
          <w:szCs w:val="22"/>
          <w:lang w:eastAsia="en-GB"/>
        </w:rPr>
        <w:t xml:space="preserve">Tel.: +43 1 </w:t>
      </w:r>
      <w:r w:rsidRPr="00322985">
        <w:rPr>
          <w:szCs w:val="22"/>
          <w:lang w:eastAsia="en-GB"/>
        </w:rPr>
        <w:t xml:space="preserve">2600 </w:t>
      </w:r>
      <w:r w:rsidR="006D57B9" w:rsidRPr="00322985">
        <w:t>21314</w:t>
      </w:r>
    </w:p>
    <w:p w14:paraId="1E48956C" w14:textId="77777777" w:rsidR="00C7512B" w:rsidRPr="00322985" w:rsidRDefault="00C7512B" w:rsidP="006B34CB">
      <w:pPr>
        <w:keepNext/>
        <w:keepLines/>
        <w:overflowPunct/>
        <w:spacing w:line="276" w:lineRule="auto"/>
        <w:jc w:val="both"/>
        <w:textAlignment w:val="auto"/>
        <w:rPr>
          <w:color w:val="000000"/>
          <w:szCs w:val="22"/>
          <w:lang w:eastAsia="en-GB"/>
        </w:rPr>
      </w:pPr>
      <w:r w:rsidRPr="00322985">
        <w:rPr>
          <w:color w:val="000000"/>
          <w:szCs w:val="22"/>
          <w:lang w:eastAsia="en-GB"/>
        </w:rPr>
        <w:t>Fax: +43 1 26007</w:t>
      </w:r>
    </w:p>
    <w:p w14:paraId="61992234" w14:textId="77777777" w:rsidR="00C7512B" w:rsidRPr="00322985" w:rsidRDefault="006D57B9" w:rsidP="006D57B9">
      <w:pPr>
        <w:keepNext/>
        <w:keepLines/>
        <w:overflowPunct/>
        <w:spacing w:after="120" w:line="276" w:lineRule="auto"/>
        <w:jc w:val="both"/>
        <w:textAlignment w:val="auto"/>
        <w:rPr>
          <w:color w:val="0000FF"/>
        </w:rPr>
      </w:pPr>
      <w:r w:rsidRPr="00322985">
        <w:rPr>
          <w:color w:val="000000"/>
          <w:szCs w:val="22"/>
          <w:lang w:eastAsia="en-GB"/>
        </w:rPr>
        <w:t xml:space="preserve">Email: </w:t>
      </w:r>
      <w:hyperlink r:id="rId15" w:history="1">
        <w:r w:rsidRPr="00322985">
          <w:rPr>
            <w:rStyle w:val="Hyperlink"/>
            <w:szCs w:val="22"/>
            <w:lang w:eastAsia="en-GB"/>
          </w:rPr>
          <w:t>M.Neuhold@iaea.org</w:t>
        </w:r>
      </w:hyperlink>
    </w:p>
    <w:p w14:paraId="4AC21A27" w14:textId="77777777" w:rsidR="00CC6750" w:rsidRPr="00322985" w:rsidRDefault="00CC6750" w:rsidP="00CC6750">
      <w:pPr>
        <w:overflowPunct/>
        <w:spacing w:after="120" w:line="276" w:lineRule="auto"/>
        <w:jc w:val="both"/>
        <w:textAlignment w:val="auto"/>
        <w:rPr>
          <w:color w:val="000000"/>
          <w:szCs w:val="22"/>
          <w:lang w:eastAsia="en-GB"/>
        </w:rPr>
      </w:pPr>
    </w:p>
    <w:p w14:paraId="09747C66" w14:textId="725CFEE3" w:rsidR="00750DF0" w:rsidRPr="00322985" w:rsidRDefault="00750DF0" w:rsidP="00F87858">
      <w:pPr>
        <w:overflowPunct/>
        <w:spacing w:after="120" w:line="276" w:lineRule="auto"/>
        <w:jc w:val="both"/>
        <w:textAlignment w:val="auto"/>
        <w:rPr>
          <w:color w:val="000000"/>
          <w:szCs w:val="22"/>
          <w:lang w:eastAsia="en-GB"/>
        </w:rPr>
      </w:pPr>
      <w:r w:rsidRPr="00322985">
        <w:rPr>
          <w:color w:val="000000"/>
          <w:szCs w:val="22"/>
          <w:lang w:eastAsia="en-GB"/>
        </w:rPr>
        <w:t>Subsequent correspondence on scientific matters</w:t>
      </w:r>
      <w:r w:rsidR="00CC6750" w:rsidRPr="00322985">
        <w:rPr>
          <w:color w:val="000000"/>
          <w:szCs w:val="22"/>
          <w:lang w:eastAsia="en-GB"/>
        </w:rPr>
        <w:t xml:space="preserve"> </w:t>
      </w:r>
      <w:r w:rsidRPr="00322985">
        <w:rPr>
          <w:color w:val="000000"/>
          <w:szCs w:val="22"/>
          <w:lang w:eastAsia="en-GB"/>
        </w:rPr>
        <w:t xml:space="preserve">should be sent to the </w:t>
      </w:r>
      <w:bookmarkStart w:id="2" w:name="_Ref372051245"/>
      <w:r w:rsidRPr="00322985">
        <w:rPr>
          <w:color w:val="000000"/>
          <w:szCs w:val="22"/>
          <w:lang w:eastAsia="en-GB"/>
        </w:rPr>
        <w:t>Scientific Secretar</w:t>
      </w:r>
      <w:bookmarkEnd w:id="2"/>
      <w:r w:rsidR="007C12D0" w:rsidRPr="00322985">
        <w:rPr>
          <w:color w:val="000000"/>
          <w:szCs w:val="22"/>
          <w:lang w:eastAsia="en-GB"/>
        </w:rPr>
        <w:t>y</w:t>
      </w:r>
      <w:r w:rsidR="006D57B9" w:rsidRPr="00322985">
        <w:rPr>
          <w:color w:val="000000"/>
          <w:szCs w:val="22"/>
          <w:lang w:eastAsia="en-GB"/>
        </w:rPr>
        <w:t xml:space="preserve"> of the</w:t>
      </w:r>
      <w:r w:rsidRPr="00322985">
        <w:rPr>
          <w:color w:val="000000"/>
          <w:szCs w:val="22"/>
          <w:lang w:eastAsia="en-GB"/>
        </w:rPr>
        <w:t xml:space="preserve"> </w:t>
      </w:r>
      <w:r w:rsidR="006D57B9" w:rsidRPr="00322985">
        <w:rPr>
          <w:color w:val="000000"/>
          <w:szCs w:val="22"/>
          <w:lang w:eastAsia="en-GB"/>
        </w:rPr>
        <w:t xml:space="preserve">conference </w:t>
      </w:r>
      <w:r w:rsidRPr="00322985">
        <w:rPr>
          <w:color w:val="000000"/>
          <w:szCs w:val="22"/>
          <w:lang w:eastAsia="en-GB"/>
        </w:rPr>
        <w:t>and</w:t>
      </w:r>
      <w:r w:rsidR="00E379C7" w:rsidRPr="00322985">
        <w:rPr>
          <w:color w:val="000000"/>
          <w:szCs w:val="22"/>
          <w:lang w:eastAsia="en-GB"/>
        </w:rPr>
        <w:t xml:space="preserve"> </w:t>
      </w:r>
      <w:r w:rsidR="00CC6750" w:rsidRPr="00322985">
        <w:rPr>
          <w:color w:val="000000"/>
          <w:szCs w:val="22"/>
          <w:lang w:eastAsia="en-GB"/>
        </w:rPr>
        <w:t xml:space="preserve">correspondence on </w:t>
      </w:r>
      <w:r w:rsidR="00F87858" w:rsidRPr="00322985">
        <w:rPr>
          <w:color w:val="000000"/>
          <w:szCs w:val="22"/>
          <w:lang w:eastAsia="en-GB"/>
        </w:rPr>
        <w:t>administrative</w:t>
      </w:r>
      <w:r w:rsidRPr="00322985">
        <w:rPr>
          <w:color w:val="000000"/>
          <w:szCs w:val="22"/>
          <w:lang w:eastAsia="en-GB"/>
        </w:rPr>
        <w:t xml:space="preserve"> matters </w:t>
      </w:r>
      <w:r w:rsidR="00CC6750" w:rsidRPr="00322985">
        <w:rPr>
          <w:color w:val="000000"/>
          <w:szCs w:val="22"/>
          <w:lang w:eastAsia="en-GB"/>
        </w:rPr>
        <w:t xml:space="preserve">to the </w:t>
      </w:r>
      <w:r w:rsidR="00F87858" w:rsidRPr="00322985">
        <w:rPr>
          <w:color w:val="000000"/>
          <w:szCs w:val="22"/>
          <w:lang w:eastAsia="en-GB"/>
        </w:rPr>
        <w:t>IAEA Conference Services Section</w:t>
      </w:r>
      <w:r w:rsidR="00260293" w:rsidRPr="00322985">
        <w:rPr>
          <w:color w:val="000000"/>
          <w:szCs w:val="22"/>
          <w:lang w:eastAsia="en-GB"/>
        </w:rPr>
        <w:t>.</w:t>
      </w:r>
    </w:p>
    <w:p w14:paraId="1E6600AF" w14:textId="77777777" w:rsidR="00CC6750" w:rsidRPr="00322985" w:rsidRDefault="006D57B9" w:rsidP="008F4504">
      <w:pPr>
        <w:pStyle w:val="Heading1"/>
        <w:rPr>
          <w:lang w:eastAsia="en-GB"/>
        </w:rPr>
      </w:pPr>
      <w:bookmarkStart w:id="3" w:name="_Ref389037002"/>
      <w:r w:rsidRPr="00322985">
        <w:rPr>
          <w:lang w:eastAsia="en-GB"/>
        </w:rPr>
        <w:lastRenderedPageBreak/>
        <w:t>Conference</w:t>
      </w:r>
      <w:r w:rsidR="00CC6750" w:rsidRPr="00322985">
        <w:rPr>
          <w:lang w:eastAsia="en-GB"/>
        </w:rPr>
        <w:t xml:space="preserve"> Web Page</w:t>
      </w:r>
      <w:bookmarkEnd w:id="3"/>
    </w:p>
    <w:p w14:paraId="4A34F777" w14:textId="77777777" w:rsidR="006D57B9" w:rsidRPr="00322985" w:rsidRDefault="006D57B9" w:rsidP="006D57B9">
      <w:pPr>
        <w:pStyle w:val="BodyText"/>
      </w:pPr>
      <w:r w:rsidRPr="00322985">
        <w:t>Please visit the IAEA conference web page regularly for new information regarding this conference:</w:t>
      </w:r>
    </w:p>
    <w:p w14:paraId="0AC9AABC" w14:textId="16ACA2EA" w:rsidR="00322985" w:rsidRDefault="00322985" w:rsidP="006B3216">
      <w:r>
        <w:fldChar w:fldCharType="begin"/>
      </w:r>
      <w:r>
        <w:fldChar w:fldCharType="end"/>
      </w:r>
      <w:hyperlink r:id="rId16" w:history="1">
        <w:r w:rsidR="006B3216" w:rsidRPr="00163E69">
          <w:rPr>
            <w:rStyle w:val="Hyperlink"/>
          </w:rPr>
          <w:t>http://www-pub.iaea.org/iaeameetings/46529/International-Conference-on-Operational-Safety</w:t>
        </w:r>
      </w:hyperlink>
    </w:p>
    <w:sectPr w:rsidR="00322985" w:rsidSect="009E26FF">
      <w:headerReference w:type="even" r:id="rId17"/>
      <w:headerReference w:type="default" r:id="rId18"/>
      <w:footerReference w:type="even" r:id="rId19"/>
      <w:headerReference w:type="first" r:id="rId2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B7DC6" w14:textId="77777777" w:rsidR="00E25E32" w:rsidRDefault="00E25E32">
      <w:r>
        <w:separator/>
      </w:r>
    </w:p>
  </w:endnote>
  <w:endnote w:type="continuationSeparator" w:id="0">
    <w:p w14:paraId="1DE8D7A5" w14:textId="77777777" w:rsidR="00E25E32" w:rsidRDefault="00E2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DD54E3" w14:textId="1BC6DE5A" w:rsidR="0072693A" w:rsidRDefault="007855D6">
    <w:pPr>
      <w:pStyle w:val="zyxClassification1"/>
    </w:pPr>
    <w:r>
      <w:fldChar w:fldCharType="begin"/>
    </w:r>
    <w:r>
      <w:instrText xml:space="preserve"> DOCPROPERTY "IaeaClassification"  \* MERGEFORMAT </w:instrText>
    </w:r>
    <w:r>
      <w:fldChar w:fldCharType="end"/>
    </w:r>
  </w:p>
  <w:p w14:paraId="020E85AD" w14:textId="374CD9D8" w:rsidR="0072693A" w:rsidRDefault="007855D6">
    <w:pPr>
      <w:pStyle w:val="zyxClassification2"/>
    </w:pPr>
    <w:r>
      <w:fldChar w:fldCharType="begin"/>
    </w:r>
    <w:r>
      <w:instrText>DOCPROPERTY "IaeaClassification2"  \* MERGEFORMAT</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463C5" w14:textId="77777777" w:rsidR="00E25E32" w:rsidRDefault="00E25E32">
      <w:r>
        <w:t>___________________________________________________________________________</w:t>
      </w:r>
    </w:p>
  </w:footnote>
  <w:footnote w:type="continuationSeparator" w:id="0">
    <w:p w14:paraId="6B404D74" w14:textId="77777777" w:rsidR="00E25E32" w:rsidRDefault="00E25E32">
      <w:r>
        <w:t>___________________________________________________________________________</w:t>
      </w:r>
    </w:p>
  </w:footnote>
  <w:footnote w:type="continuationNotice" w:id="1">
    <w:p w14:paraId="15FFD36F" w14:textId="77777777" w:rsidR="00E25E32" w:rsidRDefault="00E25E3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E91D0" w14:textId="77777777" w:rsidR="0072693A" w:rsidRDefault="0072693A">
    <w:pPr>
      <w:pStyle w:val="Header"/>
      <w:spacing w:after="0"/>
      <w:rPr>
        <w:sz w:val="8"/>
      </w:rPr>
    </w:pPr>
    <w:r>
      <w:br/>
      <w:t xml:space="preserve">Page </w:t>
    </w:r>
    <w:r>
      <w:fldChar w:fldCharType="begin"/>
    </w:r>
    <w:r>
      <w:instrText xml:space="preserve"> PAGE </w:instrText>
    </w:r>
    <w:r>
      <w:fldChar w:fldCharType="separate"/>
    </w:r>
    <w:r w:rsidR="001B0324">
      <w:rPr>
        <w:noProof/>
      </w:rPr>
      <w:t>12</w:t>
    </w:r>
    <w:r>
      <w:fldChar w:fldCharType="end"/>
    </w:r>
    <w:r>
      <w:br/>
    </w:r>
  </w:p>
  <w:p w14:paraId="6ACCBE17" w14:textId="62C988E1" w:rsidR="0072693A" w:rsidRDefault="007855D6">
    <w:pPr>
      <w:pStyle w:val="zyxClassification1"/>
    </w:pPr>
    <w:r>
      <w:fldChar w:fldCharType="begin"/>
    </w:r>
    <w:r>
      <w:instrText xml:space="preserve"> DOCPROPERTY "IaeaClassification"  \* MERGEFORMAT </w:instrText>
    </w:r>
    <w:r>
      <w:fldChar w:fldCharType="end"/>
    </w:r>
  </w:p>
  <w:p w14:paraId="4BA556FD" w14:textId="6895008B" w:rsidR="0072693A" w:rsidRDefault="007855D6">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0AF57" w14:textId="245661B6" w:rsidR="0072693A" w:rsidRPr="003332DA" w:rsidRDefault="0072693A" w:rsidP="003332DA">
    <w:pPr>
      <w:pStyle w:val="Header"/>
      <w:spacing w:after="0"/>
      <w:jc w:val="right"/>
      <w:rPr>
        <w:sz w:val="8"/>
        <w:szCs w:val="8"/>
      </w:rPr>
    </w:pPr>
    <w:r>
      <w:br/>
      <w:t xml:space="preserve">Page </w:t>
    </w:r>
    <w:r>
      <w:fldChar w:fldCharType="begin"/>
    </w:r>
    <w:r>
      <w:instrText xml:space="preserve"> PAGE </w:instrText>
    </w:r>
    <w:r>
      <w:fldChar w:fldCharType="separate"/>
    </w:r>
    <w:r w:rsidR="001B0324">
      <w:rPr>
        <w:noProof/>
      </w:rPr>
      <w:t>11</w:t>
    </w:r>
    <w:r>
      <w:fldChar w:fldCharType="end"/>
    </w:r>
    <w:r>
      <w:br/>
    </w:r>
  </w:p>
  <w:p w14:paraId="7DF356AC" w14:textId="77777777" w:rsidR="0072693A" w:rsidRDefault="0072693A">
    <w:pPr>
      <w:jc w:val="right"/>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72693A" w14:paraId="77EAC30D" w14:textId="77777777">
      <w:trPr>
        <w:cantSplit/>
        <w:trHeight w:val="716"/>
      </w:trPr>
      <w:tc>
        <w:tcPr>
          <w:tcW w:w="979" w:type="dxa"/>
          <w:vMerge w:val="restart"/>
        </w:tcPr>
        <w:p w14:paraId="41BB6E62" w14:textId="77777777" w:rsidR="0072693A" w:rsidRDefault="0072693A">
          <w:pPr>
            <w:spacing w:before="180"/>
            <w:ind w:left="17"/>
          </w:pPr>
        </w:p>
      </w:tc>
      <w:tc>
        <w:tcPr>
          <w:tcW w:w="3638" w:type="dxa"/>
          <w:vAlign w:val="bottom"/>
        </w:tcPr>
        <w:p w14:paraId="4E8677B8" w14:textId="77777777" w:rsidR="0072693A" w:rsidRDefault="0072693A">
          <w:pPr>
            <w:spacing w:after="20"/>
          </w:pPr>
        </w:p>
      </w:tc>
      <w:tc>
        <w:tcPr>
          <w:tcW w:w="5702" w:type="dxa"/>
          <w:vMerge w:val="restart"/>
          <w:tcMar>
            <w:right w:w="193" w:type="dxa"/>
          </w:tcMar>
        </w:tcPr>
        <w:p w14:paraId="17ABA30A" w14:textId="5F914323" w:rsidR="0072693A" w:rsidRDefault="0072693A">
          <w:pPr>
            <w:pStyle w:val="zyxConfidBlack"/>
            <w:framePr w:wrap="auto" w:vAnchor="margin" w:hAnchor="text" w:xAlign="left" w:yAlign="inline"/>
            <w:suppressOverlap w:val="0"/>
          </w:pPr>
          <w:bookmarkStart w:id="4" w:name="DOC_bkmClassification1"/>
        </w:p>
        <w:bookmarkEnd w:id="4"/>
        <w:p w14:paraId="2E9A7E44" w14:textId="20EF3EC3" w:rsidR="0072693A" w:rsidRDefault="0072693A">
          <w:pPr>
            <w:pStyle w:val="zyxConfid2Red"/>
          </w:pPr>
        </w:p>
      </w:tc>
    </w:tr>
    <w:tr w:rsidR="0072693A" w14:paraId="1345E28B" w14:textId="77777777">
      <w:trPr>
        <w:cantSplit/>
        <w:trHeight w:val="167"/>
      </w:trPr>
      <w:tc>
        <w:tcPr>
          <w:tcW w:w="979" w:type="dxa"/>
          <w:vMerge/>
        </w:tcPr>
        <w:p w14:paraId="0449CD73" w14:textId="77777777" w:rsidR="0072693A" w:rsidRDefault="0072693A">
          <w:pPr>
            <w:spacing w:before="57"/>
          </w:pPr>
        </w:p>
      </w:tc>
      <w:tc>
        <w:tcPr>
          <w:tcW w:w="3638" w:type="dxa"/>
          <w:vAlign w:val="bottom"/>
        </w:tcPr>
        <w:p w14:paraId="1E5B74D8" w14:textId="77777777" w:rsidR="0072693A" w:rsidRDefault="0072693A">
          <w:pPr>
            <w:pStyle w:val="Heading9"/>
            <w:spacing w:before="0" w:after="10"/>
          </w:pPr>
        </w:p>
      </w:tc>
      <w:tc>
        <w:tcPr>
          <w:tcW w:w="5702" w:type="dxa"/>
          <w:vMerge/>
          <w:vAlign w:val="bottom"/>
        </w:tcPr>
        <w:p w14:paraId="359E418F" w14:textId="77777777" w:rsidR="0072693A" w:rsidRDefault="0072693A">
          <w:pPr>
            <w:pStyle w:val="Heading9"/>
            <w:spacing w:before="0" w:after="10"/>
          </w:pPr>
        </w:p>
      </w:tc>
    </w:tr>
  </w:tbl>
  <w:p w14:paraId="7B10AEEE" w14:textId="77777777" w:rsidR="0072693A" w:rsidRDefault="007269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5640"/>
    <w:multiLevelType w:val="hybridMultilevel"/>
    <w:tmpl w:val="5C86F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290B20"/>
    <w:multiLevelType w:val="hybridMultilevel"/>
    <w:tmpl w:val="D3666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3">
    <w:nsid w:val="13E326A8"/>
    <w:multiLevelType w:val="hybridMultilevel"/>
    <w:tmpl w:val="5484A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2974D5"/>
    <w:multiLevelType w:val="hybridMultilevel"/>
    <w:tmpl w:val="C2FCDAB2"/>
    <w:lvl w:ilvl="0" w:tplc="08090001">
      <w:start w:val="1"/>
      <w:numFmt w:val="bullet"/>
      <w:lvlText w:val=""/>
      <w:lvlJc w:val="left"/>
      <w:pPr>
        <w:tabs>
          <w:tab w:val="num" w:pos="1488"/>
        </w:tabs>
        <w:ind w:left="1488" w:hanging="360"/>
      </w:pPr>
      <w:rPr>
        <w:rFonts w:ascii="Symbol" w:hAnsi="Symbol" w:hint="default"/>
      </w:rPr>
    </w:lvl>
    <w:lvl w:ilvl="1" w:tplc="08090003">
      <w:start w:val="1"/>
      <w:numFmt w:val="bullet"/>
      <w:lvlText w:val="o"/>
      <w:lvlJc w:val="left"/>
      <w:pPr>
        <w:tabs>
          <w:tab w:val="num" w:pos="2208"/>
        </w:tabs>
        <w:ind w:left="2208" w:hanging="360"/>
      </w:pPr>
      <w:rPr>
        <w:rFonts w:ascii="Courier New" w:hAnsi="Courier New" w:cs="Courier New" w:hint="default"/>
      </w:rPr>
    </w:lvl>
    <w:lvl w:ilvl="2" w:tplc="08090005" w:tentative="1">
      <w:start w:val="1"/>
      <w:numFmt w:val="bullet"/>
      <w:lvlText w:val=""/>
      <w:lvlJc w:val="left"/>
      <w:pPr>
        <w:tabs>
          <w:tab w:val="num" w:pos="2928"/>
        </w:tabs>
        <w:ind w:left="2928" w:hanging="360"/>
      </w:pPr>
      <w:rPr>
        <w:rFonts w:ascii="Wingdings" w:hAnsi="Wingdings" w:hint="default"/>
      </w:rPr>
    </w:lvl>
    <w:lvl w:ilvl="3" w:tplc="08090001" w:tentative="1">
      <w:start w:val="1"/>
      <w:numFmt w:val="bullet"/>
      <w:lvlText w:val=""/>
      <w:lvlJc w:val="left"/>
      <w:pPr>
        <w:tabs>
          <w:tab w:val="num" w:pos="3648"/>
        </w:tabs>
        <w:ind w:left="3648" w:hanging="360"/>
      </w:pPr>
      <w:rPr>
        <w:rFonts w:ascii="Symbol" w:hAnsi="Symbol" w:hint="default"/>
      </w:rPr>
    </w:lvl>
    <w:lvl w:ilvl="4" w:tplc="08090003" w:tentative="1">
      <w:start w:val="1"/>
      <w:numFmt w:val="bullet"/>
      <w:lvlText w:val="o"/>
      <w:lvlJc w:val="left"/>
      <w:pPr>
        <w:tabs>
          <w:tab w:val="num" w:pos="4368"/>
        </w:tabs>
        <w:ind w:left="4368" w:hanging="360"/>
      </w:pPr>
      <w:rPr>
        <w:rFonts w:ascii="Courier New" w:hAnsi="Courier New" w:cs="Courier New" w:hint="default"/>
      </w:rPr>
    </w:lvl>
    <w:lvl w:ilvl="5" w:tplc="08090005" w:tentative="1">
      <w:start w:val="1"/>
      <w:numFmt w:val="bullet"/>
      <w:lvlText w:val=""/>
      <w:lvlJc w:val="left"/>
      <w:pPr>
        <w:tabs>
          <w:tab w:val="num" w:pos="5088"/>
        </w:tabs>
        <w:ind w:left="5088" w:hanging="360"/>
      </w:pPr>
      <w:rPr>
        <w:rFonts w:ascii="Wingdings" w:hAnsi="Wingdings" w:hint="default"/>
      </w:rPr>
    </w:lvl>
    <w:lvl w:ilvl="6" w:tplc="08090001" w:tentative="1">
      <w:start w:val="1"/>
      <w:numFmt w:val="bullet"/>
      <w:lvlText w:val=""/>
      <w:lvlJc w:val="left"/>
      <w:pPr>
        <w:tabs>
          <w:tab w:val="num" w:pos="5808"/>
        </w:tabs>
        <w:ind w:left="5808" w:hanging="360"/>
      </w:pPr>
      <w:rPr>
        <w:rFonts w:ascii="Symbol" w:hAnsi="Symbol" w:hint="default"/>
      </w:rPr>
    </w:lvl>
    <w:lvl w:ilvl="7" w:tplc="08090003" w:tentative="1">
      <w:start w:val="1"/>
      <w:numFmt w:val="bullet"/>
      <w:lvlText w:val="o"/>
      <w:lvlJc w:val="left"/>
      <w:pPr>
        <w:tabs>
          <w:tab w:val="num" w:pos="6528"/>
        </w:tabs>
        <w:ind w:left="6528" w:hanging="360"/>
      </w:pPr>
      <w:rPr>
        <w:rFonts w:ascii="Courier New" w:hAnsi="Courier New" w:cs="Courier New" w:hint="default"/>
      </w:rPr>
    </w:lvl>
    <w:lvl w:ilvl="8" w:tplc="08090005" w:tentative="1">
      <w:start w:val="1"/>
      <w:numFmt w:val="bullet"/>
      <w:lvlText w:val=""/>
      <w:lvlJc w:val="left"/>
      <w:pPr>
        <w:tabs>
          <w:tab w:val="num" w:pos="7248"/>
        </w:tabs>
        <w:ind w:left="7248" w:hanging="360"/>
      </w:pPr>
      <w:rPr>
        <w:rFonts w:ascii="Wingdings" w:hAnsi="Wingdings" w:hint="default"/>
      </w:rPr>
    </w:lvl>
  </w:abstractNum>
  <w:abstractNum w:abstractNumId="5">
    <w:nsid w:val="18CD3243"/>
    <w:multiLevelType w:val="hybridMultilevel"/>
    <w:tmpl w:val="ECCE6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E2429"/>
    <w:multiLevelType w:val="hybridMultilevel"/>
    <w:tmpl w:val="08CE2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20724E"/>
    <w:multiLevelType w:val="hybridMultilevel"/>
    <w:tmpl w:val="EE5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0">
    <w:nsid w:val="3B0B56EC"/>
    <w:multiLevelType w:val="hybridMultilevel"/>
    <w:tmpl w:val="D2386434"/>
    <w:lvl w:ilvl="0" w:tplc="261C8280">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F35D8B"/>
    <w:multiLevelType w:val="hybridMultilevel"/>
    <w:tmpl w:val="D898D95C"/>
    <w:lvl w:ilvl="0" w:tplc="8A2E90F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4571446E"/>
    <w:multiLevelType w:val="hybridMultilevel"/>
    <w:tmpl w:val="E7041B4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3">
    <w:nsid w:val="481B7FCE"/>
    <w:multiLevelType w:val="hybridMultilevel"/>
    <w:tmpl w:val="C02C1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23ADC"/>
    <w:multiLevelType w:val="hybridMultilevel"/>
    <w:tmpl w:val="EDA45D6C"/>
    <w:lvl w:ilvl="0" w:tplc="8A2E90F8">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70344CB"/>
    <w:multiLevelType w:val="hybridMultilevel"/>
    <w:tmpl w:val="B420A9A4"/>
    <w:lvl w:ilvl="0" w:tplc="647EAC64">
      <w:start w:val="1"/>
      <w:numFmt w:val="bullet"/>
      <w:lvlText w:val=""/>
      <w:lvlJc w:val="left"/>
      <w:pPr>
        <w:tabs>
          <w:tab w:val="num" w:pos="360"/>
        </w:tabs>
        <w:ind w:left="360" w:hanging="360"/>
      </w:pPr>
      <w:rPr>
        <w:rFonts w:ascii="Symbol" w:hAnsi="Symbol" w:hint="default"/>
        <w:sz w:val="18"/>
      </w:rPr>
    </w:lvl>
    <w:lvl w:ilvl="1" w:tplc="08090001">
      <w:start w:val="1"/>
      <w:numFmt w:val="bullet"/>
      <w:lvlText w:val=""/>
      <w:lvlJc w:val="left"/>
      <w:pPr>
        <w:tabs>
          <w:tab w:val="num" w:pos="796"/>
        </w:tabs>
        <w:ind w:left="796" w:hanging="360"/>
      </w:pPr>
      <w:rPr>
        <w:rFonts w:ascii="Symbol" w:hAnsi="Symbol"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abstractNum w:abstractNumId="17">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2E95692"/>
    <w:multiLevelType w:val="hybridMultilevel"/>
    <w:tmpl w:val="B4162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FD51093"/>
    <w:multiLevelType w:val="multilevel"/>
    <w:tmpl w:val="3C96AECA"/>
    <w:name w:val="HeadingTemplate"/>
    <w:lvl w:ilvl="0">
      <w:start w:val="1"/>
      <w:numFmt w:val="upperLetter"/>
      <w:lvlRestart w:val="0"/>
      <w:lvlText w:val="%1."/>
      <w:lvlJc w:val="left"/>
      <w:pPr>
        <w:tabs>
          <w:tab w:val="num" w:pos="459"/>
        </w:tabs>
        <w:ind w:left="0" w:firstLine="0"/>
      </w:pPr>
    </w:lvl>
    <w:lvl w:ilvl="1">
      <w:start w:val="1"/>
      <w:numFmt w:val="decimal"/>
      <w:suff w:val="space"/>
      <w:lvlText w:val="%1.%2."/>
      <w:lvlJc w:val="left"/>
      <w:pPr>
        <w:tabs>
          <w:tab w:val="num" w:pos="459"/>
        </w:tabs>
        <w:ind w:left="0" w:firstLine="0"/>
      </w:pPr>
      <w:rPr>
        <w:color w:val="auto"/>
      </w:rPr>
    </w:lvl>
    <w:lvl w:ilvl="2">
      <w:start w:val="1"/>
      <w:numFmt w:val="decimal"/>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20">
    <w:nsid w:val="72F8671A"/>
    <w:multiLevelType w:val="hybridMultilevel"/>
    <w:tmpl w:val="319ED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79B85122"/>
    <w:multiLevelType w:val="hybridMultilevel"/>
    <w:tmpl w:val="D040BBDC"/>
    <w:lvl w:ilvl="0" w:tplc="98BC012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14389E"/>
    <w:multiLevelType w:val="hybridMultilevel"/>
    <w:tmpl w:val="4058C74E"/>
    <w:lvl w:ilvl="0" w:tplc="745414FC">
      <w:start w:val="1"/>
      <w:numFmt w:val="upperLetter"/>
      <w:pStyle w:val="Heading1"/>
      <w:lvlText w:val="%1."/>
      <w:lvlJc w:val="left"/>
      <w:pPr>
        <w:ind w:left="720" w:hanging="360"/>
      </w:pPr>
      <w:rPr>
        <w:rFonts w:ascii="Times New Roman" w:hAnsi="Times New Roman" w:cs="Times New Roman"/>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9151E8"/>
    <w:multiLevelType w:val="hybridMultilevel"/>
    <w:tmpl w:val="E03E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9"/>
  </w:num>
  <w:num w:numId="4">
    <w:abstractNumId w:val="19"/>
  </w:num>
  <w:num w:numId="5">
    <w:abstractNumId w:val="19"/>
  </w:num>
  <w:num w:numId="6">
    <w:abstractNumId w:val="9"/>
  </w:num>
  <w:num w:numId="7">
    <w:abstractNumId w:val="17"/>
  </w:num>
  <w:num w:numId="8">
    <w:abstractNumId w:val="21"/>
  </w:num>
  <w:num w:numId="9">
    <w:abstractNumId w:val="2"/>
  </w:num>
  <w:num w:numId="10">
    <w:abstractNumId w:val="10"/>
  </w:num>
  <w:num w:numId="11">
    <w:abstractNumId w:val="22"/>
  </w:num>
  <w:num w:numId="12">
    <w:abstractNumId w:val="6"/>
  </w:num>
  <w:num w:numId="13">
    <w:abstractNumId w:val="15"/>
  </w:num>
  <w:num w:numId="14">
    <w:abstractNumId w:val="15"/>
  </w:num>
  <w:num w:numId="15">
    <w:abstractNumId w:val="15"/>
  </w:num>
  <w:num w:numId="16">
    <w:abstractNumId w:val="22"/>
  </w:num>
  <w:num w:numId="17">
    <w:abstractNumId w:val="23"/>
  </w:num>
  <w:num w:numId="18">
    <w:abstractNumId w:val="16"/>
  </w:num>
  <w:num w:numId="19">
    <w:abstractNumId w:val="3"/>
  </w:num>
  <w:num w:numId="20">
    <w:abstractNumId w:val="14"/>
  </w:num>
  <w:num w:numId="2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13"/>
  </w:num>
  <w:num w:numId="25">
    <w:abstractNumId w:val="8"/>
  </w:num>
  <w:num w:numId="26">
    <w:abstractNumId w:val="24"/>
  </w:num>
  <w:num w:numId="27">
    <w:abstractNumId w:val="20"/>
  </w:num>
  <w:num w:numId="28">
    <w:abstractNumId w:val="0"/>
  </w:num>
  <w:num w:numId="29">
    <w:abstractNumId w:val="5"/>
  </w:num>
  <w:num w:numId="30">
    <w:abstractNumId w:val="1"/>
  </w:num>
  <w:num w:numId="31">
    <w:abstractNumId w:val="18"/>
  </w:num>
  <w:num w:numId="32">
    <w:abstractNumId w:val="2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9943FA"/>
    <w:rsid w:val="000229AB"/>
    <w:rsid w:val="00051557"/>
    <w:rsid w:val="000D4073"/>
    <w:rsid w:val="000D4173"/>
    <w:rsid w:val="000E4286"/>
    <w:rsid w:val="000F033E"/>
    <w:rsid w:val="000F0519"/>
    <w:rsid w:val="000F3EDC"/>
    <w:rsid w:val="000F7E94"/>
    <w:rsid w:val="00110DC6"/>
    <w:rsid w:val="001114C8"/>
    <w:rsid w:val="0011636E"/>
    <w:rsid w:val="00125555"/>
    <w:rsid w:val="0013076F"/>
    <w:rsid w:val="0015429A"/>
    <w:rsid w:val="00165B45"/>
    <w:rsid w:val="001A14C1"/>
    <w:rsid w:val="001B0324"/>
    <w:rsid w:val="001B20E0"/>
    <w:rsid w:val="001F3F28"/>
    <w:rsid w:val="00231DAC"/>
    <w:rsid w:val="00243701"/>
    <w:rsid w:val="00260293"/>
    <w:rsid w:val="0026679E"/>
    <w:rsid w:val="00274790"/>
    <w:rsid w:val="00276559"/>
    <w:rsid w:val="00280868"/>
    <w:rsid w:val="002944CA"/>
    <w:rsid w:val="002C3F6D"/>
    <w:rsid w:val="002E120D"/>
    <w:rsid w:val="0031580D"/>
    <w:rsid w:val="00322985"/>
    <w:rsid w:val="003332DA"/>
    <w:rsid w:val="00333966"/>
    <w:rsid w:val="00337B52"/>
    <w:rsid w:val="00362111"/>
    <w:rsid w:val="00385647"/>
    <w:rsid w:val="00387BB9"/>
    <w:rsid w:val="003A4CFD"/>
    <w:rsid w:val="003B0083"/>
    <w:rsid w:val="003B1DED"/>
    <w:rsid w:val="003C6C01"/>
    <w:rsid w:val="003D255A"/>
    <w:rsid w:val="003F29DB"/>
    <w:rsid w:val="003F51F4"/>
    <w:rsid w:val="0040319F"/>
    <w:rsid w:val="00432D88"/>
    <w:rsid w:val="00491AB2"/>
    <w:rsid w:val="004A7E7A"/>
    <w:rsid w:val="004E663A"/>
    <w:rsid w:val="004E6B98"/>
    <w:rsid w:val="005002E1"/>
    <w:rsid w:val="005250F7"/>
    <w:rsid w:val="00544156"/>
    <w:rsid w:val="005530B7"/>
    <w:rsid w:val="0055431A"/>
    <w:rsid w:val="00573C87"/>
    <w:rsid w:val="00580C57"/>
    <w:rsid w:val="00595DCB"/>
    <w:rsid w:val="005B6836"/>
    <w:rsid w:val="005B6E72"/>
    <w:rsid w:val="005C2869"/>
    <w:rsid w:val="005D6BF1"/>
    <w:rsid w:val="005E28D8"/>
    <w:rsid w:val="005E29CC"/>
    <w:rsid w:val="005E4066"/>
    <w:rsid w:val="005E4431"/>
    <w:rsid w:val="0060008F"/>
    <w:rsid w:val="006117D0"/>
    <w:rsid w:val="0062541E"/>
    <w:rsid w:val="0063750C"/>
    <w:rsid w:val="00657734"/>
    <w:rsid w:val="00657F22"/>
    <w:rsid w:val="006617F7"/>
    <w:rsid w:val="006720EC"/>
    <w:rsid w:val="006727C1"/>
    <w:rsid w:val="00677520"/>
    <w:rsid w:val="006B3216"/>
    <w:rsid w:val="006B34CB"/>
    <w:rsid w:val="006B59F8"/>
    <w:rsid w:val="006C46BA"/>
    <w:rsid w:val="006D16CA"/>
    <w:rsid w:val="006D57B9"/>
    <w:rsid w:val="006F4FE7"/>
    <w:rsid w:val="0072693A"/>
    <w:rsid w:val="00740220"/>
    <w:rsid w:val="00741925"/>
    <w:rsid w:val="00742F46"/>
    <w:rsid w:val="007445DA"/>
    <w:rsid w:val="00750DF0"/>
    <w:rsid w:val="007855D6"/>
    <w:rsid w:val="007A12C6"/>
    <w:rsid w:val="007C12D0"/>
    <w:rsid w:val="007E59E8"/>
    <w:rsid w:val="00802EC4"/>
    <w:rsid w:val="00804062"/>
    <w:rsid w:val="008529C1"/>
    <w:rsid w:val="0089241A"/>
    <w:rsid w:val="00897F1A"/>
    <w:rsid w:val="008A141F"/>
    <w:rsid w:val="008B22A2"/>
    <w:rsid w:val="008D3425"/>
    <w:rsid w:val="008D6F04"/>
    <w:rsid w:val="008F3152"/>
    <w:rsid w:val="008F4504"/>
    <w:rsid w:val="00905746"/>
    <w:rsid w:val="00905C6B"/>
    <w:rsid w:val="00966101"/>
    <w:rsid w:val="009943FA"/>
    <w:rsid w:val="009D0295"/>
    <w:rsid w:val="009D0B86"/>
    <w:rsid w:val="009E26FF"/>
    <w:rsid w:val="00A044BB"/>
    <w:rsid w:val="00A163F7"/>
    <w:rsid w:val="00A4103B"/>
    <w:rsid w:val="00A45C0D"/>
    <w:rsid w:val="00A47645"/>
    <w:rsid w:val="00A756D2"/>
    <w:rsid w:val="00AC7143"/>
    <w:rsid w:val="00AE262E"/>
    <w:rsid w:val="00AF76A8"/>
    <w:rsid w:val="00B05CCC"/>
    <w:rsid w:val="00B11CE6"/>
    <w:rsid w:val="00B27A03"/>
    <w:rsid w:val="00B330C0"/>
    <w:rsid w:val="00B41854"/>
    <w:rsid w:val="00B521CB"/>
    <w:rsid w:val="00B618AA"/>
    <w:rsid w:val="00B633E5"/>
    <w:rsid w:val="00B64059"/>
    <w:rsid w:val="00B77990"/>
    <w:rsid w:val="00B81415"/>
    <w:rsid w:val="00BA4EE9"/>
    <w:rsid w:val="00BA7389"/>
    <w:rsid w:val="00BC3718"/>
    <w:rsid w:val="00BD1400"/>
    <w:rsid w:val="00BE2A76"/>
    <w:rsid w:val="00BF037B"/>
    <w:rsid w:val="00BF68CA"/>
    <w:rsid w:val="00C20A6A"/>
    <w:rsid w:val="00C21AC1"/>
    <w:rsid w:val="00C623B3"/>
    <w:rsid w:val="00C66FD6"/>
    <w:rsid w:val="00C7512B"/>
    <w:rsid w:val="00CA05E6"/>
    <w:rsid w:val="00CA4203"/>
    <w:rsid w:val="00CA5882"/>
    <w:rsid w:val="00CC6750"/>
    <w:rsid w:val="00CD25AE"/>
    <w:rsid w:val="00CE5A52"/>
    <w:rsid w:val="00D15603"/>
    <w:rsid w:val="00D61D3D"/>
    <w:rsid w:val="00D626A1"/>
    <w:rsid w:val="00DA46CA"/>
    <w:rsid w:val="00DC4155"/>
    <w:rsid w:val="00DD0331"/>
    <w:rsid w:val="00DD5F8C"/>
    <w:rsid w:val="00DE2924"/>
    <w:rsid w:val="00E12FF2"/>
    <w:rsid w:val="00E20E70"/>
    <w:rsid w:val="00E23813"/>
    <w:rsid w:val="00E24E0A"/>
    <w:rsid w:val="00E25E32"/>
    <w:rsid w:val="00E379C7"/>
    <w:rsid w:val="00E54B23"/>
    <w:rsid w:val="00E633E6"/>
    <w:rsid w:val="00E65547"/>
    <w:rsid w:val="00E7421C"/>
    <w:rsid w:val="00E75F70"/>
    <w:rsid w:val="00E77634"/>
    <w:rsid w:val="00EE75B5"/>
    <w:rsid w:val="00F1752C"/>
    <w:rsid w:val="00F1761D"/>
    <w:rsid w:val="00F342E2"/>
    <w:rsid w:val="00F4545E"/>
    <w:rsid w:val="00F64C68"/>
    <w:rsid w:val="00F87858"/>
    <w:rsid w:val="00F952CC"/>
    <w:rsid w:val="00FD78C4"/>
    <w:rsid w:val="00FE0197"/>
    <w:rsid w:val="00FE20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A53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4504"/>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450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49" w:defSemiHidden="0" w:defUnhideWhenUsed="0" w:defQFormat="0" w:count="267">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footnote text" w:uiPriority="0"/>
    <w:lsdException w:name="annotation text" w:uiPriority="0"/>
    <w:lsdException w:name="header" w:uiPriority="0"/>
    <w:lsdException w:name="footer" w:uiPriority="99"/>
    <w:lsdException w:name="caption" w:uiPriority="0"/>
    <w:lsdException w:name="footnote reference" w:uiPriority="0"/>
    <w:lsdException w:name="annotation reference" w:uiPriority="0"/>
    <w:lsdException w:name="Title" w:uiPriority="0" w:qFormat="1"/>
    <w:lsdException w:name="Default Paragraph Font" w:uiPriority="0"/>
    <w:lsdException w:name="Body Text" w:uiPriority="0" w:qFormat="1"/>
    <w:lsdException w:name="Body Text Indent" w:uiPriority="0"/>
    <w:lsdException w:name="Subtitle" w:uiPriority="0" w:qFormat="1"/>
    <w:lsdException w:name="Hyperlink" w:uiPriority="0"/>
    <w:lsdException w:name="HTML Top of Form" w:uiPriority="0"/>
    <w:lsdException w:name="HTML Bottom of Form" w:uiPriority="0"/>
    <w:lsdException w:name="HTML Acronym" w:uiPriority="19"/>
    <w:lsdException w:name="HTML Address" w:uiPriority="19"/>
    <w:lsdException w:name="Normal Table" w:uiPriority="0"/>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750DF0"/>
    <w:pPr>
      <w:overflowPunct w:val="0"/>
      <w:autoSpaceDE w:val="0"/>
      <w:autoSpaceDN w:val="0"/>
      <w:adjustRightInd w:val="0"/>
      <w:textAlignment w:val="baseline"/>
    </w:pPr>
    <w:rPr>
      <w:sz w:val="22"/>
      <w:lang w:eastAsia="en-US"/>
    </w:rPr>
  </w:style>
  <w:style w:type="paragraph" w:styleId="Heading1">
    <w:name w:val="heading 1"/>
    <w:next w:val="BodyTextMultiline"/>
    <w:link w:val="Heading1Char"/>
    <w:qFormat/>
    <w:rsid w:val="008F4504"/>
    <w:pPr>
      <w:keepNext/>
      <w:keepLines/>
      <w:widowControl w:val="0"/>
      <w:numPr>
        <w:numId w:val="17"/>
      </w:numPr>
      <w:spacing w:before="851" w:after="390" w:line="360" w:lineRule="exact"/>
      <w:ind w:left="0" w:firstLine="0"/>
      <w:outlineLvl w:val="0"/>
    </w:pPr>
    <w:rPr>
      <w:b/>
      <w:sz w:val="32"/>
      <w:lang w:eastAsia="en-US"/>
    </w:rPr>
  </w:style>
  <w:style w:type="paragraph" w:styleId="Heading2">
    <w:name w:val="heading 2"/>
    <w:next w:val="BodyTextMultiline"/>
    <w:qFormat/>
    <w:rsid w:val="008F4504"/>
    <w:pPr>
      <w:keepNext/>
      <w:keepLines/>
      <w:widowControl w:val="0"/>
      <w:spacing w:before="480" w:after="200" w:line="320" w:lineRule="exact"/>
      <w:outlineLvl w:val="1"/>
    </w:pPr>
    <w:rPr>
      <w:b/>
      <w:sz w:val="28"/>
      <w:lang w:eastAsia="en-US"/>
    </w:rPr>
  </w:style>
  <w:style w:type="paragraph" w:styleId="Heading3">
    <w:name w:val="heading 3"/>
    <w:next w:val="BodyTextMultiline"/>
    <w:qFormat/>
    <w:pPr>
      <w:widowControl w:val="0"/>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Char,Italics Quote,Corps de texte1"/>
    <w:link w:val="BodyTextChar"/>
    <w:qFormat/>
    <w:pPr>
      <w:spacing w:after="170" w:line="280" w:lineRule="atLeast"/>
      <w:jc w:val="both"/>
    </w:pPr>
    <w:rPr>
      <w:sz w:val="22"/>
      <w:lang w:eastAsia="en-US"/>
    </w:rPr>
  </w:style>
  <w:style w:type="paragraph" w:styleId="BodyTextIndent">
    <w:name w:val="Body Text Indent"/>
    <w:basedOn w:val="BodyText"/>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paragraph" w:styleId="BalloonText">
    <w:name w:val="Balloon Text"/>
    <w:basedOn w:val="Normal"/>
    <w:link w:val="BalloonTextChar"/>
    <w:uiPriority w:val="49"/>
    <w:rsid w:val="009943FA"/>
    <w:rPr>
      <w:rFonts w:ascii="Tahoma" w:hAnsi="Tahoma" w:cs="Tahoma"/>
      <w:sz w:val="16"/>
      <w:szCs w:val="16"/>
    </w:rPr>
  </w:style>
  <w:style w:type="character" w:customStyle="1" w:styleId="BalloonTextChar">
    <w:name w:val="Balloon Text Char"/>
    <w:basedOn w:val="DefaultParagraphFont"/>
    <w:link w:val="BalloonText"/>
    <w:uiPriority w:val="49"/>
    <w:rsid w:val="009943FA"/>
    <w:rPr>
      <w:rFonts w:ascii="Tahoma" w:hAnsi="Tahoma" w:cs="Tahoma"/>
      <w:sz w:val="16"/>
      <w:szCs w:val="16"/>
      <w:lang w:eastAsia="en-US"/>
    </w:rPr>
  </w:style>
  <w:style w:type="paragraph" w:styleId="ListParagraph">
    <w:name w:val="List Paragraph"/>
    <w:basedOn w:val="Normal"/>
    <w:uiPriority w:val="49"/>
    <w:rsid w:val="00750DF0"/>
    <w:pPr>
      <w:ind w:left="720"/>
      <w:contextualSpacing/>
    </w:pPr>
  </w:style>
  <w:style w:type="character" w:styleId="Hyperlink">
    <w:name w:val="Hyperlink"/>
    <w:basedOn w:val="DefaultParagraphFont"/>
    <w:rsid w:val="00750DF0"/>
    <w:rPr>
      <w:color w:val="0000FF" w:themeColor="hyperlink"/>
      <w:u w:val="single"/>
    </w:rPr>
  </w:style>
  <w:style w:type="character" w:customStyle="1" w:styleId="FooterChar">
    <w:name w:val="Footer Char"/>
    <w:basedOn w:val="DefaultParagraphFont"/>
    <w:link w:val="Footer"/>
    <w:uiPriority w:val="99"/>
    <w:rsid w:val="006617F7"/>
    <w:rPr>
      <w:sz w:val="2"/>
      <w:lang w:val="en-US" w:eastAsia="en-US"/>
    </w:rPr>
  </w:style>
  <w:style w:type="character" w:styleId="CommentReference">
    <w:name w:val="annotation reference"/>
    <w:basedOn w:val="DefaultParagraphFont"/>
    <w:rsid w:val="00CA05E6"/>
    <w:rPr>
      <w:sz w:val="16"/>
      <w:szCs w:val="16"/>
    </w:rPr>
  </w:style>
  <w:style w:type="paragraph" w:styleId="CommentText">
    <w:name w:val="annotation text"/>
    <w:basedOn w:val="Normal"/>
    <w:link w:val="CommentTextChar"/>
    <w:rsid w:val="00CA05E6"/>
    <w:rPr>
      <w:sz w:val="20"/>
    </w:rPr>
  </w:style>
  <w:style w:type="character" w:customStyle="1" w:styleId="CommentTextChar">
    <w:name w:val="Comment Text Char"/>
    <w:basedOn w:val="DefaultParagraphFont"/>
    <w:link w:val="CommentText"/>
    <w:rsid w:val="00CA05E6"/>
    <w:rPr>
      <w:lang w:eastAsia="en-US"/>
    </w:rPr>
  </w:style>
  <w:style w:type="paragraph" w:styleId="CommentSubject">
    <w:name w:val="annotation subject"/>
    <w:basedOn w:val="CommentText"/>
    <w:next w:val="CommentText"/>
    <w:link w:val="CommentSubjectChar"/>
    <w:uiPriority w:val="49"/>
    <w:rsid w:val="00CA05E6"/>
    <w:rPr>
      <w:b/>
      <w:bCs/>
    </w:rPr>
  </w:style>
  <w:style w:type="character" w:customStyle="1" w:styleId="CommentSubjectChar">
    <w:name w:val="Comment Subject Char"/>
    <w:basedOn w:val="CommentTextChar"/>
    <w:link w:val="CommentSubject"/>
    <w:uiPriority w:val="49"/>
    <w:rsid w:val="00CA05E6"/>
    <w:rPr>
      <w:b/>
      <w:bCs/>
      <w:lang w:eastAsia="en-US"/>
    </w:rPr>
  </w:style>
  <w:style w:type="paragraph" w:styleId="Revision">
    <w:name w:val="Revision"/>
    <w:hidden/>
    <w:uiPriority w:val="99"/>
    <w:semiHidden/>
    <w:rsid w:val="003B1DED"/>
    <w:rPr>
      <w:sz w:val="22"/>
      <w:lang w:eastAsia="en-US"/>
    </w:rPr>
  </w:style>
  <w:style w:type="character" w:customStyle="1" w:styleId="Heading1Char">
    <w:name w:val="Heading 1 Char"/>
    <w:link w:val="Heading1"/>
    <w:locked/>
    <w:rsid w:val="008F4504"/>
    <w:rPr>
      <w:b/>
      <w:sz w:val="32"/>
      <w:lang w:eastAsia="en-US"/>
    </w:rPr>
  </w:style>
  <w:style w:type="character" w:styleId="FollowedHyperlink">
    <w:name w:val="FollowedHyperlink"/>
    <w:basedOn w:val="DefaultParagraphFont"/>
    <w:uiPriority w:val="49"/>
    <w:rsid w:val="00B64059"/>
    <w:rPr>
      <w:color w:val="800080" w:themeColor="followedHyperlink"/>
      <w:u w:val="single"/>
    </w:rPr>
  </w:style>
  <w:style w:type="character" w:customStyle="1" w:styleId="BodyTextChar">
    <w:name w:val="Body Text Char"/>
    <w:aliases w:val=" Char Char,Char Char,Italics Quote Char,Corps de texte1 Char"/>
    <w:link w:val="BodyText"/>
    <w:rsid w:val="00573C87"/>
    <w:rPr>
      <w:sz w:val="22"/>
      <w:lang w:eastAsia="en-US"/>
    </w:rPr>
  </w:style>
  <w:style w:type="paragraph" w:customStyle="1" w:styleId="std">
    <w:name w:val="std"/>
    <w:basedOn w:val="Normal"/>
    <w:rsid w:val="006117D0"/>
    <w:pPr>
      <w:overflowPunct/>
      <w:autoSpaceDE/>
      <w:autoSpaceDN/>
      <w:adjustRightInd/>
      <w:textAlignment w:val="auto"/>
    </w:pP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295000">
      <w:bodyDiv w:val="1"/>
      <w:marLeft w:val="0"/>
      <w:marRight w:val="0"/>
      <w:marTop w:val="0"/>
      <w:marBottom w:val="0"/>
      <w:divBdr>
        <w:top w:val="none" w:sz="0" w:space="0" w:color="auto"/>
        <w:left w:val="none" w:sz="0" w:space="0" w:color="auto"/>
        <w:bottom w:val="none" w:sz="0" w:space="0" w:color="auto"/>
        <w:right w:val="none" w:sz="0" w:space="0" w:color="auto"/>
      </w:divBdr>
    </w:div>
    <w:div w:id="870073636">
      <w:bodyDiv w:val="1"/>
      <w:marLeft w:val="0"/>
      <w:marRight w:val="0"/>
      <w:marTop w:val="0"/>
      <w:marBottom w:val="0"/>
      <w:divBdr>
        <w:top w:val="none" w:sz="0" w:space="0" w:color="auto"/>
        <w:left w:val="none" w:sz="0" w:space="0" w:color="auto"/>
        <w:bottom w:val="none" w:sz="0" w:space="0" w:color="auto"/>
        <w:right w:val="none" w:sz="0" w:space="0" w:color="auto"/>
      </w:divBdr>
    </w:div>
    <w:div w:id="1312173211">
      <w:bodyDiv w:val="1"/>
      <w:marLeft w:val="0"/>
      <w:marRight w:val="0"/>
      <w:marTop w:val="0"/>
      <w:marBottom w:val="0"/>
      <w:divBdr>
        <w:top w:val="none" w:sz="0" w:space="0" w:color="auto"/>
        <w:left w:val="none" w:sz="0" w:space="0" w:color="auto"/>
        <w:bottom w:val="none" w:sz="0" w:space="0" w:color="auto"/>
        <w:right w:val="none" w:sz="0" w:space="0" w:color="auto"/>
      </w:divBdr>
    </w:div>
    <w:div w:id="153125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ial.mail@iae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official.mail@iae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ub.iaea.org/iaeameetings/46529/International-Conference-on-Operational-Safety"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erational-Safety-2015.Contact-Point@iaea.org" TargetMode="External"/><Relationship Id="rId5" Type="http://schemas.openxmlformats.org/officeDocument/2006/relationships/settings" Target="settings.xml"/><Relationship Id="rId15" Type="http://schemas.openxmlformats.org/officeDocument/2006/relationships/hyperlink" Target="mailto:M.Neuhold@iaea.org" TargetMode="External"/><Relationship Id="rId10" Type="http://schemas.openxmlformats.org/officeDocument/2006/relationships/hyperlink" Target="mailto:official.mail@iaea.org"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Operational-Safety-2015.Contact-Point@iaea.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AFC79-F0ED-487A-A44B-65590647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0</TotalTime>
  <Pages>12</Pages>
  <Words>3563</Words>
  <Characters>20992</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24506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TURBEK, Zoltan</dc:creator>
  <cp:lastModifiedBy>SCHWINGENSCHLOEGL, Dagmar</cp:lastModifiedBy>
  <cp:revision>2</cp:revision>
  <cp:lastPrinted>2014-08-04T13:24:00Z</cp:lastPrinted>
  <dcterms:created xsi:type="dcterms:W3CDTF">2014-08-06T08:35:00Z</dcterms:created>
  <dcterms:modified xsi:type="dcterms:W3CDTF">2014-08-06T08:35:00Z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