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A4103B" w:rsidRDefault="00F1752C" w:rsidP="00F1752C">
      <w:pPr>
        <w:pStyle w:val="BodyText"/>
        <w:jc w:val="center"/>
        <w:rPr>
          <w:rFonts w:asciiTheme="minorHAnsi" w:hAnsiTheme="minorHAnsi" w:cstheme="minorHAnsi"/>
          <w:lang w:val="en-US"/>
        </w:rPr>
      </w:pPr>
      <w:bookmarkStart w:id="0" w:name="_GoBack"/>
      <w:r>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bookmarkEnd w:id="0"/>
    <w:p w14:paraId="3718A53A" w14:textId="77777777" w:rsidR="00F1752C" w:rsidRPr="00B77990" w:rsidRDefault="00F1752C" w:rsidP="00F1752C">
      <w:pPr>
        <w:pStyle w:val="BodyText"/>
        <w:spacing w:after="0" w:line="276" w:lineRule="auto"/>
        <w:jc w:val="center"/>
        <w:rPr>
          <w:b/>
          <w:sz w:val="28"/>
          <w:szCs w:val="28"/>
          <w:lang w:val="en-US"/>
        </w:rPr>
      </w:pPr>
    </w:p>
    <w:p w14:paraId="232CCD6B" w14:textId="4316355D" w:rsidR="008D2B69" w:rsidRDefault="008D2B69" w:rsidP="008D2B69">
      <w:pPr>
        <w:overflowPunct/>
        <w:spacing w:line="276" w:lineRule="auto"/>
        <w:jc w:val="center"/>
        <w:textAlignment w:val="auto"/>
        <w:rPr>
          <w:b/>
          <w:bCs/>
          <w:sz w:val="42"/>
          <w:szCs w:val="42"/>
        </w:rPr>
      </w:pPr>
      <w:r w:rsidRPr="008D2B69">
        <w:rPr>
          <w:b/>
          <w:bCs/>
          <w:sz w:val="42"/>
          <w:szCs w:val="42"/>
        </w:rPr>
        <w:t>International Symposium on</w:t>
      </w:r>
    </w:p>
    <w:p w14:paraId="19CEE7A0" w14:textId="08D13952" w:rsidR="009943FA" w:rsidRDefault="008D2B69" w:rsidP="008D2B69">
      <w:pPr>
        <w:overflowPunct/>
        <w:spacing w:line="276" w:lineRule="auto"/>
        <w:jc w:val="center"/>
        <w:textAlignment w:val="auto"/>
        <w:rPr>
          <w:b/>
          <w:bCs/>
          <w:sz w:val="42"/>
          <w:szCs w:val="42"/>
        </w:rPr>
      </w:pPr>
      <w:r w:rsidRPr="008D2B69">
        <w:rPr>
          <w:b/>
          <w:bCs/>
          <w:sz w:val="42"/>
          <w:szCs w:val="42"/>
        </w:rPr>
        <w:t>Isotope Hydrology</w:t>
      </w:r>
      <w:r>
        <w:rPr>
          <w:b/>
          <w:bCs/>
          <w:sz w:val="42"/>
          <w:szCs w:val="42"/>
        </w:rPr>
        <w:t>:</w:t>
      </w:r>
    </w:p>
    <w:p w14:paraId="09825050" w14:textId="77777777" w:rsidR="008D2B69" w:rsidRDefault="008D2B69" w:rsidP="008D2B69">
      <w:pPr>
        <w:overflowPunct/>
        <w:spacing w:line="276" w:lineRule="auto"/>
        <w:jc w:val="center"/>
        <w:textAlignment w:val="auto"/>
        <w:rPr>
          <w:b/>
          <w:bCs/>
          <w:sz w:val="42"/>
          <w:szCs w:val="42"/>
        </w:rPr>
      </w:pPr>
    </w:p>
    <w:p w14:paraId="78470F10" w14:textId="52FF00C3" w:rsidR="008D2B69" w:rsidRPr="008D2B69" w:rsidRDefault="008D2B69" w:rsidP="008D2B69">
      <w:pPr>
        <w:overflowPunct/>
        <w:spacing w:line="276" w:lineRule="auto"/>
        <w:jc w:val="center"/>
        <w:textAlignment w:val="auto"/>
        <w:rPr>
          <w:b/>
          <w:bCs/>
          <w:sz w:val="42"/>
          <w:szCs w:val="42"/>
        </w:rPr>
      </w:pPr>
      <w:r>
        <w:rPr>
          <w:b/>
          <w:bCs/>
          <w:sz w:val="42"/>
          <w:szCs w:val="42"/>
        </w:rPr>
        <w:t>Revisiting Foundations and Exploring Frontiers</w:t>
      </w:r>
    </w:p>
    <w:p w14:paraId="3198A15E" w14:textId="77777777" w:rsidR="009943FA" w:rsidRPr="00B77990" w:rsidRDefault="009943FA" w:rsidP="00B521CB">
      <w:pPr>
        <w:pStyle w:val="BodyText"/>
        <w:spacing w:after="0" w:line="276" w:lineRule="auto"/>
        <w:jc w:val="center"/>
        <w:rPr>
          <w:b/>
          <w:sz w:val="28"/>
          <w:szCs w:val="28"/>
          <w:lang w:val="en-US"/>
        </w:rPr>
      </w:pPr>
    </w:p>
    <w:p w14:paraId="66D7CEB6" w14:textId="77777777" w:rsidR="003B1DED" w:rsidRPr="00B77990" w:rsidRDefault="009943FA" w:rsidP="003B1DED">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4034E15B" w14:textId="77777777" w:rsidR="009943FA" w:rsidRDefault="009943FA" w:rsidP="00B521CB">
      <w:pPr>
        <w:overflowPunct/>
        <w:spacing w:line="276" w:lineRule="auto"/>
        <w:jc w:val="center"/>
        <w:textAlignment w:val="auto"/>
        <w:rPr>
          <w:b/>
          <w:bCs/>
          <w:color w:val="000000"/>
          <w:sz w:val="28"/>
          <w:szCs w:val="28"/>
          <w:lang w:eastAsia="en-GB"/>
        </w:rPr>
      </w:pPr>
      <w:r w:rsidRPr="00B77990">
        <w:rPr>
          <w:b/>
          <w:bCs/>
          <w:color w:val="000000"/>
          <w:sz w:val="28"/>
          <w:szCs w:val="28"/>
          <w:lang w:eastAsia="en-GB"/>
        </w:rPr>
        <w:t>Vienna, Austria</w:t>
      </w:r>
    </w:p>
    <w:p w14:paraId="46F3D7B0" w14:textId="77777777" w:rsidR="003B1DED" w:rsidRPr="00F1752C" w:rsidRDefault="003B1DED" w:rsidP="00B521CB">
      <w:pPr>
        <w:overflowPunct/>
        <w:spacing w:line="276" w:lineRule="auto"/>
        <w:jc w:val="center"/>
        <w:textAlignment w:val="auto"/>
        <w:rPr>
          <w:b/>
          <w:bCs/>
          <w:color w:val="000000"/>
          <w:sz w:val="24"/>
          <w:szCs w:val="24"/>
          <w:lang w:eastAsia="en-GB"/>
        </w:rPr>
      </w:pPr>
    </w:p>
    <w:p w14:paraId="35C3B39F" w14:textId="07EC0947" w:rsidR="00362111" w:rsidRPr="008D2B69" w:rsidRDefault="008D2B69" w:rsidP="008D2B69">
      <w:pPr>
        <w:overflowPunct/>
        <w:spacing w:line="276" w:lineRule="auto"/>
        <w:jc w:val="center"/>
        <w:textAlignment w:val="auto"/>
        <w:rPr>
          <w:b/>
          <w:bCs/>
          <w:sz w:val="28"/>
          <w:szCs w:val="28"/>
          <w:lang w:eastAsia="en-GB"/>
        </w:rPr>
      </w:pPr>
      <w:r w:rsidRPr="008D2B69">
        <w:rPr>
          <w:b/>
          <w:bCs/>
          <w:sz w:val="28"/>
          <w:szCs w:val="28"/>
        </w:rPr>
        <w:t>11</w:t>
      </w:r>
      <w:r w:rsidR="00B77990" w:rsidRPr="008D2B69">
        <w:rPr>
          <w:b/>
          <w:bCs/>
          <w:sz w:val="28"/>
          <w:szCs w:val="28"/>
          <w:lang w:eastAsia="en-GB"/>
        </w:rPr>
        <w:t>–</w:t>
      </w:r>
      <w:r w:rsidRPr="008D2B69">
        <w:rPr>
          <w:b/>
          <w:bCs/>
          <w:sz w:val="28"/>
          <w:szCs w:val="28"/>
        </w:rPr>
        <w:t>15 May 2015</w:t>
      </w:r>
    </w:p>
    <w:p w14:paraId="116F97B1" w14:textId="77777777" w:rsidR="00F1752C" w:rsidRPr="00F1752C" w:rsidRDefault="00F1752C" w:rsidP="00B521CB">
      <w:pPr>
        <w:overflowPunct/>
        <w:spacing w:line="276" w:lineRule="auto"/>
        <w:jc w:val="center"/>
        <w:textAlignment w:val="auto"/>
        <w:rPr>
          <w:b/>
          <w:bCs/>
          <w:sz w:val="24"/>
          <w:szCs w:val="24"/>
        </w:rPr>
      </w:pPr>
    </w:p>
    <w:p w14:paraId="2FCEBB7F" w14:textId="2AA7B17A" w:rsidR="00276559" w:rsidRPr="008D2B69" w:rsidRDefault="00F1752C" w:rsidP="008D2B69">
      <w:pPr>
        <w:overflowPunct/>
        <w:spacing w:line="276" w:lineRule="auto"/>
        <w:jc w:val="center"/>
        <w:textAlignment w:val="auto"/>
        <w:rPr>
          <w:b/>
          <w:bCs/>
          <w:sz w:val="24"/>
          <w:szCs w:val="24"/>
          <w:lang w:eastAsia="en-GB"/>
        </w:rPr>
      </w:pPr>
      <w:proofErr w:type="gramStart"/>
      <w:r w:rsidRPr="008D2B69">
        <w:rPr>
          <w:b/>
          <w:bCs/>
          <w:sz w:val="24"/>
          <w:szCs w:val="24"/>
        </w:rPr>
        <w:t>Ref.</w:t>
      </w:r>
      <w:proofErr w:type="gramEnd"/>
      <w:r w:rsidRPr="008D2B69">
        <w:rPr>
          <w:b/>
          <w:bCs/>
          <w:sz w:val="24"/>
          <w:szCs w:val="24"/>
        </w:rPr>
        <w:t xml:space="preserve"> No: </w:t>
      </w:r>
      <w:r w:rsidR="008D2B69" w:rsidRPr="008D2B69">
        <w:rPr>
          <w:b/>
          <w:bCs/>
          <w:sz w:val="24"/>
          <w:szCs w:val="24"/>
        </w:rPr>
        <w:t>IAEA-CN-225</w:t>
      </w:r>
    </w:p>
    <w:p w14:paraId="26EA7C73" w14:textId="30EA1436" w:rsidR="002944CA" w:rsidRPr="002944CA" w:rsidRDefault="002944CA" w:rsidP="00CC6750">
      <w:pPr>
        <w:overflowPunct/>
        <w:spacing w:line="276" w:lineRule="auto"/>
        <w:jc w:val="center"/>
        <w:textAlignment w:val="auto"/>
        <w:rPr>
          <w:color w:val="000000"/>
          <w:sz w:val="28"/>
          <w:szCs w:val="28"/>
          <w:lang w:eastAsia="en-GB"/>
        </w:rPr>
      </w:pPr>
    </w:p>
    <w:p w14:paraId="28FBBDB9" w14:textId="77777777" w:rsidR="00276559" w:rsidRPr="00B77990" w:rsidRDefault="00276559" w:rsidP="00B521CB">
      <w:pPr>
        <w:overflowPunct/>
        <w:spacing w:line="276" w:lineRule="auto"/>
        <w:jc w:val="center"/>
        <w:textAlignment w:val="auto"/>
        <w:rPr>
          <w:b/>
          <w:bCs/>
          <w:color w:val="000000"/>
          <w:sz w:val="28"/>
          <w:szCs w:val="28"/>
          <w:lang w:eastAsia="en-GB"/>
        </w:rPr>
      </w:pPr>
    </w:p>
    <w:p w14:paraId="6526DAAD" w14:textId="14FFEDDB" w:rsidR="00897F1A" w:rsidRPr="001114C8" w:rsidRDefault="00333966" w:rsidP="008D2B69">
      <w:pPr>
        <w:overflowPunct/>
        <w:spacing w:line="276" w:lineRule="auto"/>
        <w:jc w:val="center"/>
        <w:textAlignment w:val="auto"/>
        <w:rPr>
          <w:b/>
          <w:bCs/>
          <w:color w:val="000000"/>
          <w:sz w:val="36"/>
          <w:szCs w:val="36"/>
          <w:lang w:eastAsia="en-GB"/>
        </w:rPr>
      </w:pPr>
      <w:r>
        <w:rPr>
          <w:b/>
          <w:bCs/>
          <w:color w:val="000000"/>
          <w:sz w:val="36"/>
          <w:szCs w:val="36"/>
          <w:lang w:eastAsia="en-GB"/>
        </w:rPr>
        <w:t>Announcement</w:t>
      </w:r>
      <w:r w:rsidR="00B77990">
        <w:rPr>
          <w:b/>
          <w:bCs/>
          <w:color w:val="000000"/>
          <w:sz w:val="36"/>
          <w:szCs w:val="36"/>
          <w:lang w:eastAsia="en-GB"/>
        </w:rPr>
        <w:t xml:space="preserve"> and Call for Papers</w:t>
      </w:r>
    </w:p>
    <w:p w14:paraId="4BC64AF8" w14:textId="45EF7E1B" w:rsidR="00750DF0" w:rsidRPr="002D3FA5" w:rsidRDefault="00243701" w:rsidP="00145664">
      <w:pPr>
        <w:pStyle w:val="Heading1"/>
      </w:pPr>
      <w:r w:rsidRPr="002D3FA5">
        <w:t>Introduction</w:t>
      </w:r>
    </w:p>
    <w:p w14:paraId="7B0F8917" w14:textId="0653AFCE" w:rsidR="003E0B48" w:rsidRDefault="008D2B69" w:rsidP="003E0B48">
      <w:pPr>
        <w:pStyle w:val="BodyText"/>
      </w:pPr>
      <w:r>
        <w:t xml:space="preserve">The International Atomic Energy Agency (IAEA) has convened quadrennial symposia </w:t>
      </w:r>
      <w:r w:rsidR="0056707D">
        <w:t>o</w:t>
      </w:r>
      <w:r>
        <w:t>n isotope hydrology since 1963. For more than 50 years, the</w:t>
      </w:r>
      <w:r w:rsidR="0056707D">
        <w:t>se</w:t>
      </w:r>
      <w:r>
        <w:t xml:space="preserve"> IAEA symposia have provided a unique opportunity to review the state-of-the-science, practical applications, and research trends and needs in isotope hydrology, leading to its recognition as a discipline </w:t>
      </w:r>
      <w:r w:rsidR="0056707D">
        <w:t xml:space="preserve">in its own right within the science </w:t>
      </w:r>
      <w:r>
        <w:t>of hydrolog</w:t>
      </w:r>
      <w:r w:rsidR="0056707D">
        <w:t>y</w:t>
      </w:r>
      <w:r>
        <w:t xml:space="preserve">. </w:t>
      </w:r>
      <w:r w:rsidR="0056707D">
        <w:t>I</w:t>
      </w:r>
      <w:r>
        <w:t xml:space="preserve">sotope hydrology contributes to a better understanding of the water cycle </w:t>
      </w:r>
      <w:r w:rsidR="0056707D">
        <w:t xml:space="preserve">and has </w:t>
      </w:r>
      <w:r>
        <w:t>applications in water resources assessment and management, the study of past and future changes in the Earth’s climate</w:t>
      </w:r>
      <w:r w:rsidR="0056707D">
        <w:t xml:space="preserve"> as well as of</w:t>
      </w:r>
      <w:r>
        <w:t xml:space="preserve"> climate impacts on the water cycle, and </w:t>
      </w:r>
      <w:r w:rsidR="0056707D">
        <w:t xml:space="preserve">in </w:t>
      </w:r>
      <w:r>
        <w:t xml:space="preserve">forensic </w:t>
      </w:r>
      <w:r w:rsidR="003E0B48">
        <w:t>areas</w:t>
      </w:r>
      <w:r w:rsidR="0056707D">
        <w:t xml:space="preserve"> such as </w:t>
      </w:r>
      <w:r>
        <w:t>ecological, wildlife and food source traceability.</w:t>
      </w:r>
    </w:p>
    <w:p w14:paraId="24636F9D" w14:textId="0E0D5AB9" w:rsidR="00750DF0" w:rsidRPr="001114C8" w:rsidRDefault="008D2B69" w:rsidP="003E0B48">
      <w:pPr>
        <w:pStyle w:val="BodyText"/>
      </w:pPr>
      <w:r>
        <w:t>Th</w:t>
      </w:r>
      <w:r w:rsidR="00A11394">
        <w:t>is is th</w:t>
      </w:r>
      <w:r>
        <w:t>e 14</w:t>
      </w:r>
      <w:r w:rsidRPr="0065267E">
        <w:t>th</w:t>
      </w:r>
      <w:r>
        <w:t xml:space="preserve"> symposium in </w:t>
      </w:r>
      <w:r w:rsidR="003E0B48">
        <w:t xml:space="preserve">the </w:t>
      </w:r>
      <w:r>
        <w:t xml:space="preserve">series </w:t>
      </w:r>
      <w:r w:rsidR="00A11394">
        <w:t xml:space="preserve">and it </w:t>
      </w:r>
      <w:r>
        <w:t xml:space="preserve">will be held </w:t>
      </w:r>
      <w:r w:rsidR="003E0B48">
        <w:t xml:space="preserve">at the IAEA’s Headquarters in Vienna, Austria, </w:t>
      </w:r>
      <w:r>
        <w:t>from 11</w:t>
      </w:r>
      <w:r w:rsidR="003E0B48">
        <w:t xml:space="preserve"> to </w:t>
      </w:r>
      <w:r>
        <w:t>15 May 2015. The symposium will aim to facilitate the exchange of information and knowledge among water and environment professional</w:t>
      </w:r>
      <w:r w:rsidR="003E0B48">
        <w:t>s</w:t>
      </w:r>
      <w:r>
        <w:t xml:space="preserve"> from developed and developing countries.</w:t>
      </w:r>
    </w:p>
    <w:p w14:paraId="27F69B73" w14:textId="0E08E46E" w:rsidR="00362111" w:rsidRPr="001114C8" w:rsidRDefault="00750DF0" w:rsidP="00145664">
      <w:pPr>
        <w:pStyle w:val="Heading1"/>
      </w:pPr>
      <w:r w:rsidRPr="001114C8">
        <w:lastRenderedPageBreak/>
        <w:t>Objectives</w:t>
      </w:r>
    </w:p>
    <w:p w14:paraId="3AB65721" w14:textId="3E608F23" w:rsidR="00362111" w:rsidRPr="00DC4155" w:rsidRDefault="008D2B69" w:rsidP="005B6E72">
      <w:pPr>
        <w:pStyle w:val="BodyText"/>
      </w:pPr>
      <w:r>
        <w:t xml:space="preserve">The objectives of the symposium are to: </w:t>
      </w:r>
      <w:r w:rsidR="003E0B48">
        <w:t>(</w:t>
      </w:r>
      <w:r>
        <w:t xml:space="preserve">a) review and revisit the foundational principles of isotope hydrology in </w:t>
      </w:r>
      <w:r w:rsidR="003E0B48">
        <w:t xml:space="preserve">the </w:t>
      </w:r>
      <w:r>
        <w:t xml:space="preserve">light of </w:t>
      </w:r>
      <w:r w:rsidR="003E0B48">
        <w:t xml:space="preserve">the </w:t>
      </w:r>
      <w:r>
        <w:t>current state of knowledge; (b) review recent developments in analytical instrumentation and applications of isotopes in water and climate studies; and (c) identify research, analytical and training requirements for a wider use of isotope hydrology.</w:t>
      </w:r>
    </w:p>
    <w:p w14:paraId="4CC6E498" w14:textId="62878ED0" w:rsidR="00897F1A" w:rsidRDefault="008D2B69" w:rsidP="00145664">
      <w:pPr>
        <w:pStyle w:val="Heading1"/>
      </w:pPr>
      <w:bookmarkStart w:id="1" w:name="_Ref380084983"/>
      <w:r>
        <w:t>List of Topics</w:t>
      </w:r>
      <w:bookmarkEnd w:id="1"/>
    </w:p>
    <w:p w14:paraId="556562D4" w14:textId="66233BF2" w:rsidR="008D2B69" w:rsidRPr="00D35422" w:rsidRDefault="008D2B69" w:rsidP="0065267E">
      <w:pPr>
        <w:pStyle w:val="ListParagraph"/>
        <w:numPr>
          <w:ilvl w:val="0"/>
          <w:numId w:val="22"/>
        </w:numPr>
        <w:spacing w:after="170" w:line="280" w:lineRule="atLeast"/>
        <w:ind w:left="714" w:hanging="357"/>
        <w:contextualSpacing w:val="0"/>
      </w:pPr>
      <w:r w:rsidRPr="00D35422">
        <w:t xml:space="preserve">Isotopes in hydrosphere–atmosphere </w:t>
      </w:r>
      <w:r w:rsidRPr="00AA2B8E">
        <w:t xml:space="preserve">interactions and </w:t>
      </w:r>
      <w:proofErr w:type="spellStart"/>
      <w:r w:rsidRPr="00AA2B8E">
        <w:t>pal</w:t>
      </w:r>
      <w:r w:rsidR="003E0B48" w:rsidRPr="00AA2B8E">
        <w:t>a</w:t>
      </w:r>
      <w:r w:rsidRPr="00AA2B8E">
        <w:t>eoclimate</w:t>
      </w:r>
      <w:proofErr w:type="spellEnd"/>
      <w:r w:rsidR="00064345" w:rsidRPr="00AA2B8E">
        <w:t xml:space="preserve"> reconstruction</w:t>
      </w:r>
    </w:p>
    <w:p w14:paraId="2D8D3B8E" w14:textId="3A056BED" w:rsidR="008D2B69" w:rsidRPr="00D35422" w:rsidRDefault="008D2B69" w:rsidP="0065267E">
      <w:pPr>
        <w:pStyle w:val="ListParagraph"/>
        <w:numPr>
          <w:ilvl w:val="0"/>
          <w:numId w:val="22"/>
        </w:numPr>
        <w:spacing w:after="170" w:line="280" w:lineRule="atLeast"/>
        <w:ind w:left="714" w:hanging="357"/>
        <w:contextualSpacing w:val="0"/>
      </w:pPr>
      <w:r w:rsidRPr="00D35422">
        <w:t xml:space="preserve">Groundwater dating and </w:t>
      </w:r>
      <w:proofErr w:type="spellStart"/>
      <w:r w:rsidRPr="00D35422">
        <w:t>pal</w:t>
      </w:r>
      <w:r w:rsidR="003E0B48">
        <w:t>a</w:t>
      </w:r>
      <w:r w:rsidRPr="00D35422">
        <w:t>eohydrology</w:t>
      </w:r>
      <w:proofErr w:type="spellEnd"/>
    </w:p>
    <w:p w14:paraId="1E327694" w14:textId="0D718D9F" w:rsidR="008D2B69" w:rsidRPr="00D35422" w:rsidRDefault="008D2B69" w:rsidP="0065267E">
      <w:pPr>
        <w:pStyle w:val="ListParagraph"/>
        <w:numPr>
          <w:ilvl w:val="0"/>
          <w:numId w:val="22"/>
        </w:numPr>
        <w:spacing w:after="170" w:line="280" w:lineRule="atLeast"/>
        <w:ind w:left="714" w:hanging="357"/>
        <w:contextualSpacing w:val="0"/>
      </w:pPr>
      <w:r w:rsidRPr="00D35422">
        <w:t>Water balance and hydrological processes</w:t>
      </w:r>
    </w:p>
    <w:p w14:paraId="10FBC3E4" w14:textId="797D77A4" w:rsidR="008D2B69" w:rsidRPr="00D35422" w:rsidRDefault="003E0B48" w:rsidP="0065267E">
      <w:pPr>
        <w:pStyle w:val="ListParagraph"/>
        <w:numPr>
          <w:ilvl w:val="0"/>
          <w:numId w:val="22"/>
        </w:numPr>
        <w:spacing w:after="170" w:line="280" w:lineRule="atLeast"/>
        <w:ind w:left="714" w:hanging="357"/>
        <w:contextualSpacing w:val="0"/>
      </w:pPr>
      <w:r>
        <w:t>How l</w:t>
      </w:r>
      <w:r w:rsidR="008D2B69" w:rsidRPr="00D35422">
        <w:t xml:space="preserve">aser spectroscopy </w:t>
      </w:r>
      <w:r>
        <w:t xml:space="preserve">is </w:t>
      </w:r>
      <w:r w:rsidR="008D2B69" w:rsidRPr="00D35422">
        <w:t>transforming isotope research</w:t>
      </w:r>
    </w:p>
    <w:p w14:paraId="2596B72E" w14:textId="56154207" w:rsidR="008D2B69" w:rsidRPr="00D35422" w:rsidRDefault="008D2B69" w:rsidP="0065267E">
      <w:pPr>
        <w:pStyle w:val="ListParagraph"/>
        <w:numPr>
          <w:ilvl w:val="0"/>
          <w:numId w:val="22"/>
        </w:numPr>
        <w:spacing w:after="170" w:line="280" w:lineRule="atLeast"/>
        <w:ind w:left="714" w:hanging="357"/>
        <w:contextualSpacing w:val="0"/>
      </w:pPr>
      <w:r w:rsidRPr="00D35422">
        <w:t xml:space="preserve">New approaches and tools in isotope </w:t>
      </w:r>
      <w:r w:rsidRPr="00AA2B8E">
        <w:t>science</w:t>
      </w:r>
    </w:p>
    <w:p w14:paraId="1184B045" w14:textId="0892E435" w:rsidR="00897F1A" w:rsidRPr="00DC4155" w:rsidRDefault="008D2B69" w:rsidP="0065267E">
      <w:pPr>
        <w:pStyle w:val="BodyTextMultiline"/>
        <w:numPr>
          <w:ilvl w:val="0"/>
          <w:numId w:val="22"/>
        </w:numPr>
        <w:ind w:left="714" w:hanging="357"/>
      </w:pPr>
      <w:r w:rsidRPr="00D35422">
        <w:t>Water scarcity, water quality, food security, climate change, and energy resources</w:t>
      </w:r>
    </w:p>
    <w:p w14:paraId="0FE5F9F7" w14:textId="77777777" w:rsidR="003E0B48" w:rsidRDefault="003E0B48" w:rsidP="00145664">
      <w:pPr>
        <w:pStyle w:val="Heading1"/>
      </w:pPr>
      <w:r>
        <w:t>Target Audience</w:t>
      </w:r>
    </w:p>
    <w:p w14:paraId="04B327DD" w14:textId="77777777" w:rsidR="003E0B48" w:rsidRPr="00CA5882" w:rsidRDefault="003E0B48" w:rsidP="003E0B48">
      <w:pPr>
        <w:pStyle w:val="BodyText"/>
        <w:rPr>
          <w:lang w:eastAsia="en-GB"/>
        </w:rPr>
      </w:pPr>
      <w:r w:rsidRPr="00C0293A">
        <w:rPr>
          <w:szCs w:val="24"/>
        </w:rPr>
        <w:t>The symposium is aimed at professionals involved in a broad spectrum of disciplines, including</w:t>
      </w:r>
      <w:r>
        <w:rPr>
          <w:szCs w:val="24"/>
        </w:rPr>
        <w:t>:</w:t>
      </w:r>
      <w:r w:rsidRPr="00C0293A">
        <w:rPr>
          <w:szCs w:val="24"/>
        </w:rPr>
        <w:t xml:space="preserve"> water resources management, </w:t>
      </w:r>
      <w:r>
        <w:rPr>
          <w:szCs w:val="24"/>
        </w:rPr>
        <w:t xml:space="preserve">processes in the </w:t>
      </w:r>
      <w:r w:rsidRPr="00C0293A">
        <w:rPr>
          <w:szCs w:val="24"/>
        </w:rPr>
        <w:t>hydrosphere</w:t>
      </w:r>
      <w:r>
        <w:rPr>
          <w:szCs w:val="24"/>
        </w:rPr>
        <w:t xml:space="preserve"> and</w:t>
      </w:r>
      <w:r w:rsidRPr="00C0293A">
        <w:rPr>
          <w:szCs w:val="24"/>
        </w:rPr>
        <w:t xml:space="preserve"> atmosphere, climate change</w:t>
      </w:r>
      <w:r>
        <w:rPr>
          <w:szCs w:val="24"/>
        </w:rPr>
        <w:t xml:space="preserve"> and its impact on the water cycle</w:t>
      </w:r>
      <w:r w:rsidRPr="00C0293A">
        <w:rPr>
          <w:szCs w:val="24"/>
        </w:rPr>
        <w:t xml:space="preserve">, environmental modelling, protection of the environment, </w:t>
      </w:r>
      <w:r>
        <w:rPr>
          <w:szCs w:val="24"/>
        </w:rPr>
        <w:t>geographical information systems</w:t>
      </w:r>
      <w:r w:rsidRPr="00C0293A">
        <w:rPr>
          <w:szCs w:val="24"/>
        </w:rPr>
        <w:t xml:space="preserve">, emergency response, </w:t>
      </w:r>
      <w:r>
        <w:rPr>
          <w:szCs w:val="24"/>
        </w:rPr>
        <w:t xml:space="preserve">and the </w:t>
      </w:r>
      <w:r w:rsidRPr="00C0293A">
        <w:rPr>
          <w:szCs w:val="24"/>
        </w:rPr>
        <w:t xml:space="preserve">development of isotopic techniques and </w:t>
      </w:r>
      <w:r>
        <w:rPr>
          <w:szCs w:val="24"/>
        </w:rPr>
        <w:t>tools</w:t>
      </w:r>
      <w:r w:rsidRPr="00C0293A">
        <w:rPr>
          <w:szCs w:val="24"/>
        </w:rPr>
        <w:t xml:space="preserve">. Government officials, including policymakers and individuals responsible for the assessment of environmental </w:t>
      </w:r>
      <w:r>
        <w:rPr>
          <w:szCs w:val="24"/>
        </w:rPr>
        <w:t>programmes,</w:t>
      </w:r>
      <w:r w:rsidRPr="00C0293A">
        <w:rPr>
          <w:szCs w:val="24"/>
        </w:rPr>
        <w:t xml:space="preserve"> would also benefit from attending the symposium</w:t>
      </w:r>
      <w:r>
        <w:rPr>
          <w:lang w:eastAsia="en-GB"/>
        </w:rPr>
        <w:t>.</w:t>
      </w:r>
    </w:p>
    <w:p w14:paraId="4ADDC8F6" w14:textId="77777777" w:rsidR="003E0B48" w:rsidRPr="001114C8" w:rsidRDefault="003E0B48" w:rsidP="00145664">
      <w:pPr>
        <w:pStyle w:val="Heading1"/>
      </w:pPr>
      <w:r>
        <w:t>Working Language</w:t>
      </w:r>
    </w:p>
    <w:p w14:paraId="39736401" w14:textId="77777777" w:rsidR="003E0B48" w:rsidRDefault="003E0B48" w:rsidP="003E0B48">
      <w:pPr>
        <w:overflowPunct/>
        <w:spacing w:after="170" w:line="280" w:lineRule="atLeast"/>
        <w:jc w:val="both"/>
        <w:textAlignment w:val="auto"/>
        <w:rPr>
          <w:color w:val="000000"/>
          <w:szCs w:val="22"/>
          <w:lang w:eastAsia="en-GB"/>
        </w:rPr>
      </w:pPr>
      <w:r>
        <w:t>The working language of the symposium will be English.</w:t>
      </w:r>
    </w:p>
    <w:p w14:paraId="35B1BE9C" w14:textId="157FB5B9" w:rsidR="00750DF0" w:rsidRPr="001114C8" w:rsidRDefault="00243701" w:rsidP="00145664">
      <w:pPr>
        <w:pStyle w:val="Heading1"/>
      </w:pPr>
      <w:bookmarkStart w:id="2" w:name="_Ref372123253"/>
      <w:r>
        <w:t>Structure</w:t>
      </w:r>
      <w:bookmarkEnd w:id="2"/>
    </w:p>
    <w:p w14:paraId="6FBC35CE" w14:textId="77777777" w:rsidR="008D2B69" w:rsidRPr="00E33DA9" w:rsidRDefault="008D2B69" w:rsidP="008D2B69">
      <w:pPr>
        <w:pStyle w:val="BodyText"/>
      </w:pPr>
      <w:r w:rsidRPr="00E33DA9">
        <w:t xml:space="preserve">The </w:t>
      </w:r>
      <w:r w:rsidRPr="00E33DA9">
        <w:rPr>
          <w:b/>
        </w:rPr>
        <w:t>opening session</w:t>
      </w:r>
      <w:r w:rsidRPr="00E33DA9">
        <w:t xml:space="preserve"> will include welcoming addresses by representatives of the IAEA</w:t>
      </w:r>
      <w:r>
        <w:t xml:space="preserve"> and cooperating organizations as well as the first keynote presentation.</w:t>
      </w:r>
    </w:p>
    <w:p w14:paraId="22692330" w14:textId="5F6B4103" w:rsidR="008D2B69" w:rsidRPr="00E33DA9" w:rsidRDefault="008D2B69" w:rsidP="00A11394">
      <w:pPr>
        <w:pStyle w:val="BodyText"/>
        <w:rPr>
          <w:szCs w:val="22"/>
        </w:rPr>
      </w:pPr>
      <w:r w:rsidRPr="00E33DA9">
        <w:rPr>
          <w:szCs w:val="22"/>
        </w:rPr>
        <w:lastRenderedPageBreak/>
        <w:t xml:space="preserve">A series of </w:t>
      </w:r>
      <w:r w:rsidRPr="00E33DA9">
        <w:rPr>
          <w:b/>
          <w:szCs w:val="22"/>
        </w:rPr>
        <w:t>plenary</w:t>
      </w:r>
      <w:r w:rsidRPr="00E33DA9">
        <w:rPr>
          <w:b/>
          <w:bCs/>
          <w:szCs w:val="22"/>
        </w:rPr>
        <w:t xml:space="preserve"> sessions</w:t>
      </w:r>
      <w:r w:rsidRPr="00E33DA9">
        <w:rPr>
          <w:szCs w:val="22"/>
        </w:rPr>
        <w:t xml:space="preserve"> will address the topics mentioned</w:t>
      </w:r>
      <w:r>
        <w:rPr>
          <w:szCs w:val="22"/>
        </w:rPr>
        <w:t xml:space="preserve"> in Section </w:t>
      </w:r>
      <w:r w:rsidR="00A11394">
        <w:rPr>
          <w:szCs w:val="22"/>
        </w:rPr>
        <w:fldChar w:fldCharType="begin"/>
      </w:r>
      <w:r w:rsidR="00A11394">
        <w:rPr>
          <w:szCs w:val="22"/>
        </w:rPr>
        <w:instrText xml:space="preserve"> REF _Ref380084983 \r \h </w:instrText>
      </w:r>
      <w:r w:rsidR="00A11394">
        <w:rPr>
          <w:szCs w:val="22"/>
        </w:rPr>
      </w:r>
      <w:r w:rsidR="00A11394">
        <w:rPr>
          <w:szCs w:val="22"/>
        </w:rPr>
        <w:fldChar w:fldCharType="separate"/>
      </w:r>
      <w:r w:rsidR="00283F3A">
        <w:rPr>
          <w:szCs w:val="22"/>
        </w:rPr>
        <w:t>C</w:t>
      </w:r>
      <w:r w:rsidR="00A11394">
        <w:rPr>
          <w:szCs w:val="22"/>
        </w:rPr>
        <w:fldChar w:fldCharType="end"/>
      </w:r>
      <w:r w:rsidRPr="00E33DA9">
        <w:rPr>
          <w:szCs w:val="22"/>
        </w:rPr>
        <w:t>. Each session will consist of:</w:t>
      </w:r>
    </w:p>
    <w:p w14:paraId="3677ABF3" w14:textId="77777777" w:rsidR="008D2B69" w:rsidRDefault="008D2B69" w:rsidP="008D2B69">
      <w:pPr>
        <w:numPr>
          <w:ilvl w:val="0"/>
          <w:numId w:val="18"/>
        </w:numPr>
        <w:spacing w:after="170" w:line="280" w:lineRule="atLeast"/>
        <w:ind w:hanging="357"/>
        <w:jc w:val="both"/>
        <w:textAlignment w:val="auto"/>
        <w:rPr>
          <w:szCs w:val="22"/>
        </w:rPr>
      </w:pPr>
      <w:r>
        <w:rPr>
          <w:szCs w:val="22"/>
        </w:rPr>
        <w:t>I</w:t>
      </w:r>
      <w:r w:rsidRPr="00E33DA9">
        <w:rPr>
          <w:szCs w:val="22"/>
        </w:rPr>
        <w:t>nvited keynote paper(s);</w:t>
      </w:r>
    </w:p>
    <w:p w14:paraId="280C5601" w14:textId="77777777" w:rsidR="008D2B69" w:rsidRPr="00E33DA9" w:rsidRDefault="008D2B69" w:rsidP="008D2B69">
      <w:pPr>
        <w:numPr>
          <w:ilvl w:val="0"/>
          <w:numId w:val="18"/>
        </w:numPr>
        <w:spacing w:after="170" w:line="280" w:lineRule="atLeast"/>
        <w:ind w:hanging="357"/>
        <w:jc w:val="both"/>
        <w:textAlignment w:val="auto"/>
        <w:rPr>
          <w:szCs w:val="22"/>
        </w:rPr>
      </w:pPr>
      <w:r>
        <w:rPr>
          <w:szCs w:val="22"/>
        </w:rPr>
        <w:t>Oral presentations;</w:t>
      </w:r>
    </w:p>
    <w:p w14:paraId="7C4C3E33" w14:textId="77777777" w:rsidR="008D2B69" w:rsidRPr="00E33DA9" w:rsidRDefault="008D2B69" w:rsidP="008D2B69">
      <w:pPr>
        <w:numPr>
          <w:ilvl w:val="0"/>
          <w:numId w:val="18"/>
        </w:numPr>
        <w:spacing w:after="170" w:line="280" w:lineRule="atLeast"/>
        <w:ind w:left="714" w:hanging="357"/>
        <w:jc w:val="both"/>
        <w:textAlignment w:val="auto"/>
        <w:rPr>
          <w:szCs w:val="22"/>
        </w:rPr>
      </w:pPr>
      <w:r>
        <w:rPr>
          <w:szCs w:val="22"/>
        </w:rPr>
        <w:t>P</w:t>
      </w:r>
      <w:r w:rsidRPr="00E33DA9">
        <w:rPr>
          <w:szCs w:val="22"/>
        </w:rPr>
        <w:t>anel discussion.</w:t>
      </w:r>
    </w:p>
    <w:p w14:paraId="13FB2291" w14:textId="77777777" w:rsidR="008D2B69" w:rsidRPr="00E33DA9" w:rsidRDefault="008D2B69" w:rsidP="008D2B69">
      <w:pPr>
        <w:pStyle w:val="BodyText"/>
        <w:rPr>
          <w:szCs w:val="22"/>
        </w:rPr>
      </w:pPr>
      <w:r w:rsidRPr="00E33DA9">
        <w:rPr>
          <w:b/>
          <w:szCs w:val="22"/>
        </w:rPr>
        <w:t>Poster sessions</w:t>
      </w:r>
      <w:r w:rsidRPr="00E33DA9">
        <w:rPr>
          <w:szCs w:val="22"/>
        </w:rPr>
        <w:t xml:space="preserve"> will be organized for all accepted papers and will include ample time for discussion and interaction with colleagues.</w:t>
      </w:r>
    </w:p>
    <w:p w14:paraId="2469C7B4" w14:textId="5E74B686" w:rsidR="008D2B69" w:rsidRDefault="008D2B69" w:rsidP="008D2B69">
      <w:pPr>
        <w:pStyle w:val="BodyText"/>
        <w:rPr>
          <w:szCs w:val="22"/>
        </w:rPr>
      </w:pPr>
      <w:r w:rsidRPr="00E33DA9">
        <w:rPr>
          <w:b/>
          <w:bCs/>
          <w:szCs w:val="22"/>
        </w:rPr>
        <w:t>A final round</w:t>
      </w:r>
      <w:r w:rsidR="00145664">
        <w:rPr>
          <w:b/>
          <w:bCs/>
          <w:szCs w:val="22"/>
        </w:rPr>
        <w:t>-</w:t>
      </w:r>
      <w:r w:rsidRPr="00E33DA9">
        <w:rPr>
          <w:b/>
          <w:bCs/>
          <w:szCs w:val="22"/>
        </w:rPr>
        <w:t>table session</w:t>
      </w:r>
      <w:r w:rsidRPr="00E33DA9">
        <w:rPr>
          <w:bCs/>
          <w:szCs w:val="22"/>
        </w:rPr>
        <w:t xml:space="preserve"> </w:t>
      </w:r>
      <w:r w:rsidRPr="00E33DA9">
        <w:rPr>
          <w:szCs w:val="22"/>
        </w:rPr>
        <w:t>will include presentations by the session chairpersons of the main conclusions drawn in their respective sessions and of the recommendations for the future development of international cooperation, including IAEA activities.</w:t>
      </w:r>
    </w:p>
    <w:p w14:paraId="259EF31F" w14:textId="1D1BAC56" w:rsidR="005B6E72" w:rsidRPr="003332DA" w:rsidRDefault="008D2B69" w:rsidP="00A11394">
      <w:pPr>
        <w:overflowPunct/>
        <w:spacing w:after="170" w:line="280" w:lineRule="atLeast"/>
        <w:jc w:val="both"/>
        <w:textAlignment w:val="auto"/>
      </w:pPr>
      <w:r>
        <w:rPr>
          <w:szCs w:val="22"/>
        </w:rPr>
        <w:t xml:space="preserve">It is being considered to devote one day of the </w:t>
      </w:r>
      <w:r w:rsidR="003E0B48">
        <w:rPr>
          <w:szCs w:val="22"/>
        </w:rPr>
        <w:t>s</w:t>
      </w:r>
      <w:r>
        <w:rPr>
          <w:szCs w:val="22"/>
        </w:rPr>
        <w:t xml:space="preserve">ymposium to </w:t>
      </w:r>
      <w:r w:rsidRPr="00117CD8">
        <w:rPr>
          <w:bCs/>
          <w:szCs w:val="22"/>
        </w:rPr>
        <w:t xml:space="preserve">a </w:t>
      </w:r>
      <w:r w:rsidRPr="0073711A">
        <w:rPr>
          <w:b/>
          <w:szCs w:val="22"/>
        </w:rPr>
        <w:t>field trip</w:t>
      </w:r>
      <w:r>
        <w:rPr>
          <w:szCs w:val="22"/>
        </w:rPr>
        <w:t xml:space="preserve"> </w:t>
      </w:r>
      <w:r w:rsidR="00A11394">
        <w:rPr>
          <w:szCs w:val="22"/>
        </w:rPr>
        <w:t xml:space="preserve">which will </w:t>
      </w:r>
      <w:r>
        <w:rPr>
          <w:szCs w:val="22"/>
        </w:rPr>
        <w:t xml:space="preserve">highlight the geology and hydrogeology of the Vienna </w:t>
      </w:r>
      <w:r w:rsidR="003E0B48">
        <w:rPr>
          <w:szCs w:val="22"/>
        </w:rPr>
        <w:t>B</w:t>
      </w:r>
      <w:r>
        <w:rPr>
          <w:szCs w:val="22"/>
        </w:rPr>
        <w:t>asin.</w:t>
      </w:r>
    </w:p>
    <w:p w14:paraId="45BFFF5D" w14:textId="3345F40F" w:rsidR="00750DF0" w:rsidRPr="001114C8" w:rsidRDefault="008D2B69" w:rsidP="001A57B1">
      <w:pPr>
        <w:pStyle w:val="Heading1"/>
      </w:pPr>
      <w:r>
        <w:t>Papers and Posters</w:t>
      </w:r>
    </w:p>
    <w:p w14:paraId="2F079FED" w14:textId="3CDC9DC8" w:rsidR="008D2B69" w:rsidRDefault="008D2B69" w:rsidP="00A11394">
      <w:pPr>
        <w:pStyle w:val="BodyText"/>
        <w:widowControl w:val="0"/>
      </w:pPr>
      <w:r w:rsidRPr="00CD477D">
        <w:t xml:space="preserve">Contributions on </w:t>
      </w:r>
      <w:r>
        <w:t>the</w:t>
      </w:r>
      <w:r w:rsidRPr="00CD477D">
        <w:t xml:space="preserve"> </w:t>
      </w:r>
      <w:r w:rsidR="00A11394">
        <w:t>topics</w:t>
      </w:r>
      <w:r w:rsidR="00A11394" w:rsidRPr="00CD477D">
        <w:t xml:space="preserve"> </w:t>
      </w:r>
      <w:r>
        <w:t xml:space="preserve">listed in Section </w:t>
      </w:r>
      <w:r w:rsidR="00A11394">
        <w:fldChar w:fldCharType="begin"/>
      </w:r>
      <w:r w:rsidR="00A11394">
        <w:instrText xml:space="preserve"> REF _Ref380084983 \r \h </w:instrText>
      </w:r>
      <w:r w:rsidR="00A11394">
        <w:fldChar w:fldCharType="separate"/>
      </w:r>
      <w:r w:rsidR="00283F3A">
        <w:t>C</w:t>
      </w:r>
      <w:r w:rsidR="00A11394">
        <w:fldChar w:fldCharType="end"/>
      </w:r>
      <w:r>
        <w:t xml:space="preserve"> covering </w:t>
      </w:r>
      <w:r w:rsidRPr="00CD477D">
        <w:t xml:space="preserve">isotope applications relevant to water resources management and climate studies are welcome as </w:t>
      </w:r>
      <w:r>
        <w:t xml:space="preserve">oral or </w:t>
      </w:r>
      <w:r w:rsidRPr="00CD477D">
        <w:t>poster presentations.</w:t>
      </w:r>
      <w:r>
        <w:t xml:space="preserve"> All papers submitted </w:t>
      </w:r>
      <w:r w:rsidR="00A11394">
        <w:t xml:space="preserve">— </w:t>
      </w:r>
      <w:r>
        <w:t xml:space="preserve">other than invited keynote papers </w:t>
      </w:r>
      <w:r w:rsidR="00A11394">
        <w:t xml:space="preserve">— </w:t>
      </w:r>
      <w:r>
        <w:t xml:space="preserve">must present original work and should not have been published elsewhere. </w:t>
      </w:r>
      <w:r w:rsidRPr="00CD477D">
        <w:t xml:space="preserve">Poster sessions </w:t>
      </w:r>
      <w:r>
        <w:t xml:space="preserve">will </w:t>
      </w:r>
      <w:r w:rsidRPr="00CD477D">
        <w:t xml:space="preserve">be used to promote </w:t>
      </w:r>
      <w:r>
        <w:t>greater</w:t>
      </w:r>
      <w:r w:rsidRPr="00CD477D">
        <w:t xml:space="preserve"> interactions among symposium participants. </w:t>
      </w:r>
      <w:r>
        <w:t>A Book of Synopses</w:t>
      </w:r>
      <w:r w:rsidRPr="00CD477D">
        <w:t xml:space="preserve"> </w:t>
      </w:r>
      <w:r>
        <w:t xml:space="preserve">of the accepted contributions </w:t>
      </w:r>
      <w:r w:rsidRPr="00CD477D">
        <w:t xml:space="preserve">will be distributed to all participants </w:t>
      </w:r>
      <w:r>
        <w:t xml:space="preserve">at the opening of the </w:t>
      </w:r>
      <w:r w:rsidR="00A11394">
        <w:t>s</w:t>
      </w:r>
      <w:r>
        <w:t>ymposium</w:t>
      </w:r>
      <w:r w:rsidRPr="00CD477D">
        <w:t>.</w:t>
      </w:r>
    </w:p>
    <w:p w14:paraId="528F1852" w14:textId="6468EA21" w:rsidR="008D2B69" w:rsidRPr="00B03DCD" w:rsidRDefault="008D2B69" w:rsidP="006557EE">
      <w:pPr>
        <w:pStyle w:val="Heading2"/>
        <w:numPr>
          <w:ilvl w:val="1"/>
          <w:numId w:val="3"/>
        </w:numPr>
        <w:spacing w:after="170" w:line="280" w:lineRule="atLeast"/>
        <w:rPr>
          <w:sz w:val="24"/>
          <w:szCs w:val="24"/>
        </w:rPr>
      </w:pPr>
      <w:r w:rsidRPr="00B03DCD">
        <w:rPr>
          <w:sz w:val="24"/>
          <w:szCs w:val="24"/>
        </w:rPr>
        <w:t xml:space="preserve">Submission of </w:t>
      </w:r>
      <w:r w:rsidR="00A11394">
        <w:rPr>
          <w:sz w:val="24"/>
          <w:szCs w:val="24"/>
        </w:rPr>
        <w:t>S</w:t>
      </w:r>
      <w:r>
        <w:rPr>
          <w:sz w:val="24"/>
          <w:szCs w:val="24"/>
        </w:rPr>
        <w:t>ynopses</w:t>
      </w:r>
    </w:p>
    <w:p w14:paraId="56A4D7BB" w14:textId="32FFF737" w:rsidR="008D2B69" w:rsidRDefault="008D2B69" w:rsidP="00A11394">
      <w:pPr>
        <w:pStyle w:val="BodyText"/>
      </w:pPr>
      <w:r>
        <w:rPr>
          <w:szCs w:val="22"/>
        </w:rPr>
        <w:t>Synopses (</w:t>
      </w:r>
      <w:r w:rsidR="00B0093D">
        <w:rPr>
          <w:szCs w:val="22"/>
        </w:rPr>
        <w:t xml:space="preserve">up to four </w:t>
      </w:r>
      <w:r>
        <w:rPr>
          <w:szCs w:val="22"/>
        </w:rPr>
        <w:t>printed A4 pages, including figures and references)</w:t>
      </w:r>
      <w:r w:rsidRPr="00F85478">
        <w:rPr>
          <w:szCs w:val="22"/>
        </w:rPr>
        <w:t xml:space="preserve"> must </w:t>
      </w:r>
      <w:r>
        <w:rPr>
          <w:szCs w:val="22"/>
        </w:rPr>
        <w:t xml:space="preserve">be </w:t>
      </w:r>
      <w:r w:rsidRPr="00605484">
        <w:t>upload</w:t>
      </w:r>
      <w:r>
        <w:t>ed</w:t>
      </w:r>
      <w:r w:rsidRPr="00605484">
        <w:t xml:space="preserve"> to the </w:t>
      </w:r>
      <w:r>
        <w:t>symposium</w:t>
      </w:r>
      <w:r w:rsidRPr="00605484">
        <w:t xml:space="preserve">’s web browser-based file submission system (IAEA-INDICO) </w:t>
      </w:r>
      <w:r>
        <w:t xml:space="preserve">which </w:t>
      </w:r>
      <w:r w:rsidRPr="00605484">
        <w:t xml:space="preserve">will be available on the </w:t>
      </w:r>
      <w:r>
        <w:t>symposium</w:t>
      </w:r>
      <w:r w:rsidRPr="00605484">
        <w:t xml:space="preserve"> web</w:t>
      </w:r>
      <w:r>
        <w:t xml:space="preserve"> page</w:t>
      </w:r>
      <w:r w:rsidRPr="00605484">
        <w:t xml:space="preserve"> (see Section </w:t>
      </w:r>
      <w:r w:rsidR="00A11394">
        <w:fldChar w:fldCharType="begin"/>
      </w:r>
      <w:r w:rsidR="00A11394">
        <w:instrText xml:space="preserve"> REF _Ref372051245 \r \h </w:instrText>
      </w:r>
      <w:r w:rsidR="00A11394">
        <w:fldChar w:fldCharType="separate"/>
      </w:r>
      <w:r w:rsidR="00283F3A">
        <w:t>O</w:t>
      </w:r>
      <w:r w:rsidR="00A11394">
        <w:fldChar w:fldCharType="end"/>
      </w:r>
      <w:r w:rsidRPr="00605484">
        <w:t xml:space="preserve">) </w:t>
      </w:r>
      <w:r w:rsidR="00894E03">
        <w:t>until</w:t>
      </w:r>
      <w:r w:rsidRPr="00605484">
        <w:t xml:space="preserve"> </w:t>
      </w:r>
      <w:r w:rsidR="009F10FA">
        <w:rPr>
          <w:b/>
        </w:rPr>
        <w:t xml:space="preserve">15 November </w:t>
      </w:r>
      <w:r w:rsidRPr="006241DE">
        <w:rPr>
          <w:b/>
        </w:rPr>
        <w:t>2014</w:t>
      </w:r>
      <w:r w:rsidRPr="00605484">
        <w:t xml:space="preserve">. No other submission </w:t>
      </w:r>
      <w:r>
        <w:t>route</w:t>
      </w:r>
      <w:r w:rsidRPr="00605484">
        <w:t xml:space="preserve"> will be </w:t>
      </w:r>
      <w:r w:rsidRPr="005F5A3D">
        <w:t>accepted.</w:t>
      </w:r>
      <w:r>
        <w:t xml:space="preserve"> Specifications for the layout will be available on INDICO.</w:t>
      </w:r>
    </w:p>
    <w:p w14:paraId="0CF507E3" w14:textId="20BBD18C" w:rsidR="008D2B69" w:rsidRPr="00605484" w:rsidRDefault="008D2B69" w:rsidP="00A11394">
      <w:pPr>
        <w:pStyle w:val="BodyText"/>
      </w:pPr>
      <w:r>
        <w:t xml:space="preserve">In addition, all participants must </w:t>
      </w:r>
      <w:r w:rsidRPr="00605484">
        <w:t xml:space="preserve">submit the following two forms to their appropriate governmental authority (see </w:t>
      </w:r>
      <w:r>
        <w:t>S</w:t>
      </w:r>
      <w:r w:rsidRPr="00605484">
        <w:t xml:space="preserve">ection </w:t>
      </w:r>
      <w:r w:rsidR="00A11394">
        <w:fldChar w:fldCharType="begin"/>
      </w:r>
      <w:r w:rsidR="00A11394">
        <w:instrText xml:space="preserve"> REF _Ref380085066 \r \h </w:instrText>
      </w:r>
      <w:r w:rsidR="00A11394">
        <w:fldChar w:fldCharType="separate"/>
      </w:r>
      <w:r w:rsidR="00283F3A">
        <w:t>H</w:t>
      </w:r>
      <w:r w:rsidR="00A11394">
        <w:fldChar w:fldCharType="end"/>
      </w:r>
      <w:r w:rsidRPr="00605484">
        <w:t xml:space="preserve">) for transmission to the IAEA. These forms must be received by the IAEA no later than </w:t>
      </w:r>
      <w:r w:rsidR="009F10FA">
        <w:rPr>
          <w:b/>
          <w:bCs/>
        </w:rPr>
        <w:t xml:space="preserve">15 November </w:t>
      </w:r>
      <w:r w:rsidRPr="00117CD8">
        <w:rPr>
          <w:b/>
          <w:bCs/>
        </w:rPr>
        <w:t>2014</w:t>
      </w:r>
      <w:r w:rsidRPr="00605484">
        <w:t>.</w:t>
      </w:r>
    </w:p>
    <w:p w14:paraId="2F3C58F9" w14:textId="77777777" w:rsidR="008D2B69" w:rsidRPr="00605484" w:rsidRDefault="008D2B69" w:rsidP="008D2B69">
      <w:pPr>
        <w:numPr>
          <w:ilvl w:val="0"/>
          <w:numId w:val="19"/>
        </w:numPr>
        <w:spacing w:after="170" w:line="280" w:lineRule="atLeast"/>
        <w:rPr>
          <w:color w:val="000000"/>
          <w:szCs w:val="11"/>
        </w:rPr>
      </w:pPr>
      <w:r w:rsidRPr="00605484">
        <w:rPr>
          <w:color w:val="000000"/>
          <w:szCs w:val="11"/>
        </w:rPr>
        <w:t>Participation Form (</w:t>
      </w:r>
      <w:r w:rsidRPr="002909DA">
        <w:rPr>
          <w:color w:val="000000"/>
          <w:szCs w:val="11"/>
        </w:rPr>
        <w:t>F</w:t>
      </w:r>
      <w:r w:rsidRPr="00605484">
        <w:rPr>
          <w:color w:val="000000"/>
          <w:szCs w:val="11"/>
        </w:rPr>
        <w:t>orm</w:t>
      </w:r>
      <w:r w:rsidRPr="002909DA">
        <w:rPr>
          <w:color w:val="000000"/>
          <w:szCs w:val="11"/>
        </w:rPr>
        <w:t xml:space="preserve"> A</w:t>
      </w:r>
      <w:r w:rsidRPr="00605484">
        <w:rPr>
          <w:color w:val="000000"/>
          <w:szCs w:val="11"/>
        </w:rPr>
        <w:t>)</w:t>
      </w:r>
    </w:p>
    <w:p w14:paraId="392E0334" w14:textId="77777777" w:rsidR="008D2B69" w:rsidRPr="00605484" w:rsidRDefault="008D2B69" w:rsidP="008D2B69">
      <w:pPr>
        <w:numPr>
          <w:ilvl w:val="0"/>
          <w:numId w:val="19"/>
        </w:numPr>
        <w:spacing w:after="170" w:line="280" w:lineRule="atLeast"/>
        <w:ind w:left="714" w:hanging="357"/>
        <w:rPr>
          <w:bCs/>
          <w:color w:val="000000"/>
        </w:rPr>
      </w:pPr>
      <w:r w:rsidRPr="00605484">
        <w:rPr>
          <w:color w:val="000000"/>
          <w:szCs w:val="11"/>
        </w:rPr>
        <w:t>Form for Submission of a Paper (</w:t>
      </w:r>
      <w:r w:rsidRPr="002909DA">
        <w:rPr>
          <w:color w:val="000000"/>
          <w:szCs w:val="11"/>
        </w:rPr>
        <w:t>F</w:t>
      </w:r>
      <w:r w:rsidRPr="00605484">
        <w:rPr>
          <w:color w:val="000000"/>
          <w:szCs w:val="11"/>
        </w:rPr>
        <w:t>orm</w:t>
      </w:r>
      <w:r w:rsidRPr="002909DA">
        <w:rPr>
          <w:color w:val="000000"/>
          <w:szCs w:val="11"/>
        </w:rPr>
        <w:t xml:space="preserve"> B</w:t>
      </w:r>
      <w:r w:rsidRPr="00605484">
        <w:rPr>
          <w:color w:val="000000"/>
          <w:szCs w:val="11"/>
        </w:rPr>
        <w:t>)</w:t>
      </w:r>
    </w:p>
    <w:p w14:paraId="18EDEDEC" w14:textId="626A4DFB" w:rsidR="008D2B69" w:rsidRPr="00605484" w:rsidRDefault="008D2B69" w:rsidP="006557EE">
      <w:pPr>
        <w:pStyle w:val="BodyText"/>
      </w:pPr>
      <w:r w:rsidRPr="00605484">
        <w:rPr>
          <w:b/>
          <w:bCs/>
          <w:color w:val="000000"/>
        </w:rPr>
        <w:t>IMPORTANT:</w:t>
      </w:r>
      <w:r w:rsidRPr="00605484">
        <w:rPr>
          <w:bCs/>
          <w:color w:val="000000"/>
        </w:rPr>
        <w:t xml:space="preserve"> </w:t>
      </w:r>
      <w:r w:rsidRPr="00605484">
        <w:t xml:space="preserve">The </w:t>
      </w:r>
      <w:r>
        <w:t>uploaded</w:t>
      </w:r>
      <w:r w:rsidRPr="00605484">
        <w:t xml:space="preserve"> </w:t>
      </w:r>
      <w:r>
        <w:t xml:space="preserve">synopses </w:t>
      </w:r>
      <w:r w:rsidRPr="00605484">
        <w:t xml:space="preserve">will be considered by the Programme Committee only if these two forms have been received by the IAEA through the </w:t>
      </w:r>
      <w:r>
        <w:t>established</w:t>
      </w:r>
      <w:r w:rsidRPr="00605484">
        <w:t xml:space="preserve"> official channels (see </w:t>
      </w:r>
      <w:r w:rsidR="00A11394" w:rsidRPr="00605484">
        <w:t>Section</w:t>
      </w:r>
      <w:r w:rsidR="00A11394">
        <w:t> </w:t>
      </w:r>
      <w:r w:rsidR="00A11394">
        <w:fldChar w:fldCharType="begin"/>
      </w:r>
      <w:r w:rsidR="00A11394">
        <w:instrText xml:space="preserve"> REF _Ref380085066 \r \h </w:instrText>
      </w:r>
      <w:r w:rsidR="00A11394">
        <w:fldChar w:fldCharType="separate"/>
      </w:r>
      <w:r w:rsidR="00283F3A">
        <w:t>H</w:t>
      </w:r>
      <w:r w:rsidR="00A11394">
        <w:fldChar w:fldCharType="end"/>
      </w:r>
      <w:r>
        <w:t>)</w:t>
      </w:r>
      <w:r w:rsidRPr="00605484">
        <w:t>.</w:t>
      </w:r>
    </w:p>
    <w:p w14:paraId="7ACD42EF" w14:textId="76378FBF" w:rsidR="008D2B69" w:rsidRPr="00B03DCD" w:rsidRDefault="008D2B69" w:rsidP="006557EE">
      <w:pPr>
        <w:pStyle w:val="Heading2"/>
        <w:numPr>
          <w:ilvl w:val="1"/>
          <w:numId w:val="3"/>
        </w:numPr>
        <w:spacing w:after="170" w:line="280" w:lineRule="atLeast"/>
        <w:rPr>
          <w:sz w:val="24"/>
          <w:szCs w:val="24"/>
        </w:rPr>
      </w:pPr>
      <w:r w:rsidRPr="00B03DCD">
        <w:rPr>
          <w:sz w:val="24"/>
          <w:szCs w:val="24"/>
        </w:rPr>
        <w:t xml:space="preserve">Acceptance of </w:t>
      </w:r>
      <w:r w:rsidR="00A11394">
        <w:rPr>
          <w:sz w:val="24"/>
          <w:szCs w:val="24"/>
        </w:rPr>
        <w:t>S</w:t>
      </w:r>
      <w:r>
        <w:rPr>
          <w:sz w:val="24"/>
          <w:szCs w:val="24"/>
        </w:rPr>
        <w:t>ynopses</w:t>
      </w:r>
    </w:p>
    <w:p w14:paraId="2F8DC09D" w14:textId="397F39A3" w:rsidR="008D2B69" w:rsidRDefault="008D2B69" w:rsidP="008D2B69">
      <w:pPr>
        <w:pStyle w:val="BodyText"/>
      </w:pPr>
      <w:r w:rsidRPr="00CD477D">
        <w:rPr>
          <w:szCs w:val="24"/>
        </w:rPr>
        <w:t xml:space="preserve">Authors will be informed </w:t>
      </w:r>
      <w:r>
        <w:rPr>
          <w:szCs w:val="24"/>
        </w:rPr>
        <w:t xml:space="preserve">by </w:t>
      </w:r>
      <w:r w:rsidRPr="000D45FB">
        <w:rPr>
          <w:b/>
          <w:szCs w:val="24"/>
        </w:rPr>
        <w:t>16 January 2015</w:t>
      </w:r>
      <w:r>
        <w:rPr>
          <w:szCs w:val="24"/>
        </w:rPr>
        <w:t xml:space="preserve"> </w:t>
      </w:r>
      <w:r w:rsidR="00A11394">
        <w:rPr>
          <w:szCs w:val="24"/>
        </w:rPr>
        <w:t xml:space="preserve">as to </w:t>
      </w:r>
      <w:r w:rsidRPr="00CD477D">
        <w:rPr>
          <w:szCs w:val="24"/>
        </w:rPr>
        <w:t xml:space="preserve">whether their </w:t>
      </w:r>
      <w:r>
        <w:rPr>
          <w:szCs w:val="24"/>
        </w:rPr>
        <w:t>synopses</w:t>
      </w:r>
      <w:r w:rsidRPr="00CD477D">
        <w:rPr>
          <w:szCs w:val="24"/>
        </w:rPr>
        <w:t xml:space="preserve"> have been accepted for inclusion in the </w:t>
      </w:r>
      <w:r>
        <w:rPr>
          <w:szCs w:val="24"/>
        </w:rPr>
        <w:t>B</w:t>
      </w:r>
      <w:r w:rsidRPr="00CD477D">
        <w:rPr>
          <w:szCs w:val="24"/>
        </w:rPr>
        <w:t xml:space="preserve">ook of </w:t>
      </w:r>
      <w:r>
        <w:rPr>
          <w:szCs w:val="24"/>
        </w:rPr>
        <w:t>Synopses</w:t>
      </w:r>
      <w:r w:rsidRPr="00CD477D">
        <w:rPr>
          <w:szCs w:val="24"/>
        </w:rPr>
        <w:t xml:space="preserve"> and, as appropriate, for </w:t>
      </w:r>
      <w:r w:rsidR="00A11394">
        <w:rPr>
          <w:szCs w:val="24"/>
        </w:rPr>
        <w:t xml:space="preserve">ultimate </w:t>
      </w:r>
      <w:r w:rsidRPr="00CD477D">
        <w:rPr>
          <w:szCs w:val="24"/>
        </w:rPr>
        <w:t xml:space="preserve">presentation </w:t>
      </w:r>
      <w:r>
        <w:rPr>
          <w:szCs w:val="24"/>
        </w:rPr>
        <w:t>in an oral or a poster session and will receive further guidelines</w:t>
      </w:r>
      <w:r w:rsidRPr="00CD477D">
        <w:rPr>
          <w:szCs w:val="24"/>
        </w:rPr>
        <w:t xml:space="preserve">. The IAEA, however, reserves the right to refuse the presentation or publication of any </w:t>
      </w:r>
      <w:r>
        <w:rPr>
          <w:szCs w:val="24"/>
        </w:rPr>
        <w:t>submission</w:t>
      </w:r>
      <w:r w:rsidRPr="00CD477D">
        <w:rPr>
          <w:szCs w:val="24"/>
        </w:rPr>
        <w:t xml:space="preserve"> that does not meet expectations based on the i</w:t>
      </w:r>
      <w:r>
        <w:rPr>
          <w:szCs w:val="24"/>
        </w:rPr>
        <w:t>nformation given in the synopses</w:t>
      </w:r>
      <w:r w:rsidRPr="00CD477D">
        <w:rPr>
          <w:szCs w:val="24"/>
        </w:rPr>
        <w:t>.</w:t>
      </w:r>
    </w:p>
    <w:p w14:paraId="6837EEA2" w14:textId="43B7096D" w:rsidR="00BF68CA" w:rsidRPr="003332DA" w:rsidRDefault="008D2B69" w:rsidP="008D2B69">
      <w:pPr>
        <w:pStyle w:val="BodyTextMultiline"/>
        <w:numPr>
          <w:ilvl w:val="0"/>
          <w:numId w:val="0"/>
        </w:numPr>
      </w:pPr>
      <w:r w:rsidRPr="008C1C74">
        <w:rPr>
          <w:b/>
        </w:rPr>
        <w:t>IMPORTANT:</w:t>
      </w:r>
      <w:r>
        <w:t xml:space="preserve"> The system for electronic submission of papers, IAEA-INDICO, is the sole mechanism for submission of the synopses. Authors are encouraged to submit the synopses as early as possible.</w:t>
      </w:r>
    </w:p>
    <w:p w14:paraId="52EC5FC8" w14:textId="65B8B949" w:rsidR="00750DF0" w:rsidRPr="001114C8" w:rsidRDefault="008D2B69" w:rsidP="001A57B1">
      <w:pPr>
        <w:pStyle w:val="Heading1"/>
      </w:pPr>
      <w:bookmarkStart w:id="3" w:name="_Ref380085066"/>
      <w:r>
        <w:t>Participation and Registration</w:t>
      </w:r>
      <w:bookmarkEnd w:id="3"/>
    </w:p>
    <w:p w14:paraId="0D3D01CB" w14:textId="77777777" w:rsidR="001178E1" w:rsidRPr="00C362C4" w:rsidRDefault="001178E1" w:rsidP="001178E1">
      <w:pPr>
        <w:pStyle w:val="BodyText"/>
      </w:pPr>
      <w:r w:rsidRPr="00C362C4">
        <w:t>No registration fee is charged to participants.</w:t>
      </w:r>
    </w:p>
    <w:p w14:paraId="58A771CF" w14:textId="77777777" w:rsidR="008D2B69" w:rsidRDefault="008D2B69" w:rsidP="008D2B69">
      <w:pPr>
        <w:pStyle w:val="BodyText"/>
      </w:pPr>
      <w:r>
        <w:t xml:space="preserve">All persons wishing to participate in the symposium are requested to </w:t>
      </w:r>
      <w:r w:rsidRPr="0033018A">
        <w:rPr>
          <w:b/>
        </w:rPr>
        <w:t>register online in advance</w:t>
      </w:r>
      <w:r>
        <w:rPr>
          <w:b/>
        </w:rPr>
        <w:t xml:space="preserve"> </w:t>
      </w:r>
      <w:r w:rsidRPr="0033018A">
        <w:t xml:space="preserve">through the </w:t>
      </w:r>
      <w:r>
        <w:t>symposium</w:t>
      </w:r>
      <w:r w:rsidRPr="0033018A">
        <w:t xml:space="preserve"> web page</w:t>
      </w:r>
      <w:r>
        <w:t xml:space="preserve">. </w:t>
      </w:r>
      <w:r w:rsidRPr="00F51FB9">
        <w:rPr>
          <w:b/>
        </w:rPr>
        <w:t>In addition</w:t>
      </w:r>
      <w:r>
        <w:t>, they must send a completed</w:t>
      </w:r>
    </w:p>
    <w:p w14:paraId="2AC6055E" w14:textId="77777777" w:rsidR="008D2B69" w:rsidRDefault="008D2B69" w:rsidP="008D2B69">
      <w:pPr>
        <w:pStyle w:val="BodyText"/>
        <w:numPr>
          <w:ilvl w:val="0"/>
          <w:numId w:val="20"/>
        </w:numPr>
        <w:ind w:left="714" w:hanging="357"/>
      </w:pPr>
      <w:r>
        <w:t>Participation Form (Form A)</w:t>
      </w:r>
    </w:p>
    <w:p w14:paraId="09C8A199" w14:textId="77777777" w:rsidR="008D2B69" w:rsidRDefault="008D2B69" w:rsidP="008D2B69">
      <w:pPr>
        <w:pStyle w:val="BodyText"/>
        <w:numPr>
          <w:ilvl w:val="0"/>
          <w:numId w:val="20"/>
        </w:numPr>
        <w:ind w:left="714" w:hanging="357"/>
      </w:pPr>
      <w:r>
        <w:t>Form for Submission of a Paper (Form B), (if applicable)</w:t>
      </w:r>
    </w:p>
    <w:p w14:paraId="70EC11C4" w14:textId="77777777" w:rsidR="008D2B69" w:rsidRDefault="008D2B69" w:rsidP="008D2B69">
      <w:pPr>
        <w:pStyle w:val="BodyText"/>
        <w:numPr>
          <w:ilvl w:val="0"/>
          <w:numId w:val="20"/>
        </w:numPr>
        <w:ind w:left="714" w:hanging="357"/>
      </w:pPr>
      <w:r>
        <w:t>Grant Application Form (Form C), (if applicable)</w:t>
      </w:r>
    </w:p>
    <w:p w14:paraId="2B728C55" w14:textId="77777777" w:rsidR="008D2B69" w:rsidRDefault="008D2B69" w:rsidP="008D2B69">
      <w:pPr>
        <w:pStyle w:val="BodyText"/>
      </w:pPr>
      <w:proofErr w:type="gramStart"/>
      <w:r>
        <w:t>as</w:t>
      </w:r>
      <w:proofErr w:type="gramEnd"/>
      <w:r>
        <w:t xml:space="preserve"> soon as possible to the competent official authority:</w:t>
      </w:r>
    </w:p>
    <w:p w14:paraId="647E6395" w14:textId="10222C1A" w:rsidR="008D2B69" w:rsidRDefault="008D2B69" w:rsidP="00064345">
      <w:pPr>
        <w:pStyle w:val="BodyText"/>
        <w:numPr>
          <w:ilvl w:val="0"/>
          <w:numId w:val="21"/>
        </w:numPr>
        <w:ind w:left="714" w:hanging="357"/>
      </w:pPr>
      <w:r>
        <w:t>Ministry of Foreign Affairs or</w:t>
      </w:r>
    </w:p>
    <w:p w14:paraId="5FBF28A3" w14:textId="77777777" w:rsidR="008D2B69" w:rsidRDefault="008D2B69" w:rsidP="008D2B69">
      <w:pPr>
        <w:pStyle w:val="BodyText"/>
        <w:numPr>
          <w:ilvl w:val="0"/>
          <w:numId w:val="21"/>
        </w:numPr>
        <w:ind w:left="714" w:hanging="357"/>
      </w:pPr>
      <w:r>
        <w:t>National Atomic Energy Authority</w:t>
      </w:r>
    </w:p>
    <w:p w14:paraId="4386E96E" w14:textId="72B1077F" w:rsidR="008D2B69" w:rsidRDefault="008D2B69" w:rsidP="008D2B69">
      <w:pPr>
        <w:pStyle w:val="BodyText"/>
      </w:pPr>
      <w:proofErr w:type="gramStart"/>
      <w:r>
        <w:t>or</w:t>
      </w:r>
      <w:proofErr w:type="gramEnd"/>
      <w:r>
        <w:t xml:space="preserve"> to one of the organizations invited to participate for subsequent electronic transmission to the IAEA (</w:t>
      </w:r>
      <w:hyperlink r:id="rId10" w:history="1">
        <w:r w:rsidR="00A11394">
          <w:rPr>
            <w:rStyle w:val="Hyperlink"/>
          </w:rPr>
          <w:t>Official.Mail@iaea.org</w:t>
        </w:r>
      </w:hyperlink>
      <w:r>
        <w:rPr>
          <w:rStyle w:val="Hyperlink"/>
        </w:rPr>
        <w:t>)</w:t>
      </w:r>
      <w:r>
        <w:t>.</w:t>
      </w:r>
    </w:p>
    <w:p w14:paraId="29B5F03D" w14:textId="77777777" w:rsidR="008D2B69" w:rsidRDefault="008D2B69" w:rsidP="008D2B69">
      <w:pPr>
        <w:pStyle w:val="BodyText"/>
      </w:pPr>
      <w:r w:rsidRPr="00AE293E">
        <w:t xml:space="preserve">A participant will be accepted only if the Participation Form is transmitted through the competent </w:t>
      </w:r>
      <w:r>
        <w:t>official</w:t>
      </w:r>
      <w:r w:rsidRPr="00AE293E">
        <w:t xml:space="preserve"> authority of a Member State of the IAEA or by an organization invited to participate.</w:t>
      </w:r>
    </w:p>
    <w:p w14:paraId="5B3E116C" w14:textId="62B79049" w:rsidR="003332DA" w:rsidRDefault="008D2B69" w:rsidP="00A11394">
      <w:pPr>
        <w:pStyle w:val="BodyText"/>
        <w:rPr>
          <w:szCs w:val="22"/>
        </w:rPr>
      </w:pPr>
      <w:r>
        <w:t>Participants whose official designations have been received by the IAEA will receive further information on the symposium at least three months before the opening of the symposium. This information will also be posted on the symposium web page</w:t>
      </w:r>
      <w:r w:rsidR="00A11394">
        <w:t xml:space="preserve"> (see Section </w:t>
      </w:r>
      <w:r w:rsidR="00A11394">
        <w:fldChar w:fldCharType="begin"/>
      </w:r>
      <w:r w:rsidR="00A11394">
        <w:instrText xml:space="preserve"> REF _Ref372051245 \r \h </w:instrText>
      </w:r>
      <w:r w:rsidR="00A11394">
        <w:fldChar w:fldCharType="separate"/>
      </w:r>
      <w:r w:rsidR="00283F3A">
        <w:t>O</w:t>
      </w:r>
      <w:r w:rsidR="00A11394">
        <w:fldChar w:fldCharType="end"/>
      </w:r>
      <w:r w:rsidR="00A11394">
        <w:t>)</w:t>
      </w:r>
      <w:r w:rsidRPr="006E42FC">
        <w:t>.</w:t>
      </w:r>
    </w:p>
    <w:p w14:paraId="4838A2DD" w14:textId="2434C4D6" w:rsidR="00E77634" w:rsidRDefault="008D2B69" w:rsidP="001A57B1">
      <w:pPr>
        <w:pStyle w:val="Heading1"/>
        <w:rPr>
          <w:lang w:eastAsia="en-GB"/>
        </w:rPr>
      </w:pPr>
      <w:r>
        <w:rPr>
          <w:lang w:eastAsia="en-GB"/>
        </w:rPr>
        <w:t>Expenditures and Grants</w:t>
      </w:r>
    </w:p>
    <w:p w14:paraId="46B288BA" w14:textId="77777777" w:rsidR="008D2B69" w:rsidRPr="00755F46" w:rsidRDefault="008D2B69" w:rsidP="008D2B69">
      <w:pPr>
        <w:pStyle w:val="BodyText"/>
        <w:rPr>
          <w:szCs w:val="22"/>
        </w:rPr>
      </w:pPr>
      <w:r w:rsidRPr="00755F46">
        <w:rPr>
          <w:szCs w:val="22"/>
        </w:rPr>
        <w:t xml:space="preserve">The IAEA is generally not in a position to bear the travel and other costs of participants </w:t>
      </w:r>
      <w:r>
        <w:rPr>
          <w:szCs w:val="22"/>
        </w:rPr>
        <w:t>in</w:t>
      </w:r>
      <w:r w:rsidRPr="00755F46">
        <w:rPr>
          <w:szCs w:val="22"/>
        </w:rPr>
        <w:t xml:space="preserve"> the </w:t>
      </w:r>
      <w:r>
        <w:rPr>
          <w:szCs w:val="22"/>
        </w:rPr>
        <w:t>symposium</w:t>
      </w:r>
      <w:r w:rsidRPr="00755F46">
        <w:rPr>
          <w:szCs w:val="22"/>
        </w:rPr>
        <w:t xml:space="preserve">. The IAEA has, however, limited funds at its disposal to help </w:t>
      </w:r>
      <w:r>
        <w:rPr>
          <w:szCs w:val="22"/>
        </w:rPr>
        <w:t>meet</w:t>
      </w:r>
      <w:r w:rsidRPr="00755F46">
        <w:rPr>
          <w:szCs w:val="22"/>
        </w:rPr>
        <w:t xml:space="preserve"> the cost of attendance of </w:t>
      </w:r>
      <w:r>
        <w:rPr>
          <w:szCs w:val="22"/>
        </w:rPr>
        <w:t>certain</w:t>
      </w:r>
      <w:r w:rsidRPr="00755F46">
        <w:rPr>
          <w:szCs w:val="22"/>
        </w:rPr>
        <w:t xml:space="preserve"> </w:t>
      </w:r>
      <w:r>
        <w:rPr>
          <w:szCs w:val="22"/>
        </w:rPr>
        <w:t>participants</w:t>
      </w:r>
      <w:r w:rsidRPr="00755F46">
        <w:rPr>
          <w:szCs w:val="22"/>
        </w:rPr>
        <w:t>. Such assistance may be offered upon specific request</w:t>
      </w:r>
      <w:r>
        <w:rPr>
          <w:szCs w:val="22"/>
        </w:rPr>
        <w:t xml:space="preserve"> to normally one participant per country</w:t>
      </w:r>
      <w:r w:rsidRPr="00755F46">
        <w:rPr>
          <w:szCs w:val="22"/>
        </w:rPr>
        <w:t xml:space="preserve"> provided that</w:t>
      </w:r>
      <w:r>
        <w:rPr>
          <w:szCs w:val="22"/>
        </w:rPr>
        <w:t>,</w:t>
      </w:r>
      <w:r w:rsidRPr="00755F46">
        <w:rPr>
          <w:szCs w:val="22"/>
        </w:rPr>
        <w:t xml:space="preserve"> in the IAEA</w:t>
      </w:r>
      <w:r>
        <w:rPr>
          <w:szCs w:val="22"/>
        </w:rPr>
        <w:t>’</w:t>
      </w:r>
      <w:r w:rsidRPr="00755F46">
        <w:rPr>
          <w:szCs w:val="22"/>
        </w:rPr>
        <w:t>s view</w:t>
      </w:r>
      <w:r>
        <w:rPr>
          <w:szCs w:val="22"/>
        </w:rPr>
        <w:t>,</w:t>
      </w:r>
      <w:r w:rsidRPr="00755F46">
        <w:rPr>
          <w:szCs w:val="22"/>
        </w:rPr>
        <w:t xml:space="preserve"> the participant </w:t>
      </w:r>
      <w:r>
        <w:rPr>
          <w:szCs w:val="22"/>
        </w:rPr>
        <w:t xml:space="preserve">on whose behalf assistance is requested </w:t>
      </w:r>
      <w:r w:rsidRPr="00755F46">
        <w:rPr>
          <w:szCs w:val="22"/>
        </w:rPr>
        <w:t xml:space="preserve">will make an important contribution to the </w:t>
      </w:r>
      <w:r>
        <w:rPr>
          <w:szCs w:val="22"/>
        </w:rPr>
        <w:t>symposium</w:t>
      </w:r>
      <w:r w:rsidRPr="00755F46">
        <w:rPr>
          <w:szCs w:val="22"/>
        </w:rPr>
        <w:t>.</w:t>
      </w:r>
    </w:p>
    <w:p w14:paraId="4A340F6D" w14:textId="0C79785E" w:rsidR="008D2B69" w:rsidRPr="00755F46" w:rsidRDefault="008D2B69" w:rsidP="00FF3D00">
      <w:pPr>
        <w:pStyle w:val="BodyText"/>
        <w:keepNext/>
        <w:keepLines/>
        <w:rPr>
          <w:szCs w:val="22"/>
        </w:rPr>
      </w:pPr>
      <w:r w:rsidRPr="00755F46">
        <w:rPr>
          <w:szCs w:val="22"/>
        </w:rPr>
        <w:t xml:space="preserve">If </w:t>
      </w:r>
      <w:r w:rsidR="00A11394">
        <w:rPr>
          <w:szCs w:val="22"/>
        </w:rPr>
        <w:t>G</w:t>
      </w:r>
      <w:r w:rsidRPr="00755F46">
        <w:rPr>
          <w:szCs w:val="22"/>
        </w:rPr>
        <w:t>overnments wish to apply for a grant on behalf of one of their specialists, they should address specific requests to the IAEA to this effect. Governments should ensure that applications for grants are:</w:t>
      </w:r>
    </w:p>
    <w:p w14:paraId="4A40A9DB" w14:textId="6062B628" w:rsidR="008D2B69" w:rsidRPr="008E11A1" w:rsidRDefault="008D2B69" w:rsidP="00FF3D00">
      <w:pPr>
        <w:pStyle w:val="BodyText"/>
        <w:keepNext/>
        <w:keepLines/>
        <w:ind w:left="567"/>
        <w:rPr>
          <w:szCs w:val="22"/>
        </w:rPr>
      </w:pPr>
      <w:r w:rsidRPr="008E11A1">
        <w:rPr>
          <w:szCs w:val="22"/>
        </w:rPr>
        <w:t>1.</w:t>
      </w:r>
      <w:r w:rsidRPr="008E11A1">
        <w:rPr>
          <w:szCs w:val="22"/>
        </w:rPr>
        <w:tab/>
        <w:t xml:space="preserve">Submitted </w:t>
      </w:r>
      <w:r w:rsidRPr="00014337">
        <w:rPr>
          <w:szCs w:val="22"/>
        </w:rPr>
        <w:t>by</w:t>
      </w:r>
      <w:r>
        <w:rPr>
          <w:b/>
          <w:szCs w:val="22"/>
        </w:rPr>
        <w:t xml:space="preserve"> </w:t>
      </w:r>
      <w:r w:rsidR="009F10FA">
        <w:rPr>
          <w:b/>
          <w:szCs w:val="22"/>
        </w:rPr>
        <w:t xml:space="preserve">15 November </w:t>
      </w:r>
      <w:r>
        <w:rPr>
          <w:b/>
          <w:szCs w:val="22"/>
        </w:rPr>
        <w:t>2014</w:t>
      </w:r>
      <w:r w:rsidRPr="008E11A1">
        <w:rPr>
          <w:szCs w:val="22"/>
        </w:rPr>
        <w:t>;</w:t>
      </w:r>
    </w:p>
    <w:p w14:paraId="2DC1078F" w14:textId="77777777" w:rsidR="008D2B69" w:rsidRPr="008E11A1" w:rsidRDefault="008D2B69" w:rsidP="00FF3D00">
      <w:pPr>
        <w:pStyle w:val="BodyText"/>
        <w:keepNext/>
        <w:keepLines/>
        <w:ind w:left="567"/>
        <w:rPr>
          <w:szCs w:val="22"/>
        </w:rPr>
      </w:pPr>
      <w:r w:rsidRPr="008E11A1">
        <w:rPr>
          <w:szCs w:val="22"/>
        </w:rPr>
        <w:t>2.</w:t>
      </w:r>
      <w:r w:rsidRPr="008E11A1">
        <w:rPr>
          <w:szCs w:val="22"/>
        </w:rPr>
        <w:tab/>
        <w:t>Accompanied by a completed and signed Grant Application Form (Form C);</w:t>
      </w:r>
      <w:r>
        <w:rPr>
          <w:szCs w:val="22"/>
        </w:rPr>
        <w:t xml:space="preserve"> and</w:t>
      </w:r>
    </w:p>
    <w:p w14:paraId="614BB9FC" w14:textId="77777777" w:rsidR="008D2B69" w:rsidRDefault="008D2B69" w:rsidP="00FF3D00">
      <w:pPr>
        <w:pStyle w:val="BodyText"/>
        <w:keepNext/>
        <w:keepLines/>
        <w:ind w:left="567"/>
        <w:rPr>
          <w:szCs w:val="22"/>
        </w:rPr>
      </w:pPr>
      <w:r w:rsidRPr="008E11A1">
        <w:rPr>
          <w:szCs w:val="22"/>
        </w:rPr>
        <w:t>3.</w:t>
      </w:r>
      <w:r w:rsidRPr="008E11A1">
        <w:rPr>
          <w:szCs w:val="22"/>
        </w:rPr>
        <w:tab/>
        <w:t>Accompanied by a completed Participation Form (Form A).</w:t>
      </w:r>
    </w:p>
    <w:p w14:paraId="312AEBDD" w14:textId="77777777" w:rsidR="008D2B69" w:rsidRPr="00755F46" w:rsidRDefault="008D2B69" w:rsidP="008D2B69">
      <w:pPr>
        <w:pStyle w:val="BodyText"/>
      </w:pPr>
      <w:r w:rsidRPr="00755F46">
        <w:t>Applications that do not comply with the above conditions cannot be considered.</w:t>
      </w:r>
    </w:p>
    <w:p w14:paraId="7135B518" w14:textId="56A745AA" w:rsidR="006117D0" w:rsidRDefault="008D2B69" w:rsidP="008D2B69">
      <w:pPr>
        <w:pStyle w:val="BodyTextMultiline"/>
        <w:numPr>
          <w:ilvl w:val="0"/>
          <w:numId w:val="0"/>
        </w:numPr>
      </w:pPr>
      <w:r w:rsidRPr="00755F46">
        <w:t xml:space="preserve">Approved grants will be issued in the form of a lump sum payment that usually </w:t>
      </w:r>
      <w:r w:rsidRPr="00A23F13">
        <w:rPr>
          <w:b/>
        </w:rPr>
        <w:t>covers only part of the cost of attendance</w:t>
      </w:r>
      <w:r w:rsidRPr="00C362C4">
        <w:t>.</w:t>
      </w:r>
    </w:p>
    <w:p w14:paraId="7FAFF6F4" w14:textId="43577B4C" w:rsidR="005E28D8" w:rsidRPr="001114C8" w:rsidRDefault="005E28D8" w:rsidP="001A57B1">
      <w:pPr>
        <w:pStyle w:val="Heading1"/>
      </w:pPr>
      <w:r>
        <w:t>Venue</w:t>
      </w:r>
      <w:r w:rsidR="008D2B69">
        <w:t xml:space="preserve"> and Accommodation</w:t>
      </w:r>
    </w:p>
    <w:p w14:paraId="243A82C8" w14:textId="3D402216" w:rsidR="008F3152" w:rsidRDefault="008D2B69" w:rsidP="008F3152">
      <w:pPr>
        <w:overflowPunct/>
        <w:spacing w:after="170" w:line="280" w:lineRule="atLeast"/>
        <w:jc w:val="both"/>
        <w:textAlignment w:val="auto"/>
        <w:rPr>
          <w:b/>
          <w:bCs/>
          <w:color w:val="000000"/>
          <w:szCs w:val="22"/>
          <w:lang w:eastAsia="en-GB"/>
        </w:rPr>
      </w:pPr>
      <w:r w:rsidRPr="00755F46">
        <w:rPr>
          <w:szCs w:val="22"/>
        </w:rPr>
        <w:t xml:space="preserve">The </w:t>
      </w:r>
      <w:r>
        <w:rPr>
          <w:szCs w:val="22"/>
        </w:rPr>
        <w:t>symposium</w:t>
      </w:r>
      <w:r w:rsidRPr="00755F46">
        <w:rPr>
          <w:szCs w:val="22"/>
        </w:rPr>
        <w:t xml:space="preserve"> will be held </w:t>
      </w:r>
      <w:r w:rsidRPr="002B5BAE">
        <w:rPr>
          <w:szCs w:val="22"/>
        </w:rPr>
        <w:t>at the IAEA’s Headquarters in Vienna, Austria</w:t>
      </w:r>
      <w:r w:rsidRPr="00755F46">
        <w:rPr>
          <w:szCs w:val="22"/>
        </w:rPr>
        <w:t xml:space="preserve">. </w:t>
      </w:r>
      <w:r>
        <w:rPr>
          <w:szCs w:val="22"/>
        </w:rPr>
        <w:t xml:space="preserve">Participants must make their own travel and accommodation arrangements. </w:t>
      </w:r>
      <w:r w:rsidRPr="00755F46">
        <w:rPr>
          <w:szCs w:val="22"/>
        </w:rPr>
        <w:t xml:space="preserve">Detailed information on accommodation and other relevant matters will be sent directly to all designated participants approximately three months before the </w:t>
      </w:r>
      <w:r>
        <w:rPr>
          <w:szCs w:val="22"/>
        </w:rPr>
        <w:t>opening of the symposium</w:t>
      </w:r>
      <w:r w:rsidRPr="00755F46">
        <w:rPr>
          <w:szCs w:val="22"/>
        </w:rPr>
        <w:t xml:space="preserve">. This information will also be made available on the </w:t>
      </w:r>
      <w:r>
        <w:rPr>
          <w:szCs w:val="22"/>
        </w:rPr>
        <w:t>symposium</w:t>
      </w:r>
      <w:r w:rsidRPr="00755F46">
        <w:rPr>
          <w:szCs w:val="22"/>
        </w:rPr>
        <w:t xml:space="preserve"> web page</w:t>
      </w:r>
      <w:r w:rsidR="00A11394">
        <w:rPr>
          <w:szCs w:val="22"/>
        </w:rPr>
        <w:t xml:space="preserve"> (see Section </w:t>
      </w:r>
      <w:r w:rsidR="00A11394">
        <w:rPr>
          <w:szCs w:val="22"/>
        </w:rPr>
        <w:fldChar w:fldCharType="begin"/>
      </w:r>
      <w:r w:rsidR="00A11394">
        <w:rPr>
          <w:szCs w:val="22"/>
        </w:rPr>
        <w:instrText xml:space="preserve"> REF _Ref372051245 \r \h </w:instrText>
      </w:r>
      <w:r w:rsidR="00A11394">
        <w:rPr>
          <w:szCs w:val="22"/>
        </w:rPr>
      </w:r>
      <w:r w:rsidR="00A11394">
        <w:rPr>
          <w:szCs w:val="22"/>
        </w:rPr>
        <w:fldChar w:fldCharType="separate"/>
      </w:r>
      <w:r w:rsidR="00283F3A">
        <w:rPr>
          <w:szCs w:val="22"/>
        </w:rPr>
        <w:t>O</w:t>
      </w:r>
      <w:r w:rsidR="00A11394">
        <w:rPr>
          <w:szCs w:val="22"/>
        </w:rPr>
        <w:fldChar w:fldCharType="end"/>
      </w:r>
      <w:r w:rsidR="00A11394">
        <w:rPr>
          <w:szCs w:val="22"/>
        </w:rPr>
        <w:t>)</w:t>
      </w:r>
      <w:r w:rsidRPr="00755F46">
        <w:rPr>
          <w:szCs w:val="22"/>
        </w:rPr>
        <w:t xml:space="preserve"> as soon as possible</w:t>
      </w:r>
      <w:r>
        <w:rPr>
          <w:szCs w:val="22"/>
        </w:rPr>
        <w:t>.</w:t>
      </w:r>
    </w:p>
    <w:p w14:paraId="49B65520" w14:textId="2DC4FBBB" w:rsidR="00750DF0" w:rsidRPr="001114C8" w:rsidRDefault="00750DF0" w:rsidP="001A57B1">
      <w:pPr>
        <w:pStyle w:val="Heading1"/>
      </w:pPr>
      <w:r w:rsidRPr="001114C8">
        <w:t>Visas</w:t>
      </w:r>
    </w:p>
    <w:p w14:paraId="588682D0" w14:textId="41B4C87F" w:rsidR="00F342E2" w:rsidRDefault="008D2B69" w:rsidP="00F342E2">
      <w:pPr>
        <w:overflowPunct/>
        <w:spacing w:after="170" w:line="280" w:lineRule="atLeast"/>
        <w:jc w:val="both"/>
        <w:textAlignment w:val="auto"/>
        <w:rPr>
          <w:szCs w:val="22"/>
          <w:lang w:eastAsia="en-GB"/>
        </w:rPr>
      </w:pPr>
      <w:r w:rsidRPr="00A23F13">
        <w:t>Designated participants who require a visa to enter Austria should submit the necessary application to</w:t>
      </w:r>
      <w:r>
        <w:t xml:space="preserve"> </w:t>
      </w:r>
      <w:r w:rsidRPr="00A23F13">
        <w:t>the nearest diplomatic or consular representative of Austria at least four weeks before they travel to</w:t>
      </w:r>
      <w:r>
        <w:t xml:space="preserve"> </w:t>
      </w:r>
      <w:r w:rsidRPr="00A23F13">
        <w:t>Austria. Since Austria is a Schengen State, persons requiring a visa will have to apply for a Schengen</w:t>
      </w:r>
      <w:r>
        <w:t xml:space="preserve"> </w:t>
      </w:r>
      <w:r w:rsidRPr="00A23F13">
        <w:t>visa. In States where Austria has no diplomatic mission, visas can be obtained from the consular</w:t>
      </w:r>
      <w:r>
        <w:t xml:space="preserve"> </w:t>
      </w:r>
      <w:r w:rsidRPr="002B5BAE">
        <w:rPr>
          <w:szCs w:val="22"/>
          <w:lang w:eastAsia="en-GB"/>
        </w:rPr>
        <w:t>authority of a Schengen Partner State representing Austria in the country in question.</w:t>
      </w:r>
    </w:p>
    <w:p w14:paraId="4F7C77C4" w14:textId="71D5C72F" w:rsidR="008D2B69" w:rsidRDefault="008D2B69" w:rsidP="001A57B1">
      <w:pPr>
        <w:pStyle w:val="Heading1"/>
        <w:rPr>
          <w:lang w:eastAsia="en-GB"/>
        </w:rPr>
      </w:pPr>
      <w:r>
        <w:rPr>
          <w:lang w:eastAsia="en-GB"/>
        </w:rPr>
        <w:t>Key Deadlines and Dates</w:t>
      </w:r>
    </w:p>
    <w:p w14:paraId="43DD314D" w14:textId="45F3159E" w:rsidR="008D2B69" w:rsidRPr="009E3C6D" w:rsidRDefault="008D2B69" w:rsidP="008D2B69">
      <w:pPr>
        <w:pStyle w:val="BodyText"/>
        <w:rPr>
          <w:color w:val="000000" w:themeColor="text1"/>
        </w:rPr>
      </w:pPr>
      <w:r w:rsidRPr="00280ABF">
        <w:t xml:space="preserve">Submission of </w:t>
      </w:r>
      <w:r>
        <w:t>Form for Submission of a Paper (</w:t>
      </w:r>
      <w:r w:rsidRPr="00280ABF">
        <w:t>Form B</w:t>
      </w:r>
      <w:r>
        <w:t>)</w:t>
      </w:r>
      <w:r w:rsidRPr="00280ABF">
        <w:t xml:space="preserve"> and </w:t>
      </w:r>
      <w:r>
        <w:t>synopsis:</w:t>
      </w:r>
      <w:r>
        <w:tab/>
      </w:r>
      <w:r w:rsidR="009F10FA">
        <w:rPr>
          <w:b/>
        </w:rPr>
        <w:t xml:space="preserve">15 November </w:t>
      </w:r>
      <w:r w:rsidRPr="006241DE">
        <w:rPr>
          <w:b/>
        </w:rPr>
        <w:t>2014</w:t>
      </w:r>
    </w:p>
    <w:p w14:paraId="17B928A6" w14:textId="19911642" w:rsidR="008D2B69" w:rsidRPr="00D31D6F" w:rsidRDefault="008D2B69" w:rsidP="008D2B69">
      <w:pPr>
        <w:pStyle w:val="BodyText"/>
        <w:rPr>
          <w:b/>
          <w:bCs/>
          <w:color w:val="000000" w:themeColor="text1"/>
        </w:rPr>
      </w:pPr>
      <w:r w:rsidRPr="009E3C6D">
        <w:rPr>
          <w:color w:val="000000" w:themeColor="text1"/>
        </w:rPr>
        <w:t>Submission of Grant Application Form (Form C):</w:t>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009F10FA">
        <w:rPr>
          <w:b/>
          <w:color w:val="000000" w:themeColor="text1"/>
        </w:rPr>
        <w:t xml:space="preserve">15 November </w:t>
      </w:r>
      <w:r w:rsidRPr="006241DE">
        <w:rPr>
          <w:b/>
          <w:color w:val="000000" w:themeColor="text1"/>
        </w:rPr>
        <w:t>2014</w:t>
      </w:r>
    </w:p>
    <w:p w14:paraId="35591B55" w14:textId="77777777" w:rsidR="008D2B69" w:rsidRDefault="008D2B69" w:rsidP="008D2B69">
      <w:pPr>
        <w:pStyle w:val="BodyText"/>
        <w:rPr>
          <w:b/>
          <w:color w:val="000000" w:themeColor="text1"/>
        </w:rPr>
      </w:pPr>
      <w:r w:rsidRPr="009E3C6D">
        <w:rPr>
          <w:color w:val="000000" w:themeColor="text1"/>
        </w:rPr>
        <w:t>Notification of acceptance of papers:</w:t>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9E3C6D">
        <w:rPr>
          <w:color w:val="000000" w:themeColor="text1"/>
        </w:rPr>
        <w:tab/>
      </w:r>
      <w:r w:rsidRPr="006241DE">
        <w:rPr>
          <w:b/>
          <w:color w:val="000000" w:themeColor="text1"/>
        </w:rPr>
        <w:t>16 January 2015</w:t>
      </w:r>
    </w:p>
    <w:p w14:paraId="367A5A1B" w14:textId="30AD254B" w:rsidR="008D2B69" w:rsidRDefault="008D2B69" w:rsidP="001A57B1">
      <w:pPr>
        <w:pStyle w:val="Heading1"/>
      </w:pPr>
      <w:r>
        <w:t>Exhibits</w:t>
      </w:r>
    </w:p>
    <w:p w14:paraId="28CBFBB9" w14:textId="2B0B70E9" w:rsidR="008D2B69" w:rsidRPr="008D2B69" w:rsidRDefault="008D2B69" w:rsidP="00A11394">
      <w:pPr>
        <w:pStyle w:val="BodyTextMultiline"/>
        <w:numPr>
          <w:ilvl w:val="0"/>
          <w:numId w:val="0"/>
        </w:numPr>
      </w:pPr>
      <w:r w:rsidRPr="002E6685">
        <w:t xml:space="preserve">A limited amount of space will be available for commercial vendors’ displays/exhibits during the </w:t>
      </w:r>
      <w:r>
        <w:t>symposium</w:t>
      </w:r>
      <w:r w:rsidRPr="002E6685">
        <w:t>. Interested parties should contact the Scientific Secretariat by email</w:t>
      </w:r>
      <w:proofErr w:type="gramStart"/>
      <w:r w:rsidR="00A11394" w:rsidRPr="002E6685">
        <w:t>:</w:t>
      </w:r>
      <w:proofErr w:type="gramEnd"/>
      <w:r w:rsidR="00A11394">
        <w:br/>
      </w:r>
      <w:hyperlink r:id="rId11" w:history="1">
        <w:r w:rsidRPr="00935A23">
          <w:rPr>
            <w:rStyle w:val="Hyperlink"/>
          </w:rPr>
          <w:t>Isotope-Hydrology-Symposium-2015@iaea.org</w:t>
        </w:r>
      </w:hyperlink>
      <w:r w:rsidRPr="002E6685">
        <w:t xml:space="preserve"> before </w:t>
      </w:r>
      <w:r>
        <w:rPr>
          <w:b/>
        </w:rPr>
        <w:t>31 October 2014</w:t>
      </w:r>
      <w:r w:rsidRPr="002E6685">
        <w:t>.</w:t>
      </w:r>
    </w:p>
    <w:p w14:paraId="791D71CE" w14:textId="76C039A2" w:rsidR="00657734" w:rsidRPr="00657734" w:rsidRDefault="00A11394" w:rsidP="001A57B1">
      <w:pPr>
        <w:pStyle w:val="Heading1"/>
        <w:rPr>
          <w:lang w:eastAsia="en-GB"/>
        </w:rPr>
      </w:pPr>
      <w:r>
        <w:rPr>
          <w:lang w:eastAsia="en-GB"/>
        </w:rPr>
        <w:t>Symposium Secretariat</w:t>
      </w:r>
    </w:p>
    <w:p w14:paraId="73D1A1A2" w14:textId="0E428F2E" w:rsidR="00A11394" w:rsidRPr="001114C8" w:rsidRDefault="00A11394" w:rsidP="00A11394">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General contact details</w:t>
      </w:r>
      <w:r w:rsidRPr="00C7512B">
        <w:rPr>
          <w:b/>
          <w:bCs/>
          <w:color w:val="000000"/>
          <w:szCs w:val="22"/>
          <w:lang w:eastAsia="en-GB"/>
        </w:rPr>
        <w:t>:</w:t>
      </w:r>
    </w:p>
    <w:p w14:paraId="09C31B0B" w14:textId="3935BB05" w:rsidR="00A11394" w:rsidRDefault="00A11394" w:rsidP="00117CD8">
      <w:pPr>
        <w:keepNext/>
        <w:keepLines/>
        <w:overflowPunct/>
        <w:spacing w:after="120" w:line="276" w:lineRule="auto"/>
        <w:contextualSpacing/>
        <w:jc w:val="both"/>
        <w:textAlignment w:val="auto"/>
      </w:pPr>
      <w:r w:rsidRPr="006F271E">
        <w:rPr>
          <w:rFonts w:eastAsia="MS Mincho"/>
          <w:szCs w:val="22"/>
        </w:rPr>
        <w:t>International Atomic Energy Agency</w:t>
      </w:r>
    </w:p>
    <w:p w14:paraId="3D910049" w14:textId="5D548309" w:rsidR="00A11394" w:rsidRDefault="00A11394" w:rsidP="00117CD8">
      <w:pPr>
        <w:keepNext/>
        <w:keepLines/>
        <w:overflowPunct/>
        <w:spacing w:after="120" w:line="276" w:lineRule="auto"/>
        <w:contextualSpacing/>
        <w:jc w:val="both"/>
        <w:textAlignment w:val="auto"/>
        <w:rPr>
          <w:rFonts w:eastAsia="MS Mincho"/>
          <w:szCs w:val="22"/>
          <w:lang w:val="fr-FR"/>
        </w:rPr>
      </w:pPr>
      <w:r w:rsidRPr="00117CD8">
        <w:rPr>
          <w:rFonts w:eastAsia="MS Mincho"/>
          <w:szCs w:val="22"/>
          <w:lang w:val="fr-FR"/>
        </w:rPr>
        <w:t>Vienna International Centre</w:t>
      </w:r>
    </w:p>
    <w:p w14:paraId="3029CD7D" w14:textId="0E33D068" w:rsidR="00A11394" w:rsidRDefault="00A11394" w:rsidP="00117CD8">
      <w:pPr>
        <w:keepNext/>
        <w:keepLines/>
        <w:overflowPunct/>
        <w:spacing w:after="120" w:line="276" w:lineRule="auto"/>
        <w:contextualSpacing/>
        <w:jc w:val="both"/>
        <w:textAlignment w:val="auto"/>
        <w:rPr>
          <w:lang w:val="fr-FR"/>
        </w:rPr>
      </w:pPr>
      <w:r w:rsidRPr="00157E2C">
        <w:rPr>
          <w:rFonts w:eastAsia="MS Mincho"/>
          <w:szCs w:val="22"/>
          <w:lang w:val="fr-FR"/>
        </w:rPr>
        <w:t>PO Box 100</w:t>
      </w:r>
    </w:p>
    <w:p w14:paraId="0F094636" w14:textId="74CEDAFA" w:rsidR="00A11394" w:rsidRDefault="00A11394" w:rsidP="00117CD8">
      <w:pPr>
        <w:keepNext/>
        <w:keepLines/>
        <w:overflowPunct/>
        <w:spacing w:after="120" w:line="276" w:lineRule="auto"/>
        <w:contextualSpacing/>
        <w:jc w:val="both"/>
        <w:textAlignment w:val="auto"/>
        <w:rPr>
          <w:rFonts w:eastAsia="MS Mincho"/>
          <w:szCs w:val="22"/>
          <w:lang w:val="fr-FR"/>
        </w:rPr>
      </w:pPr>
      <w:r w:rsidRPr="00157E2C">
        <w:rPr>
          <w:rFonts w:eastAsia="MS Mincho"/>
          <w:szCs w:val="22"/>
          <w:lang w:val="fr-FR"/>
        </w:rPr>
        <w:t>1400 VIENNA</w:t>
      </w:r>
    </w:p>
    <w:p w14:paraId="275CAFF5" w14:textId="3EB3A7AD" w:rsidR="00A11394" w:rsidRDefault="00A11394" w:rsidP="00117CD8">
      <w:pPr>
        <w:keepNext/>
        <w:keepLines/>
        <w:overflowPunct/>
        <w:spacing w:after="120" w:line="276" w:lineRule="auto"/>
        <w:contextualSpacing/>
        <w:jc w:val="both"/>
        <w:textAlignment w:val="auto"/>
        <w:rPr>
          <w:lang w:val="fr-FR"/>
        </w:rPr>
      </w:pPr>
      <w:r w:rsidRPr="00157E2C">
        <w:rPr>
          <w:rFonts w:eastAsia="MS Mincho"/>
          <w:szCs w:val="22"/>
          <w:lang w:val="fr-FR"/>
        </w:rPr>
        <w:t>AUSTRIA</w:t>
      </w:r>
    </w:p>
    <w:p w14:paraId="21735C0B" w14:textId="0D345F42" w:rsidR="00A11394" w:rsidRDefault="00A11394" w:rsidP="00117CD8">
      <w:pPr>
        <w:keepNext/>
        <w:keepLines/>
        <w:overflowPunct/>
        <w:spacing w:after="120" w:line="276" w:lineRule="auto"/>
        <w:contextualSpacing/>
        <w:jc w:val="both"/>
        <w:textAlignment w:val="auto"/>
        <w:rPr>
          <w:lang w:val="fr-FR"/>
        </w:rPr>
      </w:pPr>
      <w:r w:rsidRPr="00157E2C">
        <w:rPr>
          <w:rFonts w:eastAsia="MS Mincho"/>
          <w:szCs w:val="22"/>
          <w:lang w:val="fr-FR" w:eastAsia="ja-JP"/>
        </w:rPr>
        <w:t>Tel.: +43 1 2600</w:t>
      </w:r>
    </w:p>
    <w:p w14:paraId="28A035E0" w14:textId="2D371E6D" w:rsidR="00A11394" w:rsidRDefault="00A11394" w:rsidP="00117CD8">
      <w:pPr>
        <w:keepNext/>
        <w:keepLines/>
        <w:overflowPunct/>
        <w:spacing w:after="120" w:line="276" w:lineRule="auto"/>
        <w:contextualSpacing/>
        <w:jc w:val="both"/>
        <w:textAlignment w:val="auto"/>
        <w:rPr>
          <w:lang w:val="fr-FR"/>
        </w:rPr>
      </w:pPr>
      <w:r w:rsidRPr="00157E2C">
        <w:rPr>
          <w:rFonts w:eastAsia="MS Mincho"/>
          <w:szCs w:val="22"/>
          <w:lang w:val="fr-FR" w:eastAsia="ja-JP"/>
        </w:rPr>
        <w:t>Fax: +43 1 2600 2007</w:t>
      </w:r>
    </w:p>
    <w:p w14:paraId="30F24CED" w14:textId="3696FEF6" w:rsidR="00A11394" w:rsidRPr="00157E2C" w:rsidRDefault="00A11394" w:rsidP="00117CD8">
      <w:pPr>
        <w:keepNext/>
        <w:keepLines/>
        <w:overflowPunct/>
        <w:spacing w:after="120" w:line="276" w:lineRule="auto"/>
        <w:contextualSpacing/>
        <w:jc w:val="both"/>
        <w:textAlignment w:val="auto"/>
        <w:rPr>
          <w:rStyle w:val="Hyperlink"/>
          <w:rFonts w:eastAsia="Batang"/>
          <w:color w:val="auto"/>
          <w:szCs w:val="22"/>
          <w:lang w:eastAsia="ko-KR"/>
        </w:rPr>
      </w:pPr>
      <w:r w:rsidRPr="00A11394">
        <w:rPr>
          <w:rFonts w:eastAsia="MS Mincho"/>
          <w:szCs w:val="22"/>
          <w:lang w:eastAsia="ja-JP"/>
        </w:rPr>
        <w:t xml:space="preserve">Email: </w:t>
      </w:r>
      <w:hyperlink r:id="rId12" w:history="1">
        <w:r w:rsidRPr="00157E2C">
          <w:rPr>
            <w:rStyle w:val="Hyperlink"/>
            <w:rFonts w:eastAsia="Batang"/>
            <w:szCs w:val="22"/>
            <w:lang w:eastAsia="ko-KR"/>
          </w:rPr>
          <w:t>Official.Mail@iaea.org</w:t>
        </w:r>
      </w:hyperlink>
    </w:p>
    <w:p w14:paraId="2FFDF711" w14:textId="77777777" w:rsidR="00A11394" w:rsidRPr="00A11394" w:rsidRDefault="00A11394" w:rsidP="00A11394">
      <w:pPr>
        <w:overflowPunct/>
        <w:spacing w:after="120" w:line="276" w:lineRule="auto"/>
        <w:jc w:val="both"/>
        <w:textAlignment w:val="auto"/>
        <w:rPr>
          <w:b/>
          <w:bCs/>
          <w:color w:val="000000"/>
          <w:szCs w:val="22"/>
          <w:lang w:eastAsia="en-GB"/>
        </w:rPr>
      </w:pPr>
    </w:p>
    <w:p w14:paraId="158D37FC" w14:textId="59BFE228" w:rsidR="00750DF0" w:rsidRPr="001114C8" w:rsidRDefault="00C7512B" w:rsidP="00A11394">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Scientific Secretary</w:t>
      </w:r>
      <w:r w:rsidRPr="00C7512B">
        <w:rPr>
          <w:b/>
          <w:bCs/>
          <w:color w:val="000000"/>
          <w:szCs w:val="22"/>
          <w:lang w:eastAsia="en-GB"/>
        </w:rPr>
        <w:t>:</w:t>
      </w:r>
    </w:p>
    <w:p w14:paraId="317B993A" w14:textId="7DC229F4" w:rsidR="00C7512B" w:rsidRPr="00A11394" w:rsidRDefault="00A11394" w:rsidP="00A11394">
      <w:pPr>
        <w:keepNext/>
        <w:keepLines/>
        <w:overflowPunct/>
        <w:spacing w:line="276" w:lineRule="auto"/>
        <w:jc w:val="both"/>
        <w:textAlignment w:val="auto"/>
        <w:rPr>
          <w:b/>
          <w:bCs/>
          <w:szCs w:val="22"/>
          <w:lang w:val="es-ES" w:eastAsia="en-GB"/>
        </w:rPr>
      </w:pPr>
      <w:proofErr w:type="spellStart"/>
      <w:r w:rsidRPr="00A11394">
        <w:rPr>
          <w:b/>
          <w:bCs/>
          <w:szCs w:val="22"/>
          <w:lang w:val="es-ES" w:eastAsia="en-GB"/>
        </w:rPr>
        <w:t>Mr</w:t>
      </w:r>
      <w:proofErr w:type="spellEnd"/>
      <w:r w:rsidR="00C7512B" w:rsidRPr="00A11394">
        <w:rPr>
          <w:b/>
          <w:bCs/>
          <w:szCs w:val="22"/>
          <w:lang w:val="es-ES" w:eastAsia="en-GB"/>
        </w:rPr>
        <w:t xml:space="preserve"> </w:t>
      </w:r>
      <w:r w:rsidRPr="00A11394">
        <w:rPr>
          <w:b/>
          <w:bCs/>
          <w:lang w:val="es-ES"/>
        </w:rPr>
        <w:t xml:space="preserve">Luis </w:t>
      </w:r>
      <w:r>
        <w:rPr>
          <w:b/>
          <w:bCs/>
          <w:lang w:val="es-ES"/>
        </w:rPr>
        <w:t xml:space="preserve">J. </w:t>
      </w:r>
      <w:proofErr w:type="spellStart"/>
      <w:r w:rsidRPr="00A11394">
        <w:rPr>
          <w:b/>
          <w:bCs/>
          <w:lang w:val="es-ES"/>
        </w:rPr>
        <w:t>Aragu</w:t>
      </w:r>
      <w:r>
        <w:rPr>
          <w:b/>
          <w:bCs/>
          <w:lang w:val="es-ES"/>
        </w:rPr>
        <w:t>á</w:t>
      </w:r>
      <w:r w:rsidRPr="00A11394">
        <w:rPr>
          <w:b/>
          <w:bCs/>
          <w:lang w:val="es-ES"/>
        </w:rPr>
        <w:t>s</w:t>
      </w:r>
      <w:proofErr w:type="spellEnd"/>
      <w:r w:rsidRPr="00A11394">
        <w:rPr>
          <w:b/>
          <w:bCs/>
          <w:lang w:val="es-ES"/>
        </w:rPr>
        <w:t xml:space="preserve"> </w:t>
      </w:r>
      <w:proofErr w:type="spellStart"/>
      <w:r w:rsidRPr="00A11394">
        <w:rPr>
          <w:b/>
          <w:bCs/>
          <w:lang w:val="es-ES"/>
        </w:rPr>
        <w:t>Aragu</w:t>
      </w:r>
      <w:r>
        <w:rPr>
          <w:b/>
          <w:bCs/>
          <w:lang w:val="es-ES"/>
        </w:rPr>
        <w:t>á</w:t>
      </w:r>
      <w:r w:rsidRPr="00A11394">
        <w:rPr>
          <w:b/>
          <w:bCs/>
          <w:lang w:val="es-ES"/>
        </w:rPr>
        <w:t>s</w:t>
      </w:r>
      <w:proofErr w:type="spellEnd"/>
    </w:p>
    <w:p w14:paraId="3D67A69B" w14:textId="7057A7B7" w:rsidR="00C7512B" w:rsidRPr="00A11394" w:rsidRDefault="00A11394" w:rsidP="00CC6750">
      <w:pPr>
        <w:keepNext/>
        <w:keepLines/>
        <w:overflowPunct/>
        <w:spacing w:line="276" w:lineRule="auto"/>
        <w:jc w:val="both"/>
        <w:textAlignment w:val="auto"/>
      </w:pPr>
      <w:r w:rsidRPr="00A11394">
        <w:t>Isotope Hydrology Section</w:t>
      </w:r>
    </w:p>
    <w:p w14:paraId="69401006" w14:textId="1A327886" w:rsidR="00C7512B" w:rsidRPr="00A11394" w:rsidRDefault="00A11394" w:rsidP="00CC6750">
      <w:pPr>
        <w:keepNext/>
        <w:keepLines/>
        <w:overflowPunct/>
        <w:spacing w:line="276" w:lineRule="auto"/>
        <w:jc w:val="both"/>
        <w:textAlignment w:val="auto"/>
      </w:pPr>
      <w:r w:rsidRPr="00A11394">
        <w:t>Division of Physical and Chemical Sciences</w:t>
      </w:r>
    </w:p>
    <w:p w14:paraId="2C81BDBE" w14:textId="08603920" w:rsidR="00A11394" w:rsidRPr="00A11394" w:rsidRDefault="00A11394" w:rsidP="00CC6750">
      <w:pPr>
        <w:keepNext/>
        <w:keepLines/>
        <w:overflowPunct/>
        <w:spacing w:line="276" w:lineRule="auto"/>
        <w:jc w:val="both"/>
        <w:textAlignment w:val="auto"/>
        <w:rPr>
          <w:szCs w:val="22"/>
          <w:lang w:eastAsia="en-GB"/>
        </w:rPr>
      </w:pPr>
      <w:r w:rsidRPr="00A11394">
        <w:t>Department of Nuclear Sciences and Applications</w:t>
      </w:r>
    </w:p>
    <w:p w14:paraId="275C725E" w14:textId="235AC229" w:rsidR="00750DF0" w:rsidRPr="00FF3D00" w:rsidRDefault="00750DF0" w:rsidP="00A11394">
      <w:pPr>
        <w:keepNext/>
        <w:keepLines/>
        <w:overflowPunct/>
        <w:spacing w:line="276" w:lineRule="auto"/>
        <w:jc w:val="both"/>
        <w:textAlignment w:val="auto"/>
        <w:rPr>
          <w:szCs w:val="22"/>
          <w:lang w:eastAsia="en-GB"/>
        </w:rPr>
      </w:pPr>
      <w:r w:rsidRPr="00FF3D00">
        <w:rPr>
          <w:szCs w:val="22"/>
          <w:lang w:eastAsia="en-GB"/>
        </w:rPr>
        <w:t>Tel.: +43 1 2600</w:t>
      </w:r>
      <w:r w:rsidR="00C7512B" w:rsidRPr="00FF3D00">
        <w:rPr>
          <w:szCs w:val="22"/>
          <w:lang w:eastAsia="en-GB"/>
        </w:rPr>
        <w:t xml:space="preserve"> </w:t>
      </w:r>
      <w:r w:rsidR="00A11394" w:rsidRPr="00FF3D00">
        <w:t>21734</w:t>
      </w:r>
    </w:p>
    <w:p w14:paraId="28EA53F2" w14:textId="1D4D3723" w:rsidR="0063750C" w:rsidRPr="00FF3D00" w:rsidRDefault="00750DF0" w:rsidP="00A11394">
      <w:pPr>
        <w:keepNext/>
        <w:keepLines/>
        <w:overflowPunct/>
        <w:spacing w:after="120" w:line="276" w:lineRule="auto"/>
        <w:jc w:val="both"/>
        <w:textAlignment w:val="auto"/>
      </w:pPr>
      <w:r w:rsidRPr="00FF3D00">
        <w:rPr>
          <w:color w:val="000000"/>
          <w:szCs w:val="22"/>
          <w:lang w:eastAsia="en-GB"/>
        </w:rPr>
        <w:t xml:space="preserve">Email: </w:t>
      </w:r>
      <w:hyperlink r:id="rId13" w:history="1">
        <w:r w:rsidR="00A11394" w:rsidRPr="00FF3D00">
          <w:rPr>
            <w:rStyle w:val="Hyperlink"/>
          </w:rPr>
          <w:t>Isotope-Hydrology-Symposium-2015@iaea.org</w:t>
        </w:r>
      </w:hyperlink>
    </w:p>
    <w:p w14:paraId="2837455D" w14:textId="77777777" w:rsidR="00C7512B" w:rsidRPr="00FF3D00" w:rsidRDefault="00C7512B" w:rsidP="00C7512B">
      <w:pPr>
        <w:overflowPunct/>
        <w:spacing w:after="120" w:line="276" w:lineRule="auto"/>
        <w:jc w:val="both"/>
        <w:textAlignment w:val="auto"/>
      </w:pPr>
    </w:p>
    <w:p w14:paraId="6B6CB7B5" w14:textId="315633A9" w:rsidR="00C7512B" w:rsidRPr="00A11394" w:rsidRDefault="00C7512B" w:rsidP="00A11394">
      <w:pPr>
        <w:keepNext/>
        <w:keepLines/>
        <w:overflowPunct/>
        <w:spacing w:after="120" w:line="276" w:lineRule="auto"/>
        <w:jc w:val="both"/>
        <w:textAlignment w:val="auto"/>
        <w:rPr>
          <w:b/>
          <w:bCs/>
          <w:szCs w:val="22"/>
          <w:lang w:eastAsia="en-GB"/>
        </w:rPr>
      </w:pPr>
      <w:r w:rsidRPr="00C7512B">
        <w:rPr>
          <w:b/>
          <w:bCs/>
          <w:szCs w:val="22"/>
        </w:rPr>
        <w:t>Administrati</w:t>
      </w:r>
      <w:r w:rsidR="00A11394">
        <w:rPr>
          <w:b/>
          <w:bCs/>
          <w:szCs w:val="22"/>
        </w:rPr>
        <w:t>on and organization</w:t>
      </w:r>
      <w:r w:rsidRPr="00A11394">
        <w:rPr>
          <w:b/>
          <w:bCs/>
          <w:szCs w:val="22"/>
          <w:lang w:eastAsia="en-GB"/>
        </w:rPr>
        <w:t>:</w:t>
      </w:r>
    </w:p>
    <w:p w14:paraId="2D5F7C0D" w14:textId="43187D4D" w:rsidR="00C7512B" w:rsidRPr="00A11394" w:rsidRDefault="00C7512B" w:rsidP="00A11394">
      <w:pPr>
        <w:keepNext/>
        <w:keepLines/>
        <w:overflowPunct/>
        <w:spacing w:line="276" w:lineRule="auto"/>
        <w:jc w:val="both"/>
        <w:textAlignment w:val="auto"/>
        <w:rPr>
          <w:b/>
          <w:bCs/>
          <w:szCs w:val="22"/>
          <w:lang w:eastAsia="en-GB"/>
        </w:rPr>
      </w:pPr>
      <w:r w:rsidRPr="00A11394">
        <w:rPr>
          <w:b/>
          <w:bCs/>
          <w:szCs w:val="22"/>
          <w:lang w:eastAsia="en-GB"/>
        </w:rPr>
        <w:t xml:space="preserve">Ms </w:t>
      </w:r>
      <w:r w:rsidR="00A11394" w:rsidRPr="00A11394">
        <w:rPr>
          <w:b/>
          <w:bCs/>
        </w:rPr>
        <w:t xml:space="preserve">Martina </w:t>
      </w:r>
      <w:proofErr w:type="spellStart"/>
      <w:r w:rsidR="00A11394" w:rsidRPr="00A11394">
        <w:rPr>
          <w:b/>
          <w:bCs/>
        </w:rPr>
        <w:t>Khaelss</w:t>
      </w:r>
      <w:proofErr w:type="spellEnd"/>
    </w:p>
    <w:p w14:paraId="4326DCC2" w14:textId="52BB1EE8" w:rsidR="00C7512B" w:rsidRPr="00DF3B7A" w:rsidRDefault="00A11394" w:rsidP="00CC6750">
      <w:pPr>
        <w:keepNext/>
        <w:keepLines/>
        <w:overflowPunct/>
        <w:spacing w:line="276" w:lineRule="auto"/>
        <w:jc w:val="both"/>
        <w:textAlignment w:val="auto"/>
      </w:pPr>
      <w:r w:rsidRPr="00DF3B7A">
        <w:t>Conference Services Section</w:t>
      </w:r>
    </w:p>
    <w:p w14:paraId="44EFD6BE" w14:textId="43D5AD7F" w:rsidR="00C7512B" w:rsidRPr="00DF3B7A" w:rsidRDefault="00A11394" w:rsidP="00CC6750">
      <w:pPr>
        <w:keepNext/>
        <w:keepLines/>
        <w:overflowPunct/>
        <w:spacing w:line="276" w:lineRule="auto"/>
        <w:jc w:val="both"/>
        <w:textAlignment w:val="auto"/>
      </w:pPr>
      <w:r w:rsidRPr="00DF3B7A">
        <w:t>Division of Conference and Document Services</w:t>
      </w:r>
    </w:p>
    <w:p w14:paraId="1D8A92E4" w14:textId="2702ABEA" w:rsidR="00A11394" w:rsidRPr="00DF3B7A" w:rsidRDefault="00A11394" w:rsidP="00CC6750">
      <w:pPr>
        <w:keepNext/>
        <w:keepLines/>
        <w:overflowPunct/>
        <w:spacing w:line="276" w:lineRule="auto"/>
        <w:jc w:val="both"/>
        <w:textAlignment w:val="auto"/>
      </w:pPr>
      <w:r w:rsidRPr="00DF3B7A">
        <w:t>Department of Management</w:t>
      </w:r>
    </w:p>
    <w:p w14:paraId="637F5592" w14:textId="507044F4" w:rsidR="00A11394" w:rsidRPr="00FF3D00" w:rsidRDefault="00A11394" w:rsidP="00CC6750">
      <w:pPr>
        <w:keepNext/>
        <w:keepLines/>
        <w:overflowPunct/>
        <w:spacing w:line="276" w:lineRule="auto"/>
        <w:jc w:val="both"/>
        <w:textAlignment w:val="auto"/>
        <w:rPr>
          <w:szCs w:val="22"/>
          <w:lang w:eastAsia="en-GB"/>
        </w:rPr>
      </w:pPr>
      <w:r w:rsidRPr="00FF3D00">
        <w:t>IAEA-CN-225</w:t>
      </w:r>
    </w:p>
    <w:p w14:paraId="0AA89ECE" w14:textId="76DF9BF3" w:rsidR="00C7512B" w:rsidRPr="00FF3D00" w:rsidRDefault="00C7512B" w:rsidP="00A11394">
      <w:pPr>
        <w:keepNext/>
        <w:keepLines/>
        <w:overflowPunct/>
        <w:spacing w:line="276" w:lineRule="auto"/>
        <w:jc w:val="both"/>
        <w:textAlignment w:val="auto"/>
        <w:rPr>
          <w:color w:val="000000"/>
          <w:szCs w:val="22"/>
          <w:lang w:eastAsia="en-GB"/>
        </w:rPr>
      </w:pPr>
      <w:r w:rsidRPr="00FF3D00">
        <w:rPr>
          <w:color w:val="000000"/>
          <w:szCs w:val="22"/>
          <w:lang w:eastAsia="en-GB"/>
        </w:rPr>
        <w:t xml:space="preserve">Tel.: +43 1 2600 </w:t>
      </w:r>
      <w:r w:rsidR="00A11394" w:rsidRPr="00FF3D00">
        <w:rPr>
          <w:color w:val="000000"/>
          <w:szCs w:val="22"/>
          <w:lang w:eastAsia="en-GB"/>
        </w:rPr>
        <w:t>21315</w:t>
      </w:r>
    </w:p>
    <w:p w14:paraId="319404DA" w14:textId="1F6364FA" w:rsidR="00C7512B" w:rsidRPr="00FF3D00" w:rsidRDefault="00C7512B" w:rsidP="00A11394">
      <w:pPr>
        <w:keepNext/>
        <w:keepLines/>
        <w:overflowPunct/>
        <w:spacing w:after="120" w:line="276" w:lineRule="auto"/>
        <w:jc w:val="both"/>
        <w:textAlignment w:val="auto"/>
      </w:pPr>
      <w:r w:rsidRPr="00FF3D00">
        <w:rPr>
          <w:color w:val="000000"/>
          <w:szCs w:val="22"/>
          <w:lang w:eastAsia="en-GB"/>
        </w:rPr>
        <w:t>Email</w:t>
      </w:r>
      <w:r w:rsidR="00A11394" w:rsidRPr="00FF3D00">
        <w:rPr>
          <w:color w:val="000000"/>
          <w:szCs w:val="22"/>
          <w:lang w:eastAsia="en-GB"/>
        </w:rPr>
        <w:t xml:space="preserve">: </w:t>
      </w:r>
      <w:hyperlink r:id="rId14" w:history="1">
        <w:r w:rsidR="00A11394" w:rsidRPr="00FF3D00">
          <w:rPr>
            <w:rStyle w:val="Hyperlink"/>
            <w:szCs w:val="22"/>
            <w:lang w:eastAsia="en-GB"/>
          </w:rPr>
          <w:t>M.Khaelss@iaea.org</w:t>
        </w:r>
      </w:hyperlink>
    </w:p>
    <w:p w14:paraId="09747C66" w14:textId="4E1AFC53" w:rsidR="00750DF0" w:rsidRDefault="00750DF0" w:rsidP="00A11394">
      <w:pPr>
        <w:overflowPunct/>
        <w:spacing w:after="120" w:line="276" w:lineRule="auto"/>
        <w:jc w:val="both"/>
        <w:textAlignment w:val="auto"/>
        <w:rPr>
          <w:color w:val="000000"/>
          <w:szCs w:val="22"/>
          <w:lang w:eastAsia="en-GB"/>
        </w:rPr>
      </w:pPr>
      <w:r w:rsidRPr="001114C8">
        <w:rPr>
          <w:color w:val="000000"/>
          <w:szCs w:val="22"/>
          <w:lang w:eastAsia="en-GB"/>
        </w:rPr>
        <w:t>Subsequent correspondence on scientific matters</w:t>
      </w:r>
      <w:r w:rsidR="00CC6750">
        <w:rPr>
          <w:color w:val="000000"/>
          <w:szCs w:val="22"/>
          <w:lang w:eastAsia="en-GB"/>
        </w:rPr>
        <w:t xml:space="preserve"> </w:t>
      </w:r>
      <w:r w:rsidRPr="001114C8">
        <w:rPr>
          <w:color w:val="000000"/>
          <w:szCs w:val="22"/>
          <w:lang w:eastAsia="en-GB"/>
        </w:rPr>
        <w:t>should be sent to the Scientific Secretar</w:t>
      </w:r>
      <w:r w:rsidR="00C7512B">
        <w:rPr>
          <w:color w:val="000000"/>
          <w:szCs w:val="22"/>
          <w:lang w:eastAsia="en-GB"/>
        </w:rPr>
        <w:t xml:space="preserve">y </w:t>
      </w:r>
      <w:r w:rsidRPr="001114C8">
        <w:rPr>
          <w:color w:val="000000"/>
          <w:szCs w:val="22"/>
          <w:lang w:eastAsia="en-GB"/>
        </w:rPr>
        <w:t>and</w:t>
      </w:r>
      <w:r w:rsidR="00E379C7" w:rsidRPr="001114C8">
        <w:rPr>
          <w:color w:val="000000"/>
          <w:szCs w:val="22"/>
          <w:lang w:eastAsia="en-GB"/>
        </w:rPr>
        <w:t xml:space="preserve"> </w:t>
      </w:r>
      <w:r w:rsidR="00CC6750">
        <w:rPr>
          <w:color w:val="000000"/>
          <w:szCs w:val="22"/>
          <w:lang w:eastAsia="en-GB"/>
        </w:rPr>
        <w:t xml:space="preserve">correspondence on </w:t>
      </w:r>
      <w:r w:rsidR="00A11394">
        <w:rPr>
          <w:color w:val="000000"/>
          <w:szCs w:val="22"/>
          <w:lang w:eastAsia="en-GB"/>
        </w:rPr>
        <w:t>administrative matters</w:t>
      </w:r>
      <w:r w:rsidR="00CC6750">
        <w:rPr>
          <w:color w:val="000000"/>
          <w:szCs w:val="22"/>
          <w:lang w:eastAsia="en-GB"/>
        </w:rPr>
        <w:t xml:space="preserve"> to the </w:t>
      </w:r>
      <w:r w:rsidR="00A11394">
        <w:rPr>
          <w:color w:val="000000"/>
          <w:szCs w:val="22"/>
          <w:lang w:eastAsia="en-GB"/>
        </w:rPr>
        <w:t>IAEA’s Conference Services Section</w:t>
      </w:r>
      <w:r w:rsidR="00260293" w:rsidRPr="001114C8">
        <w:rPr>
          <w:color w:val="000000"/>
          <w:szCs w:val="22"/>
          <w:lang w:eastAsia="en-GB"/>
        </w:rPr>
        <w:t>.</w:t>
      </w:r>
    </w:p>
    <w:p w14:paraId="5BF9FC7C" w14:textId="148DC75B" w:rsidR="00CC6750" w:rsidRDefault="008D2B69" w:rsidP="001A57B1">
      <w:pPr>
        <w:pStyle w:val="Heading1"/>
        <w:rPr>
          <w:lang w:eastAsia="en-GB"/>
        </w:rPr>
      </w:pPr>
      <w:bookmarkStart w:id="4" w:name="_Ref372051245"/>
      <w:r>
        <w:rPr>
          <w:lang w:eastAsia="en-GB"/>
        </w:rPr>
        <w:t>Symposium</w:t>
      </w:r>
      <w:r w:rsidR="00CC6750">
        <w:rPr>
          <w:lang w:eastAsia="en-GB"/>
        </w:rPr>
        <w:t xml:space="preserve"> Web Page</w:t>
      </w:r>
      <w:bookmarkEnd w:id="4"/>
    </w:p>
    <w:p w14:paraId="71E9327E" w14:textId="3D184854" w:rsidR="00CC6750" w:rsidRDefault="00CC6750" w:rsidP="00A11394">
      <w:pPr>
        <w:pStyle w:val="BodyTextMultiline"/>
        <w:numPr>
          <w:ilvl w:val="0"/>
          <w:numId w:val="0"/>
        </w:numPr>
      </w:pPr>
      <w:r>
        <w:t xml:space="preserve">Please visit the IAEA </w:t>
      </w:r>
      <w:r w:rsidR="00A11394">
        <w:t xml:space="preserve">symposium </w:t>
      </w:r>
      <w:r>
        <w:t xml:space="preserve">web page regularly for new information regarding this </w:t>
      </w:r>
      <w:r w:rsidR="00A11394">
        <w:rPr>
          <w:color w:val="000000"/>
          <w:szCs w:val="22"/>
          <w:lang w:eastAsia="en-GB"/>
        </w:rPr>
        <w:t>symposium</w:t>
      </w:r>
      <w:r>
        <w:t>:</w:t>
      </w:r>
    </w:p>
    <w:p w14:paraId="676493B0" w14:textId="6FF42B37" w:rsidR="00CC6750" w:rsidRPr="00A11394" w:rsidRDefault="00283F3A" w:rsidP="00A11394">
      <w:pPr>
        <w:pStyle w:val="BodyTextMultiline"/>
        <w:numPr>
          <w:ilvl w:val="0"/>
          <w:numId w:val="0"/>
        </w:numPr>
      </w:pPr>
      <w:hyperlink r:id="rId15" w:history="1">
        <w:r w:rsidR="00A11394" w:rsidRPr="00716D8A">
          <w:rPr>
            <w:rStyle w:val="Hyperlink"/>
          </w:rPr>
          <w:t>http://www-pub.iaea.org/iaeameetings/46527/Isotope-Hydrology-Symposium-2015</w:t>
        </w:r>
      </w:hyperlink>
    </w:p>
    <w:sectPr w:rsidR="00CC6750" w:rsidRPr="00A11394">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1EFAE" w14:textId="77777777" w:rsidR="00AA1ED6" w:rsidRDefault="00AA1ED6">
      <w:r>
        <w:separator/>
      </w:r>
    </w:p>
  </w:endnote>
  <w:endnote w:type="continuationSeparator" w:id="0">
    <w:p w14:paraId="50F6C8CA" w14:textId="77777777" w:rsidR="00AA1ED6" w:rsidRDefault="00AA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AE262E" w:rsidRDefault="00305B68">
    <w:pPr>
      <w:pStyle w:val="zyxClassification1"/>
    </w:pPr>
    <w:r>
      <w:fldChar w:fldCharType="begin"/>
    </w:r>
    <w:r>
      <w:instrText xml:space="preserve"> DOCPROPERTY "IaeaClassification"  \* MERGEFORMAT </w:instrText>
    </w:r>
    <w:r>
      <w:fldChar w:fldCharType="separate"/>
    </w:r>
    <w:r>
      <w:fldChar w:fldCharType="end"/>
    </w:r>
  </w:p>
  <w:p w14:paraId="020E85AD" w14:textId="374CD9D8" w:rsidR="00AE262E" w:rsidRDefault="00305B68">
    <w:pPr>
      <w:pStyle w:val="zyxClassification2"/>
    </w:pPr>
    <w:r>
      <w:fldChar w:fldCharType="begin"/>
    </w:r>
    <w:r>
      <w:instrText>DOCPROPERTY "IaeaClassification2"  \* MERGEFORMAT</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0A12" w14:textId="77777777" w:rsidR="0011636E" w:rsidRDefault="0011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1D89" w14:textId="29F5E609" w:rsidR="00AE262E" w:rsidRDefault="00AE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AAC21" w14:textId="77777777" w:rsidR="00AA1ED6" w:rsidRDefault="00AA1ED6">
      <w:r>
        <w:t>___________________________________________________________________________</w:t>
      </w:r>
    </w:p>
  </w:footnote>
  <w:footnote w:type="continuationSeparator" w:id="0">
    <w:p w14:paraId="557A12F1" w14:textId="77777777" w:rsidR="00AA1ED6" w:rsidRDefault="00AA1ED6">
      <w:r>
        <w:t>___________________________________________________________________________</w:t>
      </w:r>
    </w:p>
  </w:footnote>
  <w:footnote w:type="continuationNotice" w:id="1">
    <w:p w14:paraId="6EF5F9DB" w14:textId="77777777" w:rsidR="00AA1ED6" w:rsidRDefault="00AA1E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AE262E" w:rsidRDefault="00AE262E">
    <w:pPr>
      <w:pStyle w:val="Header"/>
      <w:spacing w:after="0"/>
      <w:rPr>
        <w:sz w:val="8"/>
      </w:rPr>
    </w:pPr>
    <w:r>
      <w:br/>
      <w:t xml:space="preserve">Page </w:t>
    </w:r>
    <w:r>
      <w:fldChar w:fldCharType="begin"/>
    </w:r>
    <w:r>
      <w:instrText xml:space="preserve"> PAGE </w:instrText>
    </w:r>
    <w:r>
      <w:fldChar w:fldCharType="separate"/>
    </w:r>
    <w:r w:rsidR="00305B68">
      <w:rPr>
        <w:noProof/>
      </w:rPr>
      <w:t>2</w:t>
    </w:r>
    <w:r>
      <w:fldChar w:fldCharType="end"/>
    </w:r>
    <w:r>
      <w:br/>
    </w:r>
  </w:p>
  <w:p w14:paraId="6ACCBE17" w14:textId="62C988E1" w:rsidR="00AE262E" w:rsidRDefault="00305B68">
    <w:pPr>
      <w:pStyle w:val="zyxClassification1"/>
    </w:pPr>
    <w:r>
      <w:fldChar w:fldCharType="begin"/>
    </w:r>
    <w:r>
      <w:instrText xml:space="preserve"> DOCPROPERTY "IaeaClassification"  \* MERGEFORMAT </w:instrText>
    </w:r>
    <w:r>
      <w:fldChar w:fldCharType="separate"/>
    </w:r>
    <w:r>
      <w:fldChar w:fldCharType="end"/>
    </w:r>
  </w:p>
  <w:p w14:paraId="4BA556FD" w14:textId="6895008B" w:rsidR="00AE262E" w:rsidRDefault="00305B68">
    <w:pPr>
      <w:pStyle w:val="zyxClassification2"/>
    </w:pPr>
    <w:r>
      <w:fldChar w:fldCharType="begin"/>
    </w:r>
    <w:r>
      <w:instrText>DOCPROPERTY "IaeaClassification2"  \* MERGEFORMAT</w:instrText>
    </w:r>
    <w:r>
      <w:fldChar w:fldCharType="separate"/>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7EF42BFC"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305B68">
      <w:rPr>
        <w:noProof/>
      </w:rPr>
      <w:t>3</w:t>
    </w:r>
    <w:r>
      <w:fldChar w:fldCharType="end"/>
    </w:r>
    <w:r>
      <w:br/>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5" w:name="DOC_bkmClassification1"/>
        </w:p>
        <w:bookmarkEnd w:id="5"/>
        <w:p w14:paraId="2E9A7E44" w14:textId="78486D03" w:rsidR="00AE262E" w:rsidRDefault="00AE262E">
          <w:pPr>
            <w:pStyle w:val="zyxConfid2Red"/>
          </w:pP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C1D47EA"/>
    <w:multiLevelType w:val="hybridMultilevel"/>
    <w:tmpl w:val="1D8E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BF20C3"/>
    <w:multiLevelType w:val="hybridMultilevel"/>
    <w:tmpl w:val="0D3E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3062F9D"/>
    <w:multiLevelType w:val="multilevel"/>
    <w:tmpl w:val="0809001D"/>
    <w:name w:val="HeadingTemplat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A54964"/>
    <w:multiLevelType w:val="multilevel"/>
    <w:tmpl w:val="3732C506"/>
    <w:lvl w:ilvl="0">
      <w:start w:val="1"/>
      <w:numFmt w:val="upp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596EEC"/>
    <w:multiLevelType w:val="hybridMultilevel"/>
    <w:tmpl w:val="7B64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042A99"/>
    <w:multiLevelType w:val="hybridMultilevel"/>
    <w:tmpl w:val="F366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51093"/>
    <w:multiLevelType w:val="multilevel"/>
    <w:tmpl w:val="02F4A6EC"/>
    <w:name w:val="HeadingTemplate"/>
    <w:lvl w:ilvl="0">
      <w:start w:val="1"/>
      <w:numFmt w:val="upperLetter"/>
      <w:lvlRestart w:val="0"/>
      <w:lvlText w:val="%1."/>
      <w:lvlJc w:val="left"/>
      <w:pPr>
        <w:tabs>
          <w:tab w:val="num" w:pos="459"/>
        </w:tabs>
        <w:ind w:left="0" w:firstLine="0"/>
      </w:pPr>
      <w:rPr>
        <w:rFonts w:hint="default"/>
      </w:rPr>
    </w:lvl>
    <w:lvl w:ilvl="1">
      <w:start w:val="1"/>
      <w:numFmt w:val="decimal"/>
      <w:suff w:val="space"/>
      <w:lvlText w:val="G.%2."/>
      <w:lvlJc w:val="left"/>
      <w:pPr>
        <w:ind w:left="0" w:firstLine="0"/>
      </w:pPr>
      <w:rPr>
        <w:rFonts w:hint="default"/>
        <w:color w:val="auto"/>
      </w:rPr>
    </w:lvl>
    <w:lvl w:ilvl="2">
      <w:start w:val="1"/>
      <w:numFmt w:val="decimal"/>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68530C9"/>
    <w:multiLevelType w:val="hybridMultilevel"/>
    <w:tmpl w:val="8830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14389E"/>
    <w:multiLevelType w:val="hybridMultilevel"/>
    <w:tmpl w:val="45FC4FB0"/>
    <w:lvl w:ilvl="0" w:tplc="9EB64718">
      <w:start w:val="1"/>
      <w:numFmt w:val="upperLetter"/>
      <w:pStyle w:val="Heading1"/>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4"/>
  </w:num>
  <w:num w:numId="5">
    <w:abstractNumId w:val="14"/>
  </w:num>
  <w:num w:numId="6">
    <w:abstractNumId w:val="6"/>
  </w:num>
  <w:num w:numId="7">
    <w:abstractNumId w:val="11"/>
  </w:num>
  <w:num w:numId="8">
    <w:abstractNumId w:val="15"/>
  </w:num>
  <w:num w:numId="9">
    <w:abstractNumId w:val="0"/>
  </w:num>
  <w:num w:numId="10">
    <w:abstractNumId w:val="9"/>
  </w:num>
  <w:num w:numId="11">
    <w:abstractNumId w:val="17"/>
  </w:num>
  <w:num w:numId="12">
    <w:abstractNumId w:val="2"/>
  </w:num>
  <w:num w:numId="13">
    <w:abstractNumId w:val="10"/>
  </w:num>
  <w:num w:numId="14">
    <w:abstractNumId w:val="10"/>
  </w:num>
  <w:num w:numId="15">
    <w:abstractNumId w:val="10"/>
  </w:num>
  <w:num w:numId="16">
    <w:abstractNumId w:val="17"/>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4"/>
  </w:num>
  <w:num w:numId="22">
    <w:abstractNumId w:val="1"/>
  </w:num>
  <w:num w:numId="23">
    <w:abstractNumId w:val="12"/>
  </w:num>
  <w:num w:numId="24">
    <w:abstractNumId w:val="18"/>
    <w:lvlOverride w:ilvl="0">
      <w:lvl w:ilvl="0" w:tplc="9EB64718">
        <w:start w:val="1"/>
        <w:numFmt w:val="upperLetter"/>
        <w:pStyle w:val="Heading1"/>
        <w:lvlText w:val="%1."/>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25">
    <w:abstractNumId w:val="18"/>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64345"/>
    <w:rsid w:val="000D4173"/>
    <w:rsid w:val="000E4286"/>
    <w:rsid w:val="000E6801"/>
    <w:rsid w:val="000F033E"/>
    <w:rsid w:val="000F0519"/>
    <w:rsid w:val="000F3EDC"/>
    <w:rsid w:val="000F7E94"/>
    <w:rsid w:val="001037C6"/>
    <w:rsid w:val="001114C8"/>
    <w:rsid w:val="0011636E"/>
    <w:rsid w:val="001178E1"/>
    <w:rsid w:val="00117CD8"/>
    <w:rsid w:val="0013076F"/>
    <w:rsid w:val="00145664"/>
    <w:rsid w:val="0015429A"/>
    <w:rsid w:val="00157E2C"/>
    <w:rsid w:val="00165B45"/>
    <w:rsid w:val="001A14C1"/>
    <w:rsid w:val="001A57B1"/>
    <w:rsid w:val="001B20E0"/>
    <w:rsid w:val="001F3F28"/>
    <w:rsid w:val="00213999"/>
    <w:rsid w:val="00243701"/>
    <w:rsid w:val="00260293"/>
    <w:rsid w:val="0026679E"/>
    <w:rsid w:val="00274790"/>
    <w:rsid w:val="00276559"/>
    <w:rsid w:val="00283F3A"/>
    <w:rsid w:val="002944CA"/>
    <w:rsid w:val="002C3F6D"/>
    <w:rsid w:val="002D3FA5"/>
    <w:rsid w:val="002E120D"/>
    <w:rsid w:val="00305B68"/>
    <w:rsid w:val="0031580D"/>
    <w:rsid w:val="003332DA"/>
    <w:rsid w:val="00333966"/>
    <w:rsid w:val="00337B52"/>
    <w:rsid w:val="00362111"/>
    <w:rsid w:val="00385647"/>
    <w:rsid w:val="003A4CFD"/>
    <w:rsid w:val="003B1DED"/>
    <w:rsid w:val="003D255A"/>
    <w:rsid w:val="003E0B48"/>
    <w:rsid w:val="003F29DB"/>
    <w:rsid w:val="003F51F4"/>
    <w:rsid w:val="003F6615"/>
    <w:rsid w:val="0040319F"/>
    <w:rsid w:val="004E663A"/>
    <w:rsid w:val="005250F7"/>
    <w:rsid w:val="00544156"/>
    <w:rsid w:val="0056707D"/>
    <w:rsid w:val="00573C87"/>
    <w:rsid w:val="00580C57"/>
    <w:rsid w:val="00595DCB"/>
    <w:rsid w:val="005B6E72"/>
    <w:rsid w:val="005C2869"/>
    <w:rsid w:val="005D6BF1"/>
    <w:rsid w:val="005E28D8"/>
    <w:rsid w:val="005E4066"/>
    <w:rsid w:val="005E4431"/>
    <w:rsid w:val="005F6709"/>
    <w:rsid w:val="006117D0"/>
    <w:rsid w:val="0062541E"/>
    <w:rsid w:val="0063750C"/>
    <w:rsid w:val="0065267E"/>
    <w:rsid w:val="006557EE"/>
    <w:rsid w:val="00657734"/>
    <w:rsid w:val="006617F7"/>
    <w:rsid w:val="006727C1"/>
    <w:rsid w:val="006F4FE7"/>
    <w:rsid w:val="00740220"/>
    <w:rsid w:val="00741925"/>
    <w:rsid w:val="007445DA"/>
    <w:rsid w:val="00750DF0"/>
    <w:rsid w:val="007E59E8"/>
    <w:rsid w:val="00802EC4"/>
    <w:rsid w:val="008529C1"/>
    <w:rsid w:val="00894E03"/>
    <w:rsid w:val="00897F1A"/>
    <w:rsid w:val="008D2B69"/>
    <w:rsid w:val="008D3425"/>
    <w:rsid w:val="008F3152"/>
    <w:rsid w:val="00905746"/>
    <w:rsid w:val="00966101"/>
    <w:rsid w:val="009943FA"/>
    <w:rsid w:val="009D0295"/>
    <w:rsid w:val="009D0B86"/>
    <w:rsid w:val="009F10FA"/>
    <w:rsid w:val="00A044BB"/>
    <w:rsid w:val="00A11394"/>
    <w:rsid w:val="00A163F7"/>
    <w:rsid w:val="00A4103B"/>
    <w:rsid w:val="00A756D2"/>
    <w:rsid w:val="00AA1ED6"/>
    <w:rsid w:val="00AA2B8E"/>
    <w:rsid w:val="00AE262E"/>
    <w:rsid w:val="00AE4E93"/>
    <w:rsid w:val="00AF76A8"/>
    <w:rsid w:val="00B0093D"/>
    <w:rsid w:val="00B330C0"/>
    <w:rsid w:val="00B41854"/>
    <w:rsid w:val="00B505C2"/>
    <w:rsid w:val="00B521CB"/>
    <w:rsid w:val="00B633E5"/>
    <w:rsid w:val="00B64059"/>
    <w:rsid w:val="00B77990"/>
    <w:rsid w:val="00B81415"/>
    <w:rsid w:val="00BA4EE9"/>
    <w:rsid w:val="00BC3718"/>
    <w:rsid w:val="00BD1400"/>
    <w:rsid w:val="00BE2A76"/>
    <w:rsid w:val="00BF037B"/>
    <w:rsid w:val="00BF68CA"/>
    <w:rsid w:val="00C21AC1"/>
    <w:rsid w:val="00C7512B"/>
    <w:rsid w:val="00CA05E6"/>
    <w:rsid w:val="00CA4203"/>
    <w:rsid w:val="00CA5882"/>
    <w:rsid w:val="00CC6666"/>
    <w:rsid w:val="00CC6750"/>
    <w:rsid w:val="00CE5A52"/>
    <w:rsid w:val="00D626A1"/>
    <w:rsid w:val="00DA46CA"/>
    <w:rsid w:val="00DB3661"/>
    <w:rsid w:val="00DC2A45"/>
    <w:rsid w:val="00DC4155"/>
    <w:rsid w:val="00DD0331"/>
    <w:rsid w:val="00DD5F8C"/>
    <w:rsid w:val="00DF13DA"/>
    <w:rsid w:val="00DF3B7A"/>
    <w:rsid w:val="00E05779"/>
    <w:rsid w:val="00E12F43"/>
    <w:rsid w:val="00E12FF2"/>
    <w:rsid w:val="00E13088"/>
    <w:rsid w:val="00E20E70"/>
    <w:rsid w:val="00E23813"/>
    <w:rsid w:val="00E24E0A"/>
    <w:rsid w:val="00E379C7"/>
    <w:rsid w:val="00E4756D"/>
    <w:rsid w:val="00E54B23"/>
    <w:rsid w:val="00E65547"/>
    <w:rsid w:val="00E7421C"/>
    <w:rsid w:val="00E77634"/>
    <w:rsid w:val="00ED7FE2"/>
    <w:rsid w:val="00EE75B5"/>
    <w:rsid w:val="00F1752C"/>
    <w:rsid w:val="00F1761D"/>
    <w:rsid w:val="00F342E2"/>
    <w:rsid w:val="00F4545E"/>
    <w:rsid w:val="00F952CC"/>
    <w:rsid w:val="00FD78C4"/>
    <w:rsid w:val="00FE0197"/>
    <w:rsid w:val="00FE20A7"/>
    <w:rsid w:val="00FF3D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145664"/>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qFormat/>
    <w:pPr>
      <w:widowControl w:val="0"/>
      <w:spacing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145664"/>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145664"/>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qFormat/>
    <w:pPr>
      <w:widowControl w:val="0"/>
      <w:spacing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145664"/>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otope-Hydrology-Symposium-2015@iae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otope-Hydrology-Symposium-2015@iaea.org" TargetMode="External"/><Relationship Id="rId5" Type="http://schemas.openxmlformats.org/officeDocument/2006/relationships/settings" Target="settings.xml"/><Relationship Id="rId15" Type="http://schemas.openxmlformats.org/officeDocument/2006/relationships/hyperlink" Target="http://www-pub.iaea.org/iaeameetings/46527/Isotope-Hydrology-Symposium-2015" TargetMode="External"/><Relationship Id="rId23" Type="http://schemas.openxmlformats.org/officeDocument/2006/relationships/theme" Target="theme/theme1.xml"/><Relationship Id="rId10" Type="http://schemas.openxmlformats.org/officeDocument/2006/relationships/hyperlink" Target="mailto:official.mail@iaea.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Khaelss@iaea.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3DA0-64CB-48FD-8805-E26E6F9C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7</Pages>
  <Words>1604</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2</cp:revision>
  <cp:lastPrinted>2014-11-12T07:27:00Z</cp:lastPrinted>
  <dcterms:created xsi:type="dcterms:W3CDTF">2014-11-12T08:44:00Z</dcterms:created>
  <dcterms:modified xsi:type="dcterms:W3CDTF">2014-11-12T08:44:00Z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