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A4103B" w:rsidRDefault="00F1752C" w:rsidP="00F1752C">
      <w:pPr>
        <w:pStyle w:val="BodyText"/>
        <w:jc w:val="center"/>
        <w:rPr>
          <w:rFonts w:asciiTheme="minorHAnsi" w:hAnsiTheme="minorHAnsi" w:cstheme="minorHAnsi"/>
          <w:lang w:val="en-US"/>
        </w:rPr>
      </w:pPr>
      <w:r>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B77990" w:rsidRDefault="00F1752C" w:rsidP="00F1752C">
      <w:pPr>
        <w:pStyle w:val="BodyText"/>
        <w:spacing w:after="0" w:line="276" w:lineRule="auto"/>
        <w:jc w:val="center"/>
        <w:rPr>
          <w:b/>
          <w:sz w:val="28"/>
          <w:szCs w:val="28"/>
          <w:lang w:val="en-US"/>
        </w:rPr>
      </w:pPr>
    </w:p>
    <w:p w14:paraId="7544EAC1" w14:textId="1B980D1A" w:rsidR="00717890" w:rsidRDefault="00717890" w:rsidP="00717890">
      <w:pPr>
        <w:overflowPunct/>
        <w:spacing w:line="276" w:lineRule="auto"/>
        <w:jc w:val="center"/>
        <w:textAlignment w:val="auto"/>
        <w:rPr>
          <w:b/>
          <w:bCs/>
          <w:sz w:val="42"/>
          <w:szCs w:val="42"/>
        </w:rPr>
      </w:pPr>
      <w:r w:rsidRPr="00717890">
        <w:rPr>
          <w:b/>
          <w:bCs/>
          <w:sz w:val="42"/>
          <w:szCs w:val="42"/>
        </w:rPr>
        <w:t>International Conference on</w:t>
      </w:r>
    </w:p>
    <w:p w14:paraId="19CEE7A0" w14:textId="6FEEE399" w:rsidR="009943FA" w:rsidRPr="00717890" w:rsidRDefault="00717890" w:rsidP="00717890">
      <w:pPr>
        <w:overflowPunct/>
        <w:spacing w:line="276" w:lineRule="auto"/>
        <w:jc w:val="center"/>
        <w:textAlignment w:val="auto"/>
        <w:rPr>
          <w:b/>
          <w:bCs/>
          <w:sz w:val="42"/>
          <w:szCs w:val="42"/>
        </w:rPr>
      </w:pPr>
      <w:r w:rsidRPr="00717890">
        <w:rPr>
          <w:b/>
          <w:bCs/>
          <w:sz w:val="42"/>
          <w:szCs w:val="42"/>
        </w:rPr>
        <w:t>Global Emergency Preparedness and Response</w:t>
      </w:r>
    </w:p>
    <w:p w14:paraId="3198A15E" w14:textId="77777777" w:rsidR="009943FA" w:rsidRDefault="009943FA" w:rsidP="00B521CB">
      <w:pPr>
        <w:pStyle w:val="BodyText"/>
        <w:spacing w:after="0" w:line="276" w:lineRule="auto"/>
        <w:jc w:val="center"/>
        <w:rPr>
          <w:b/>
          <w:sz w:val="28"/>
          <w:szCs w:val="28"/>
          <w:lang w:val="en-US"/>
        </w:rPr>
      </w:pPr>
    </w:p>
    <w:p w14:paraId="58554389" w14:textId="4C5C4B21" w:rsidR="00717890" w:rsidRPr="00F1752C" w:rsidRDefault="00717890" w:rsidP="00717890">
      <w:pPr>
        <w:overflowPunct/>
        <w:spacing w:line="276" w:lineRule="auto"/>
        <w:jc w:val="center"/>
        <w:textAlignment w:val="auto"/>
        <w:rPr>
          <w:b/>
          <w:bCs/>
          <w:sz w:val="24"/>
          <w:szCs w:val="24"/>
          <w:lang w:eastAsia="en-GB"/>
        </w:rPr>
      </w:pPr>
      <w:r>
        <w:rPr>
          <w:b/>
          <w:bCs/>
          <w:sz w:val="24"/>
          <w:szCs w:val="24"/>
          <w:lang w:eastAsia="en-GB"/>
        </w:rPr>
        <w:t>Organized</w:t>
      </w:r>
      <w:r w:rsidRPr="00F1752C">
        <w:rPr>
          <w:b/>
          <w:bCs/>
          <w:sz w:val="24"/>
          <w:szCs w:val="24"/>
          <w:lang w:eastAsia="en-GB"/>
        </w:rPr>
        <w:t xml:space="preserve"> by the</w:t>
      </w:r>
    </w:p>
    <w:p w14:paraId="5A0CC558" w14:textId="6E74F271" w:rsidR="00717890" w:rsidRPr="00E048DD" w:rsidRDefault="00717890" w:rsidP="00717890">
      <w:pPr>
        <w:overflowPunct/>
        <w:spacing w:line="276" w:lineRule="auto"/>
        <w:jc w:val="center"/>
        <w:textAlignment w:val="auto"/>
        <w:rPr>
          <w:sz w:val="28"/>
          <w:szCs w:val="28"/>
        </w:rPr>
      </w:pPr>
      <w:r>
        <w:rPr>
          <w:sz w:val="28"/>
          <w:szCs w:val="28"/>
          <w:lang w:eastAsia="en-GB"/>
        </w:rPr>
        <w:t xml:space="preserve">International Atomic Energy </w:t>
      </w:r>
      <w:r w:rsidRPr="005B5BD1">
        <w:rPr>
          <w:sz w:val="28"/>
          <w:szCs w:val="28"/>
          <w:lang w:eastAsia="en-GB"/>
        </w:rPr>
        <w:t>Agency (IAEA)</w:t>
      </w:r>
    </w:p>
    <w:p w14:paraId="36FBB45C" w14:textId="77777777" w:rsidR="00717890" w:rsidRPr="00F1752C" w:rsidRDefault="00717890" w:rsidP="00717890">
      <w:pPr>
        <w:overflowPunct/>
        <w:spacing w:line="276" w:lineRule="auto"/>
        <w:jc w:val="center"/>
        <w:textAlignment w:val="auto"/>
        <w:rPr>
          <w:sz w:val="24"/>
          <w:szCs w:val="24"/>
          <w:lang w:eastAsia="en-GB"/>
        </w:rPr>
      </w:pPr>
    </w:p>
    <w:p w14:paraId="7142FCC5" w14:textId="31986B68" w:rsidR="00717890" w:rsidRPr="00F1752C" w:rsidRDefault="00717890" w:rsidP="00717890">
      <w:pPr>
        <w:overflowPunct/>
        <w:spacing w:line="276" w:lineRule="auto"/>
        <w:jc w:val="center"/>
        <w:textAlignment w:val="auto"/>
        <w:rPr>
          <w:b/>
          <w:bCs/>
          <w:sz w:val="24"/>
          <w:szCs w:val="24"/>
          <w:lang w:eastAsia="en-GB"/>
        </w:rPr>
      </w:pPr>
      <w:proofErr w:type="gramStart"/>
      <w:r>
        <w:rPr>
          <w:b/>
          <w:bCs/>
          <w:sz w:val="24"/>
          <w:szCs w:val="24"/>
          <w:lang w:eastAsia="en-GB"/>
        </w:rPr>
        <w:t>in</w:t>
      </w:r>
      <w:proofErr w:type="gramEnd"/>
      <w:r>
        <w:rPr>
          <w:b/>
          <w:bCs/>
          <w:sz w:val="24"/>
          <w:szCs w:val="24"/>
          <w:lang w:eastAsia="en-GB"/>
        </w:rPr>
        <w:t xml:space="preserve"> cooperation with</w:t>
      </w:r>
    </w:p>
    <w:p w14:paraId="67FB70BC" w14:textId="46481A83" w:rsidR="00143429" w:rsidRDefault="001D266D" w:rsidP="00671A79">
      <w:pPr>
        <w:overflowPunct/>
        <w:autoSpaceDE/>
        <w:autoSpaceDN/>
        <w:adjustRightInd/>
        <w:spacing w:line="276" w:lineRule="auto"/>
        <w:jc w:val="center"/>
        <w:textAlignment w:val="auto"/>
      </w:pPr>
      <w:r w:rsidRPr="004E526E">
        <w:t>Comprehensive Nuclear-Test-Ban Treaty Organization (CTBTO)</w:t>
      </w:r>
    </w:p>
    <w:p w14:paraId="4DDA42E0" w14:textId="572DF43F" w:rsidR="00143429" w:rsidRDefault="001D266D" w:rsidP="00671A79">
      <w:pPr>
        <w:overflowPunct/>
        <w:autoSpaceDE/>
        <w:autoSpaceDN/>
        <w:adjustRightInd/>
        <w:spacing w:line="276" w:lineRule="auto"/>
        <w:jc w:val="center"/>
        <w:textAlignment w:val="auto"/>
      </w:pPr>
      <w:r w:rsidRPr="004E526E">
        <w:t>European Commission (EC)</w:t>
      </w:r>
    </w:p>
    <w:p w14:paraId="3911DB63" w14:textId="50E6F257" w:rsidR="00143429" w:rsidRDefault="001D266D" w:rsidP="00671A79">
      <w:pPr>
        <w:overflowPunct/>
        <w:autoSpaceDE/>
        <w:autoSpaceDN/>
        <w:adjustRightInd/>
        <w:spacing w:line="276" w:lineRule="auto"/>
        <w:jc w:val="center"/>
        <w:textAlignment w:val="auto"/>
      </w:pPr>
      <w:r w:rsidRPr="004E526E">
        <w:t>European Police Office (E</w:t>
      </w:r>
      <w:r w:rsidR="00671A79">
        <w:t>uropol</w:t>
      </w:r>
      <w:r w:rsidRPr="004E526E">
        <w:t>)</w:t>
      </w:r>
    </w:p>
    <w:p w14:paraId="6EC1FE37" w14:textId="2F47D24B" w:rsidR="00143429" w:rsidRDefault="001D266D" w:rsidP="00671A79">
      <w:pPr>
        <w:overflowPunct/>
        <w:autoSpaceDE/>
        <w:autoSpaceDN/>
        <w:adjustRightInd/>
        <w:spacing w:line="276" w:lineRule="auto"/>
        <w:jc w:val="center"/>
        <w:textAlignment w:val="auto"/>
      </w:pPr>
      <w:r w:rsidRPr="004E526E">
        <w:t>Food and Agriculture Organization of the United Nations (FAO)</w:t>
      </w:r>
    </w:p>
    <w:p w14:paraId="4CFFDF71" w14:textId="715B5133" w:rsidR="00143429" w:rsidRDefault="001D266D" w:rsidP="00671A79">
      <w:pPr>
        <w:overflowPunct/>
        <w:autoSpaceDE/>
        <w:autoSpaceDN/>
        <w:adjustRightInd/>
        <w:spacing w:line="276" w:lineRule="auto"/>
        <w:jc w:val="center"/>
        <w:textAlignment w:val="auto"/>
      </w:pPr>
      <w:r w:rsidRPr="004E526E">
        <w:t>International Civil Aviation Organization (ICAO)</w:t>
      </w:r>
    </w:p>
    <w:p w14:paraId="1D9DD3EE" w14:textId="5746F614" w:rsidR="00143429" w:rsidRDefault="001D266D" w:rsidP="00671A79">
      <w:pPr>
        <w:overflowPunct/>
        <w:autoSpaceDE/>
        <w:autoSpaceDN/>
        <w:adjustRightInd/>
        <w:spacing w:line="276" w:lineRule="auto"/>
        <w:jc w:val="center"/>
        <w:textAlignment w:val="auto"/>
      </w:pPr>
      <w:r>
        <w:t>International Labour Organization (ILO)</w:t>
      </w:r>
    </w:p>
    <w:p w14:paraId="31D33078" w14:textId="77777777" w:rsidR="006B3C7D" w:rsidRDefault="001D266D" w:rsidP="006B3C7D">
      <w:pPr>
        <w:overflowPunct/>
        <w:autoSpaceDE/>
        <w:autoSpaceDN/>
        <w:adjustRightInd/>
        <w:spacing w:line="276" w:lineRule="auto"/>
        <w:jc w:val="center"/>
        <w:textAlignment w:val="auto"/>
      </w:pPr>
      <w:r w:rsidRPr="004E526E">
        <w:t>International Maritime Organization (IMO)</w:t>
      </w:r>
    </w:p>
    <w:p w14:paraId="11E24DE6" w14:textId="0DF7431D" w:rsidR="006B3C7D" w:rsidRDefault="006B3C7D" w:rsidP="006B3C7D">
      <w:pPr>
        <w:overflowPunct/>
        <w:autoSpaceDE/>
        <w:autoSpaceDN/>
        <w:adjustRightInd/>
        <w:spacing w:line="276" w:lineRule="auto"/>
        <w:jc w:val="center"/>
        <w:textAlignment w:val="auto"/>
      </w:pPr>
      <w:r w:rsidRPr="004E526E">
        <w:t>INTERPOL</w:t>
      </w:r>
    </w:p>
    <w:p w14:paraId="6719C03A" w14:textId="015E7085" w:rsidR="00143429" w:rsidRDefault="001D266D" w:rsidP="006B3C7D">
      <w:pPr>
        <w:overflowPunct/>
        <w:autoSpaceDE/>
        <w:autoSpaceDN/>
        <w:adjustRightInd/>
        <w:spacing w:line="276" w:lineRule="auto"/>
        <w:jc w:val="center"/>
        <w:textAlignment w:val="auto"/>
      </w:pPr>
      <w:r w:rsidRPr="004E526E">
        <w:t>Nuclear Energy Agency of the Organisation for Economic Co-</w:t>
      </w:r>
      <w:r>
        <w:t>operation and Development</w:t>
      </w:r>
      <w:r w:rsidR="006B3C7D">
        <w:t xml:space="preserve"> </w:t>
      </w:r>
      <w:r>
        <w:t>(OECD</w:t>
      </w:r>
      <w:r w:rsidR="006B3C7D">
        <w:t xml:space="preserve"> </w:t>
      </w:r>
      <w:r w:rsidRPr="004E526E">
        <w:t>NEA)</w:t>
      </w:r>
    </w:p>
    <w:p w14:paraId="051D034E" w14:textId="10251620" w:rsidR="00143429" w:rsidRDefault="001D266D" w:rsidP="00671A79">
      <w:pPr>
        <w:overflowPunct/>
        <w:autoSpaceDE/>
        <w:autoSpaceDN/>
        <w:adjustRightInd/>
        <w:spacing w:line="276" w:lineRule="auto"/>
        <w:jc w:val="center"/>
        <w:textAlignment w:val="auto"/>
      </w:pPr>
      <w:r w:rsidRPr="004E526E">
        <w:t>Pan American Health Organization (PAHO)</w:t>
      </w:r>
    </w:p>
    <w:p w14:paraId="3B540AC8" w14:textId="00D04990" w:rsidR="00143429" w:rsidRDefault="001D266D" w:rsidP="00671A79">
      <w:pPr>
        <w:overflowPunct/>
        <w:autoSpaceDE/>
        <w:autoSpaceDN/>
        <w:adjustRightInd/>
        <w:spacing w:line="276" w:lineRule="auto"/>
        <w:jc w:val="center"/>
        <w:textAlignment w:val="auto"/>
      </w:pPr>
      <w:r w:rsidRPr="004E526E">
        <w:t>United Nations Environment Programme (UNEP)</w:t>
      </w:r>
    </w:p>
    <w:p w14:paraId="175ED058" w14:textId="77777777" w:rsidR="00506807" w:rsidRPr="00BB3E3D" w:rsidRDefault="00506807" w:rsidP="00506807">
      <w:pPr>
        <w:jc w:val="center"/>
        <w:rPr>
          <w:szCs w:val="22"/>
        </w:rPr>
      </w:pPr>
      <w:r w:rsidRPr="005A0F09">
        <w:rPr>
          <w:szCs w:val="22"/>
        </w:rPr>
        <w:t>UN Office for Outer Space Affairs (UNOOSA)</w:t>
      </w:r>
    </w:p>
    <w:p w14:paraId="4F6768C3" w14:textId="6A776679" w:rsidR="00717890" w:rsidRDefault="001D266D" w:rsidP="00143429">
      <w:pPr>
        <w:overflowPunct/>
        <w:autoSpaceDE/>
        <w:autoSpaceDN/>
        <w:adjustRightInd/>
        <w:spacing w:line="276" w:lineRule="auto"/>
        <w:jc w:val="center"/>
        <w:textAlignment w:val="auto"/>
      </w:pPr>
      <w:r w:rsidRPr="004E526E">
        <w:t>World Health Organization (WHO)</w:t>
      </w:r>
    </w:p>
    <w:p w14:paraId="4B1989CF" w14:textId="346A2E75" w:rsidR="0012305B" w:rsidRDefault="0012305B" w:rsidP="00143429">
      <w:pPr>
        <w:overflowPunct/>
        <w:autoSpaceDE/>
        <w:autoSpaceDN/>
        <w:adjustRightInd/>
        <w:spacing w:line="276" w:lineRule="auto"/>
        <w:jc w:val="center"/>
        <w:textAlignment w:val="auto"/>
      </w:pPr>
      <w:r>
        <w:t xml:space="preserve">World Meteorological Organization (WMO) </w:t>
      </w:r>
    </w:p>
    <w:p w14:paraId="752290D2" w14:textId="77777777" w:rsidR="00435F04" w:rsidRPr="00BB3E3D" w:rsidRDefault="00435F04" w:rsidP="00BB3E3D">
      <w:pPr>
        <w:jc w:val="center"/>
        <w:rPr>
          <w:szCs w:val="22"/>
        </w:rPr>
      </w:pPr>
    </w:p>
    <w:p w14:paraId="39C6B8FC" w14:textId="77777777" w:rsidR="00717890" w:rsidRPr="00B77990" w:rsidRDefault="00717890" w:rsidP="00B521CB">
      <w:pPr>
        <w:pStyle w:val="BodyText"/>
        <w:spacing w:after="0" w:line="276" w:lineRule="auto"/>
        <w:jc w:val="center"/>
        <w:rPr>
          <w:b/>
          <w:sz w:val="28"/>
          <w:szCs w:val="28"/>
          <w:lang w:val="en-US"/>
        </w:rPr>
      </w:pPr>
    </w:p>
    <w:p w14:paraId="66D7CEB6" w14:textId="77777777" w:rsidR="003B1DED" w:rsidRPr="00B77990" w:rsidRDefault="009943FA" w:rsidP="003B1DED">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4034E15B" w14:textId="77777777" w:rsidR="009943FA" w:rsidRDefault="009943FA" w:rsidP="00B521CB">
      <w:pPr>
        <w:overflowPunct/>
        <w:spacing w:line="276" w:lineRule="auto"/>
        <w:jc w:val="center"/>
        <w:textAlignment w:val="auto"/>
        <w:rPr>
          <w:b/>
          <w:bCs/>
          <w:color w:val="000000"/>
          <w:sz w:val="28"/>
          <w:szCs w:val="28"/>
          <w:lang w:eastAsia="en-GB"/>
        </w:rPr>
      </w:pPr>
      <w:r w:rsidRPr="00B77990">
        <w:rPr>
          <w:b/>
          <w:bCs/>
          <w:color w:val="000000"/>
          <w:sz w:val="28"/>
          <w:szCs w:val="28"/>
          <w:lang w:eastAsia="en-GB"/>
        </w:rPr>
        <w:t>Vienna, Austria</w:t>
      </w:r>
    </w:p>
    <w:p w14:paraId="46F3D7B0" w14:textId="77777777" w:rsidR="003B1DED" w:rsidRPr="00F1752C" w:rsidRDefault="003B1DED" w:rsidP="00B521CB">
      <w:pPr>
        <w:overflowPunct/>
        <w:spacing w:line="276" w:lineRule="auto"/>
        <w:jc w:val="center"/>
        <w:textAlignment w:val="auto"/>
        <w:rPr>
          <w:b/>
          <w:bCs/>
          <w:color w:val="000000"/>
          <w:sz w:val="24"/>
          <w:szCs w:val="24"/>
          <w:lang w:eastAsia="en-GB"/>
        </w:rPr>
      </w:pPr>
    </w:p>
    <w:p w14:paraId="35C3B39F" w14:textId="67C9A922" w:rsidR="00362111" w:rsidRPr="00717890" w:rsidRDefault="00717890" w:rsidP="00717890">
      <w:pPr>
        <w:overflowPunct/>
        <w:spacing w:line="276" w:lineRule="auto"/>
        <w:jc w:val="center"/>
        <w:textAlignment w:val="auto"/>
        <w:rPr>
          <w:b/>
          <w:bCs/>
          <w:sz w:val="28"/>
          <w:szCs w:val="28"/>
          <w:lang w:eastAsia="en-GB"/>
        </w:rPr>
      </w:pPr>
      <w:r w:rsidRPr="00717890">
        <w:rPr>
          <w:b/>
          <w:bCs/>
          <w:sz w:val="28"/>
          <w:szCs w:val="28"/>
        </w:rPr>
        <w:t>19</w:t>
      </w:r>
      <w:r w:rsidR="00B77990" w:rsidRPr="00717890">
        <w:rPr>
          <w:b/>
          <w:bCs/>
          <w:sz w:val="28"/>
          <w:szCs w:val="28"/>
          <w:lang w:eastAsia="en-GB"/>
        </w:rPr>
        <w:t>–</w:t>
      </w:r>
      <w:r w:rsidRPr="00717890">
        <w:rPr>
          <w:b/>
          <w:bCs/>
          <w:sz w:val="28"/>
          <w:szCs w:val="28"/>
        </w:rPr>
        <w:t>23 October 2015</w:t>
      </w:r>
    </w:p>
    <w:p w14:paraId="2FCEBB7F" w14:textId="429B03C3" w:rsidR="00276559" w:rsidRPr="00717890" w:rsidRDefault="00F1752C" w:rsidP="00717890">
      <w:pPr>
        <w:overflowPunct/>
        <w:spacing w:line="276" w:lineRule="auto"/>
        <w:jc w:val="center"/>
        <w:textAlignment w:val="auto"/>
        <w:rPr>
          <w:b/>
          <w:bCs/>
          <w:sz w:val="24"/>
          <w:szCs w:val="24"/>
          <w:lang w:eastAsia="en-GB"/>
        </w:rPr>
      </w:pPr>
      <w:proofErr w:type="gramStart"/>
      <w:r w:rsidRPr="00717890">
        <w:rPr>
          <w:b/>
          <w:bCs/>
          <w:sz w:val="24"/>
          <w:szCs w:val="24"/>
        </w:rPr>
        <w:t>Ref.</w:t>
      </w:r>
      <w:proofErr w:type="gramEnd"/>
      <w:r w:rsidRPr="00717890">
        <w:rPr>
          <w:b/>
          <w:bCs/>
          <w:sz w:val="24"/>
          <w:szCs w:val="24"/>
        </w:rPr>
        <w:t xml:space="preserve"> No:</w:t>
      </w:r>
      <w:r w:rsidR="000706C9">
        <w:rPr>
          <w:b/>
          <w:bCs/>
          <w:sz w:val="24"/>
          <w:szCs w:val="24"/>
        </w:rPr>
        <w:t xml:space="preserve"> </w:t>
      </w:r>
      <w:r w:rsidR="00717890" w:rsidRPr="00717890">
        <w:rPr>
          <w:b/>
          <w:bCs/>
          <w:sz w:val="24"/>
          <w:szCs w:val="24"/>
        </w:rPr>
        <w:t>CN-213</w:t>
      </w:r>
    </w:p>
    <w:p w14:paraId="26EA7C73" w14:textId="30EA1436" w:rsidR="002944CA" w:rsidRPr="002944CA" w:rsidRDefault="002944CA" w:rsidP="00CC6750">
      <w:pPr>
        <w:overflowPunct/>
        <w:spacing w:line="276" w:lineRule="auto"/>
        <w:jc w:val="center"/>
        <w:textAlignment w:val="auto"/>
        <w:rPr>
          <w:color w:val="000000"/>
          <w:sz w:val="28"/>
          <w:szCs w:val="28"/>
          <w:lang w:eastAsia="en-GB"/>
        </w:rPr>
      </w:pPr>
    </w:p>
    <w:p w14:paraId="5CAA19BA" w14:textId="21C67738" w:rsidR="00276559" w:rsidRPr="00F1752C" w:rsidRDefault="00333966" w:rsidP="00717890">
      <w:pPr>
        <w:overflowPunct/>
        <w:spacing w:line="276" w:lineRule="auto"/>
        <w:jc w:val="center"/>
        <w:textAlignment w:val="auto"/>
        <w:rPr>
          <w:b/>
          <w:bCs/>
          <w:sz w:val="36"/>
          <w:szCs w:val="36"/>
          <w:lang w:eastAsia="en-GB"/>
        </w:rPr>
      </w:pPr>
      <w:r>
        <w:rPr>
          <w:b/>
          <w:bCs/>
          <w:color w:val="000000"/>
          <w:sz w:val="36"/>
          <w:szCs w:val="36"/>
          <w:lang w:eastAsia="en-GB"/>
        </w:rPr>
        <w:t>Announcement</w:t>
      </w:r>
      <w:r w:rsidR="00B77990">
        <w:rPr>
          <w:b/>
          <w:bCs/>
          <w:color w:val="000000"/>
          <w:sz w:val="36"/>
          <w:szCs w:val="36"/>
          <w:lang w:eastAsia="en-GB"/>
        </w:rPr>
        <w:t xml:space="preserve"> and Call for Papers</w:t>
      </w:r>
    </w:p>
    <w:p w14:paraId="4BC64AF8" w14:textId="45EF7E1B" w:rsidR="00750DF0" w:rsidRPr="000E4286" w:rsidRDefault="00243701" w:rsidP="005B6E72">
      <w:pPr>
        <w:pStyle w:val="Heading1"/>
      </w:pPr>
      <w:r w:rsidRPr="000E4286">
        <w:lastRenderedPageBreak/>
        <w:t>Introduction</w:t>
      </w:r>
    </w:p>
    <w:p w14:paraId="68927074" w14:textId="0AB526B8" w:rsidR="00717890" w:rsidRDefault="00717890" w:rsidP="00717890">
      <w:pPr>
        <w:pStyle w:val="BodyText"/>
      </w:pPr>
      <w:r>
        <w:t xml:space="preserve">While the responsibility for developing, maintaining and strengthening nuclear and radiological emergency preparedness and response (EPR) arrangements lies at the national level, the International Atomic Energy Agency (IAEA) has continuously been supporting the work of its Member States in EPR, in particular since the accident at the Chernobyl nuclear power plant </w:t>
      </w:r>
      <w:r w:rsidR="001D4A42">
        <w:t xml:space="preserve">(NPP) </w:t>
      </w:r>
      <w:r>
        <w:t>in 1986. In 2005, the IAEA announced the establishment of the Incident and Emergency Centre (IEC) to serve as a global focal point for preparedness and response to any nuclear and radiological incident and emergency independent of whether it arises from an accident, natural disaster, negligence, nuclear security event or any other cause. The IAEA carries out its work under the Convention on Early Notification of a Nuclear Accident (Early Notification Convention) and the Convention on Assistance in the Case of a Nuclear Accident or Radiological Emergency (Assistance Convention).</w:t>
      </w:r>
    </w:p>
    <w:p w14:paraId="54F0EEFA" w14:textId="3B3EBD5E" w:rsidR="00717890" w:rsidRDefault="00717890" w:rsidP="001D4A42">
      <w:pPr>
        <w:pStyle w:val="BodyText"/>
      </w:pPr>
      <w:r>
        <w:t>The IAEA develops standards and guidelines</w:t>
      </w:r>
      <w:r w:rsidR="002C7DBF">
        <w:t>,</w:t>
      </w:r>
      <w:r>
        <w:t xml:space="preserve"> and works to define and promote common approaches so that response does not differ between countries </w:t>
      </w:r>
      <w:r w:rsidR="001D4A42">
        <w:t xml:space="preserve">as this would result </w:t>
      </w:r>
      <w:r>
        <w:t xml:space="preserve">in confusion and mistrust </w:t>
      </w:r>
      <w:r w:rsidR="001D4A42">
        <w:t xml:space="preserve">on the part </w:t>
      </w:r>
      <w:r>
        <w:t xml:space="preserve">of the public, </w:t>
      </w:r>
      <w:r w:rsidR="001D4A42">
        <w:t xml:space="preserve">interfere </w:t>
      </w:r>
      <w:r>
        <w:t xml:space="preserve">with recovery operations and possibly </w:t>
      </w:r>
      <w:r w:rsidR="001D4A42">
        <w:t xml:space="preserve">even </w:t>
      </w:r>
      <w:r>
        <w:t>lead to severe socio</w:t>
      </w:r>
      <w:r w:rsidR="001D4A42">
        <w:t>-</w:t>
      </w:r>
      <w:r>
        <w:t xml:space="preserve">economic and political consequences. In recent years there has been also a heightened awareness of the need to strengthen response to emergencies </w:t>
      </w:r>
      <w:r w:rsidR="001D4A42">
        <w:t xml:space="preserve">caused by </w:t>
      </w:r>
      <w:r>
        <w:t>nuclear security events as well as of the need to wisely plan for the recovery phase.</w:t>
      </w:r>
    </w:p>
    <w:p w14:paraId="3A0CC8AF" w14:textId="70BA8D70" w:rsidR="00717890" w:rsidRDefault="00717890" w:rsidP="001D4A42">
      <w:pPr>
        <w:pStyle w:val="BodyText"/>
      </w:pPr>
      <w:r>
        <w:t xml:space="preserve">The experience gained in responding to nuclear </w:t>
      </w:r>
      <w:r w:rsidR="001D4A42">
        <w:t xml:space="preserve">and </w:t>
      </w:r>
      <w:r>
        <w:t>radiological incidents and emergencies in the past underscored the importance of emergency preparedness in all activities involving nuclear and</w:t>
      </w:r>
      <w:r w:rsidR="001D4A42">
        <w:t xml:space="preserve"> other</w:t>
      </w:r>
      <w:r>
        <w:t xml:space="preserve"> radioactive material. For example, the </w:t>
      </w:r>
      <w:r w:rsidRPr="00846207">
        <w:t xml:space="preserve">2011 accident at </w:t>
      </w:r>
      <w:r w:rsidR="001D4A42">
        <w:t>the</w:t>
      </w:r>
      <w:r w:rsidR="001D4A42" w:rsidRPr="00846207">
        <w:t xml:space="preserve"> </w:t>
      </w:r>
      <w:r w:rsidRPr="00846207">
        <w:t xml:space="preserve">Fukushima Daiichi </w:t>
      </w:r>
      <w:r w:rsidR="001D4A42">
        <w:t>NPP</w:t>
      </w:r>
      <w:r w:rsidRPr="00846207">
        <w:t xml:space="preserve"> </w:t>
      </w:r>
      <w:r>
        <w:t>emphasized again the need to strengthen EPR at the national as well as at the international level.</w:t>
      </w:r>
    </w:p>
    <w:p w14:paraId="24636F9D" w14:textId="276F057E" w:rsidR="00750DF0" w:rsidRPr="001114C8" w:rsidRDefault="00717890" w:rsidP="00434779">
      <w:pPr>
        <w:jc w:val="both"/>
      </w:pPr>
      <w:r>
        <w:t>Th</w:t>
      </w:r>
      <w:r w:rsidR="001D4A42">
        <w:t>is</w:t>
      </w:r>
      <w:r>
        <w:t xml:space="preserve"> conference is </w:t>
      </w:r>
      <w:r w:rsidR="001D4A42">
        <w:t xml:space="preserve">being </w:t>
      </w:r>
      <w:r>
        <w:t xml:space="preserve">organized by the IAEA in cooperation with </w:t>
      </w:r>
      <w:r w:rsidR="00671A79">
        <w:t xml:space="preserve">the </w:t>
      </w:r>
      <w:r w:rsidR="001D266D" w:rsidRPr="004E526E">
        <w:t>Comprehensive Nuclear-Test-Ban Treaty Organization (CTBTO)</w:t>
      </w:r>
      <w:r w:rsidR="001D266D">
        <w:t xml:space="preserve">, </w:t>
      </w:r>
      <w:r w:rsidR="00671A79">
        <w:t xml:space="preserve">the </w:t>
      </w:r>
      <w:r w:rsidR="001D266D" w:rsidRPr="004E526E">
        <w:t>European Commission (EC)</w:t>
      </w:r>
      <w:r w:rsidR="001D266D">
        <w:t xml:space="preserve">, </w:t>
      </w:r>
      <w:r w:rsidR="00671A79">
        <w:t xml:space="preserve">the </w:t>
      </w:r>
      <w:r w:rsidR="001D266D" w:rsidRPr="004E526E">
        <w:t>European Police Office (E</w:t>
      </w:r>
      <w:r w:rsidR="00671A79">
        <w:t>uropol</w:t>
      </w:r>
      <w:r w:rsidR="001D266D" w:rsidRPr="004E526E">
        <w:t>)</w:t>
      </w:r>
      <w:r w:rsidR="001D266D">
        <w:t xml:space="preserve">, </w:t>
      </w:r>
      <w:r w:rsidR="00671A79">
        <w:t xml:space="preserve">the </w:t>
      </w:r>
      <w:r w:rsidR="001D266D" w:rsidRPr="004E526E">
        <w:t>Food and Agriculture Organization of the United Nations (FAO)</w:t>
      </w:r>
      <w:r w:rsidR="001D266D">
        <w:t xml:space="preserve">, </w:t>
      </w:r>
      <w:r w:rsidR="00671A79">
        <w:t xml:space="preserve">the </w:t>
      </w:r>
      <w:r w:rsidR="001D266D" w:rsidRPr="004E526E">
        <w:t>International Civil Aviation Organization (ICAO)</w:t>
      </w:r>
      <w:r w:rsidR="001D266D">
        <w:t xml:space="preserve">, </w:t>
      </w:r>
      <w:r w:rsidR="00671A79">
        <w:t xml:space="preserve">the </w:t>
      </w:r>
      <w:r w:rsidR="001D266D">
        <w:t>International Labour Organization (ILO),</w:t>
      </w:r>
      <w:r w:rsidR="00671A79">
        <w:t xml:space="preserve"> the </w:t>
      </w:r>
      <w:r w:rsidR="001D266D" w:rsidRPr="004E526E">
        <w:t>International Maritime Organization (IMO)</w:t>
      </w:r>
      <w:r w:rsidR="001D266D">
        <w:t xml:space="preserve">, </w:t>
      </w:r>
      <w:r w:rsidR="006B3C7D" w:rsidRPr="004E526E">
        <w:t>INTERPOL</w:t>
      </w:r>
      <w:r w:rsidR="006B3C7D">
        <w:t xml:space="preserve">, </w:t>
      </w:r>
      <w:r w:rsidR="00671A79">
        <w:t>the</w:t>
      </w:r>
      <w:r w:rsidR="001D266D">
        <w:t xml:space="preserve"> </w:t>
      </w:r>
      <w:r w:rsidR="001D266D" w:rsidRPr="004E526E">
        <w:t>Nuclear Energy Agency of the Organisation for Economic Co</w:t>
      </w:r>
      <w:r w:rsidR="00C06C52">
        <w:noBreakHyphen/>
      </w:r>
      <w:r w:rsidR="001D266D">
        <w:t>operation and Development (OECD</w:t>
      </w:r>
      <w:r w:rsidR="00C06C52">
        <w:t xml:space="preserve"> </w:t>
      </w:r>
      <w:r w:rsidR="001D266D" w:rsidRPr="004E526E">
        <w:t>NEA)</w:t>
      </w:r>
      <w:r w:rsidR="001D266D">
        <w:t>,</w:t>
      </w:r>
      <w:r w:rsidR="00671A79">
        <w:t xml:space="preserve"> the</w:t>
      </w:r>
      <w:r w:rsidR="001D266D">
        <w:t xml:space="preserve"> </w:t>
      </w:r>
      <w:r w:rsidR="001D266D" w:rsidRPr="004E526E">
        <w:t>Pan American Health Organization (PAHO)</w:t>
      </w:r>
      <w:r w:rsidR="001D266D">
        <w:t xml:space="preserve">, </w:t>
      </w:r>
      <w:r w:rsidR="00671A79">
        <w:t xml:space="preserve">the </w:t>
      </w:r>
      <w:r w:rsidR="001D266D" w:rsidRPr="004E526E">
        <w:t>United Nations Environment Programme (UNEP)</w:t>
      </w:r>
      <w:r w:rsidR="001D266D">
        <w:t>,</w:t>
      </w:r>
      <w:r w:rsidR="00671A79">
        <w:t xml:space="preserve"> </w:t>
      </w:r>
      <w:r w:rsidR="00387460">
        <w:t xml:space="preserve">the </w:t>
      </w:r>
      <w:r w:rsidR="00506807" w:rsidRPr="005A0F09">
        <w:rPr>
          <w:szCs w:val="22"/>
        </w:rPr>
        <w:t>UN Office for Outer Space Affairs (UNOOSA),</w:t>
      </w:r>
      <w:r w:rsidR="00434779">
        <w:rPr>
          <w:szCs w:val="22"/>
        </w:rPr>
        <w:t xml:space="preserve"> </w:t>
      </w:r>
      <w:r w:rsidR="00671A79">
        <w:t>the</w:t>
      </w:r>
      <w:r w:rsidR="001D266D">
        <w:t xml:space="preserve"> </w:t>
      </w:r>
      <w:r w:rsidR="001D266D" w:rsidRPr="004E526E">
        <w:t>World Health Organization (WHO)</w:t>
      </w:r>
      <w:r w:rsidR="00506807">
        <w:t xml:space="preserve"> </w:t>
      </w:r>
      <w:r w:rsidR="00387460">
        <w:t xml:space="preserve">, </w:t>
      </w:r>
      <w:r w:rsidR="001541E9" w:rsidRPr="001541E9">
        <w:t>the World Meteorological Organization (WMO)</w:t>
      </w:r>
      <w:r w:rsidR="00435F04">
        <w:t xml:space="preserve"> </w:t>
      </w:r>
      <w:r>
        <w:t>to provide an opportunity to exchange information and share experiences in EPR, discuss challenges</w:t>
      </w:r>
      <w:r w:rsidR="001D4A42">
        <w:t>,</w:t>
      </w:r>
      <w:r>
        <w:t xml:space="preserve"> and identify key priorities in further improving readiness for nuclear and radiological incidents </w:t>
      </w:r>
      <w:r w:rsidR="001D4A42">
        <w:t>and</w:t>
      </w:r>
      <w:r>
        <w:t xml:space="preserve"> emergencies.</w:t>
      </w:r>
    </w:p>
    <w:p w14:paraId="27F69B73" w14:textId="18E3AED9" w:rsidR="00362111" w:rsidRPr="001114C8" w:rsidRDefault="00750DF0" w:rsidP="000E4286">
      <w:pPr>
        <w:pStyle w:val="Heading1"/>
      </w:pPr>
      <w:r w:rsidRPr="001114C8">
        <w:t>Objectives</w:t>
      </w:r>
    </w:p>
    <w:p w14:paraId="300C91C5" w14:textId="4B43FEF6" w:rsidR="00717890" w:rsidRDefault="00717890" w:rsidP="00717890">
      <w:pPr>
        <w:pStyle w:val="BodyText"/>
        <w:rPr>
          <w:spacing w:val="-3"/>
        </w:rPr>
      </w:pPr>
      <w:r>
        <w:t>The conference will provide a forum for networking</w:t>
      </w:r>
      <w:r w:rsidR="001D4A42">
        <w:t xml:space="preserve"> and</w:t>
      </w:r>
      <w:r>
        <w:t xml:space="preserve"> exchange of information and experiences</w:t>
      </w:r>
      <w:r w:rsidR="002C7DBF">
        <w:t>,</w:t>
      </w:r>
      <w:r>
        <w:t xml:space="preserve"> and </w:t>
      </w:r>
      <w:r w:rsidR="001D4A42">
        <w:t xml:space="preserve">will </w:t>
      </w:r>
      <w:r>
        <w:t>promote effective preparedness as a key to efficient response. In particular, it will b</w:t>
      </w:r>
      <w:r>
        <w:rPr>
          <w:spacing w:val="-3"/>
        </w:rPr>
        <w:t>ring together officials responsible for EPR, experts in nuclear safety and nuclear security, emergency responders as well as relevant stakeholders</w:t>
      </w:r>
      <w:r w:rsidR="001D4A42">
        <w:rPr>
          <w:spacing w:val="-3"/>
        </w:rPr>
        <w:t xml:space="preserve"> in order to achieve the following</w:t>
      </w:r>
      <w:r>
        <w:rPr>
          <w:spacing w:val="-3"/>
        </w:rPr>
        <w:t>:</w:t>
      </w:r>
    </w:p>
    <w:p w14:paraId="6D40F4CD" w14:textId="289BF581" w:rsidR="00717890" w:rsidRDefault="001D4A42" w:rsidP="001D4A42">
      <w:pPr>
        <w:pStyle w:val="BodyText"/>
        <w:numPr>
          <w:ilvl w:val="0"/>
          <w:numId w:val="19"/>
        </w:numPr>
        <w:rPr>
          <w:spacing w:val="-3"/>
        </w:rPr>
      </w:pPr>
      <w:r>
        <w:rPr>
          <w:spacing w:val="-3"/>
        </w:rPr>
        <w:t>P</w:t>
      </w:r>
      <w:r w:rsidR="00717890" w:rsidRPr="00E357D3">
        <w:rPr>
          <w:spacing w:val="-3"/>
        </w:rPr>
        <w:t>resent contemporary EPR solutions</w:t>
      </w:r>
      <w:r w:rsidR="00717890">
        <w:rPr>
          <w:spacing w:val="-3"/>
        </w:rPr>
        <w:t>;</w:t>
      </w:r>
    </w:p>
    <w:p w14:paraId="6FFC4C30" w14:textId="0E401B38" w:rsidR="00717890" w:rsidRDefault="001D4A42" w:rsidP="001D4A42">
      <w:pPr>
        <w:pStyle w:val="BodyText"/>
        <w:numPr>
          <w:ilvl w:val="0"/>
          <w:numId w:val="19"/>
        </w:numPr>
        <w:rPr>
          <w:spacing w:val="-3"/>
        </w:rPr>
      </w:pPr>
      <w:r>
        <w:rPr>
          <w:spacing w:val="-3"/>
        </w:rPr>
        <w:t>E</w:t>
      </w:r>
      <w:r w:rsidR="00717890">
        <w:rPr>
          <w:spacing w:val="-3"/>
        </w:rPr>
        <w:t xml:space="preserve">xchange information </w:t>
      </w:r>
      <w:r w:rsidR="00717890">
        <w:t>on national EPR arrangements and capabilities;</w:t>
      </w:r>
    </w:p>
    <w:p w14:paraId="3D03C70C" w14:textId="401BC594" w:rsidR="00717890" w:rsidRDefault="001D4A42" w:rsidP="001D4A42">
      <w:pPr>
        <w:pStyle w:val="BodyText"/>
        <w:numPr>
          <w:ilvl w:val="0"/>
          <w:numId w:val="19"/>
        </w:numPr>
        <w:rPr>
          <w:spacing w:val="-3"/>
        </w:rPr>
      </w:pPr>
      <w:r>
        <w:rPr>
          <w:spacing w:val="-3"/>
        </w:rPr>
        <w:t>S</w:t>
      </w:r>
      <w:r w:rsidR="00717890" w:rsidRPr="00E357D3">
        <w:rPr>
          <w:spacing w:val="-3"/>
        </w:rPr>
        <w:t>hare experiences</w:t>
      </w:r>
      <w:r w:rsidR="00717890" w:rsidRPr="00E357D3">
        <w:t xml:space="preserve"> </w:t>
      </w:r>
      <w:r w:rsidR="00717890" w:rsidRPr="00862A8A">
        <w:t xml:space="preserve">and </w:t>
      </w:r>
      <w:r w:rsidR="00717890">
        <w:t>good practices</w:t>
      </w:r>
      <w:r w:rsidR="00717890" w:rsidRPr="00862A8A">
        <w:t xml:space="preserve"> in </w:t>
      </w:r>
      <w:r w:rsidR="00717890">
        <w:t>EPR; and</w:t>
      </w:r>
    </w:p>
    <w:p w14:paraId="54F7E9B4" w14:textId="0477A712" w:rsidR="00717890" w:rsidRDefault="001D4A42" w:rsidP="001D4A42">
      <w:pPr>
        <w:pStyle w:val="BodyText"/>
        <w:numPr>
          <w:ilvl w:val="0"/>
          <w:numId w:val="19"/>
        </w:numPr>
        <w:rPr>
          <w:spacing w:val="-3"/>
        </w:rPr>
      </w:pPr>
      <w:r>
        <w:rPr>
          <w:spacing w:val="-3"/>
        </w:rPr>
        <w:t>D</w:t>
      </w:r>
      <w:r w:rsidR="00717890" w:rsidRPr="005F0041">
        <w:rPr>
          <w:spacing w:val="-3"/>
        </w:rPr>
        <w:t>iscuss challenges and priorities in further strengthening readiness to respond to any nuclear or radiological incident or emergency</w:t>
      </w:r>
      <w:r w:rsidR="00717890">
        <w:rPr>
          <w:spacing w:val="-3"/>
        </w:rPr>
        <w:t>.</w:t>
      </w:r>
    </w:p>
    <w:p w14:paraId="3AB65721" w14:textId="45CD9022" w:rsidR="00362111" w:rsidRPr="00DC4155" w:rsidRDefault="00717890" w:rsidP="00717890">
      <w:pPr>
        <w:pStyle w:val="BodyText"/>
      </w:pPr>
      <w:r>
        <w:rPr>
          <w:spacing w:val="-3"/>
        </w:rPr>
        <w:t>It will also provide opportunities to refresh and update knowledge in specific areas of EPR, discuss challenges and priorities in EPR in round table discussions and to visit the IAEA’s IEC.</w:t>
      </w:r>
    </w:p>
    <w:p w14:paraId="4CC6E498" w14:textId="700D8511" w:rsidR="00897F1A" w:rsidRDefault="00717890" w:rsidP="000E4286">
      <w:pPr>
        <w:pStyle w:val="Heading1"/>
      </w:pPr>
      <w:r>
        <w:t>List of Topics</w:t>
      </w:r>
    </w:p>
    <w:p w14:paraId="5601EC7F" w14:textId="5474A403" w:rsidR="00717890" w:rsidRDefault="00717890" w:rsidP="001D4A42">
      <w:pPr>
        <w:pStyle w:val="BodyText"/>
      </w:pPr>
      <w:r>
        <w:t>The following areas have been identified based on recent experience as being particularly relevant, and</w:t>
      </w:r>
      <w:r w:rsidR="001D4A42">
        <w:t>,</w:t>
      </w:r>
      <w:r>
        <w:t xml:space="preserve"> while not exhaustively </w:t>
      </w:r>
      <w:r w:rsidR="001D4A42">
        <w:t xml:space="preserve">covering all aspects of </w:t>
      </w:r>
      <w:r>
        <w:t>EPR</w:t>
      </w:r>
      <w:r w:rsidR="001D4A42">
        <w:t>, they</w:t>
      </w:r>
      <w:r>
        <w:t xml:space="preserve"> will form the backbone of this conference: emergency management, protection strategies, communications, public health and medical response, waste, international </w:t>
      </w:r>
      <w:r w:rsidR="00EC2981">
        <w:t xml:space="preserve">cooperation, </w:t>
      </w:r>
      <w:r w:rsidR="00EC2981" w:rsidRPr="00A27505">
        <w:t>education and training</w:t>
      </w:r>
      <w:r w:rsidR="00EC2981">
        <w:t>,</w:t>
      </w:r>
      <w:r>
        <w:t xml:space="preserve"> and past experiences.</w:t>
      </w:r>
    </w:p>
    <w:p w14:paraId="22DA9609" w14:textId="4A1AD142" w:rsidR="00717890" w:rsidRPr="006E3961" w:rsidRDefault="00F107F2" w:rsidP="00EC2981">
      <w:pPr>
        <w:pStyle w:val="BodyText"/>
      </w:pPr>
      <w:r>
        <w:t>Papers</w:t>
      </w:r>
      <w:r w:rsidR="00717890" w:rsidRPr="006E3961">
        <w:t xml:space="preserve"> are invited on the following topics</w:t>
      </w:r>
      <w:r w:rsidR="00EC2981">
        <w:t xml:space="preserve"> falling into the above-mentioned areas</w:t>
      </w:r>
      <w:r w:rsidR="00717890" w:rsidRPr="006E3961">
        <w:t>:</w:t>
      </w:r>
    </w:p>
    <w:p w14:paraId="36BA9F34" w14:textId="5DC85A30" w:rsidR="00717890" w:rsidRDefault="00EC2981" w:rsidP="00EC2981">
      <w:pPr>
        <w:pStyle w:val="BodyText"/>
        <w:numPr>
          <w:ilvl w:val="0"/>
          <w:numId w:val="21"/>
        </w:numPr>
      </w:pPr>
      <w:r>
        <w:rPr>
          <w:b/>
          <w:bCs/>
        </w:rPr>
        <w:t>Emergency Management:</w:t>
      </w:r>
      <w:r>
        <w:t xml:space="preserve"> ‘a</w:t>
      </w:r>
      <w:r w:rsidR="00717890">
        <w:t>ll hazards and threats approach</w:t>
      </w:r>
      <w:r>
        <w:t>’</w:t>
      </w:r>
      <w:r w:rsidR="00717890">
        <w:t>, decision making processes, information management systems and databases, nuclear security</w:t>
      </w:r>
      <w:r>
        <w:t>–</w:t>
      </w:r>
      <w:r w:rsidR="00717890">
        <w:t>safety interfaces and integration in emergency response, peer reviews of EPR,</w:t>
      </w:r>
      <w:r w:rsidR="00717890" w:rsidRPr="00E610D7">
        <w:t xml:space="preserve"> </w:t>
      </w:r>
      <w:r w:rsidR="00717890">
        <w:t>international emergency assistance, non-radiological consequences;</w:t>
      </w:r>
    </w:p>
    <w:p w14:paraId="307A4FC1" w14:textId="6A38D567" w:rsidR="00717890" w:rsidRDefault="00EC2981" w:rsidP="00EC2981">
      <w:pPr>
        <w:pStyle w:val="BodyText"/>
        <w:numPr>
          <w:ilvl w:val="0"/>
          <w:numId w:val="21"/>
        </w:numPr>
      </w:pPr>
      <w:r>
        <w:rPr>
          <w:b/>
          <w:bCs/>
        </w:rPr>
        <w:t>Protection Strategies:</w:t>
      </w:r>
      <w:r w:rsidRPr="00E048DD">
        <w:t xml:space="preserve"> </w:t>
      </w:r>
      <w:r>
        <w:t>a</w:t>
      </w:r>
      <w:r w:rsidR="00717890">
        <w:t>ssessment and prognosis in an emergency, emergency radiation monitoring, modelling systems, protective and other actions, criteria, planning areas and distances, protection of emergency workers and helpers, protection of food and agricultural products, termination of a radiation emergency, transition phase and recovery;</w:t>
      </w:r>
    </w:p>
    <w:p w14:paraId="5F526BFD" w14:textId="38AA4747" w:rsidR="00717890" w:rsidRDefault="00EC2981" w:rsidP="00EC2981">
      <w:pPr>
        <w:pStyle w:val="BodyText"/>
        <w:numPr>
          <w:ilvl w:val="0"/>
          <w:numId w:val="21"/>
        </w:numPr>
      </w:pPr>
      <w:r>
        <w:rPr>
          <w:b/>
          <w:bCs/>
        </w:rPr>
        <w:t>Communications:</w:t>
      </w:r>
      <w:r w:rsidRPr="00E048DD">
        <w:t xml:space="preserve"> </w:t>
      </w:r>
      <w:r>
        <w:t>n</w:t>
      </w:r>
      <w:r w:rsidR="00717890">
        <w:t>otification and information exchange processes at national and international levels, public/media communication (in preparedness, during an emergency and in post-emergency phase);</w:t>
      </w:r>
    </w:p>
    <w:p w14:paraId="7805B0AF" w14:textId="4CCF190B" w:rsidR="00717890" w:rsidRDefault="00EC2981" w:rsidP="00EC2981">
      <w:pPr>
        <w:pStyle w:val="BodyText"/>
        <w:numPr>
          <w:ilvl w:val="0"/>
          <w:numId w:val="21"/>
        </w:numPr>
      </w:pPr>
      <w:r>
        <w:rPr>
          <w:b/>
          <w:bCs/>
        </w:rPr>
        <w:t>Public Health and Medical Response:</w:t>
      </w:r>
      <w:r>
        <w:t xml:space="preserve"> m</w:t>
      </w:r>
      <w:r w:rsidR="00717890">
        <w:t>edical triage, individual exposure assessment</w:t>
      </w:r>
      <w:r>
        <w:t xml:space="preserve"> (</w:t>
      </w:r>
      <w:r w:rsidR="00717890">
        <w:t xml:space="preserve">including </w:t>
      </w:r>
      <w:proofErr w:type="spellStart"/>
      <w:r w:rsidR="00717890">
        <w:t>biodosimetry</w:t>
      </w:r>
      <w:proofErr w:type="spellEnd"/>
      <w:r w:rsidR="00A27505">
        <w:t>)</w:t>
      </w:r>
      <w:r w:rsidR="00717890">
        <w:t>, diagnosis and treatment of radiation injuries, practical aspects of thyroid blocking, public health and ethical considerations of response, psychological impact management, medical surveillance of overexposed individuals and long</w:t>
      </w:r>
      <w:r>
        <w:t xml:space="preserve"> </w:t>
      </w:r>
      <w:r w:rsidR="00717890">
        <w:t>term follow-up of exposed populations;</w:t>
      </w:r>
    </w:p>
    <w:p w14:paraId="0D58195F" w14:textId="155CF690" w:rsidR="00717890" w:rsidRDefault="00EC2981" w:rsidP="00717890">
      <w:pPr>
        <w:pStyle w:val="BodyText"/>
        <w:numPr>
          <w:ilvl w:val="0"/>
          <w:numId w:val="21"/>
        </w:numPr>
      </w:pPr>
      <w:r>
        <w:rPr>
          <w:b/>
          <w:bCs/>
        </w:rPr>
        <w:t>Waste:</w:t>
      </w:r>
      <w:r w:rsidRPr="00E048DD">
        <w:t xml:space="preserve"> </w:t>
      </w:r>
      <w:r w:rsidR="00717890">
        <w:t>management of contaminated waste (during an emergency, in recovery phase);</w:t>
      </w:r>
    </w:p>
    <w:p w14:paraId="07D2054A" w14:textId="1CADD9ED" w:rsidR="00717890" w:rsidRDefault="00EC2981" w:rsidP="00717890">
      <w:pPr>
        <w:pStyle w:val="BodyText"/>
        <w:numPr>
          <w:ilvl w:val="0"/>
          <w:numId w:val="21"/>
        </w:numPr>
      </w:pPr>
      <w:r>
        <w:rPr>
          <w:b/>
          <w:bCs/>
        </w:rPr>
        <w:t>International Cooperation:</w:t>
      </w:r>
      <w:r>
        <w:t xml:space="preserve"> </w:t>
      </w:r>
      <w:r w:rsidR="00717890" w:rsidRPr="003B4AFA">
        <w:t>cooperation among States, inter-agency cooperation,</w:t>
      </w:r>
      <w:r w:rsidR="00717890">
        <w:t xml:space="preserve"> framework for sharing of decisions, international harmonization;</w:t>
      </w:r>
    </w:p>
    <w:p w14:paraId="1F21AF11" w14:textId="6D222D36" w:rsidR="00717890" w:rsidRDefault="00EC2981" w:rsidP="00EC2981">
      <w:pPr>
        <w:pStyle w:val="BodyText"/>
        <w:numPr>
          <w:ilvl w:val="0"/>
          <w:numId w:val="21"/>
        </w:numPr>
      </w:pPr>
      <w:r w:rsidRPr="00E048DD">
        <w:rPr>
          <w:b/>
          <w:bCs/>
        </w:rPr>
        <w:t>Education and Training</w:t>
      </w:r>
      <w:r>
        <w:rPr>
          <w:b/>
          <w:bCs/>
        </w:rPr>
        <w:t>:</w:t>
      </w:r>
      <w:r w:rsidRPr="00E048DD">
        <w:t xml:space="preserve"> </w:t>
      </w:r>
      <w:r w:rsidR="00717890">
        <w:t>training strategies, programmes, exercises and simulation tools, e</w:t>
      </w:r>
      <w:r>
        <w:noBreakHyphen/>
      </w:r>
      <w:r w:rsidR="00717890">
        <w:t>learning; and</w:t>
      </w:r>
    </w:p>
    <w:p w14:paraId="1184B045" w14:textId="0F0133EE" w:rsidR="00897F1A" w:rsidRPr="00DC4155" w:rsidRDefault="00EC2981" w:rsidP="00717890">
      <w:pPr>
        <w:pStyle w:val="BodyText"/>
        <w:numPr>
          <w:ilvl w:val="0"/>
          <w:numId w:val="21"/>
        </w:numPr>
      </w:pPr>
      <w:r>
        <w:rPr>
          <w:b/>
          <w:bCs/>
        </w:rPr>
        <w:t>Past Experiences:</w:t>
      </w:r>
      <w:r w:rsidRPr="00E048DD">
        <w:t xml:space="preserve"> </w:t>
      </w:r>
      <w:r w:rsidR="00717890">
        <w:t>past incidents and emergencies, lessons, impacts on EPR.</w:t>
      </w:r>
    </w:p>
    <w:p w14:paraId="27170FC0" w14:textId="68B6131D" w:rsidR="00CA5882" w:rsidRDefault="00717890" w:rsidP="000E4286">
      <w:pPr>
        <w:pStyle w:val="Heading1"/>
      </w:pPr>
      <w:r>
        <w:t>Structur</w:t>
      </w:r>
      <w:r w:rsidR="00CA5882">
        <w:t>e</w:t>
      </w:r>
    </w:p>
    <w:p w14:paraId="50449A92" w14:textId="44708400" w:rsidR="00CA5882" w:rsidRPr="00717890" w:rsidRDefault="00717890" w:rsidP="00F10E64">
      <w:pPr>
        <w:pStyle w:val="BodyText"/>
      </w:pPr>
      <w:r w:rsidRPr="00717890">
        <w:t>The conference will consist of plenary sessions with high-level invited speakers, technical sessions, poster sessions and a number of side events</w:t>
      </w:r>
      <w:r w:rsidR="005B5BD1">
        <w:t>,</w:t>
      </w:r>
      <w:r w:rsidRPr="00717890">
        <w:t xml:space="preserve"> including round table discussions, refresher workshops, </w:t>
      </w:r>
      <w:r w:rsidR="005B5BD1">
        <w:t xml:space="preserve">and </w:t>
      </w:r>
      <w:r w:rsidRPr="00717890">
        <w:t>technical visits to the IAEA’s IEC</w:t>
      </w:r>
      <w:r w:rsidR="005B5BD1">
        <w:t>,</w:t>
      </w:r>
      <w:r w:rsidRPr="00717890">
        <w:t xml:space="preserve"> as well as displays, exhibits and demonstrations of instruments, publications, educational tools and assessment methods and tools. Details will be </w:t>
      </w:r>
      <w:r w:rsidR="005B5BD1">
        <w:t xml:space="preserve">made </w:t>
      </w:r>
      <w:r w:rsidRPr="00717890">
        <w:t>available on the conference web page</w:t>
      </w:r>
      <w:r w:rsidR="005B5BD1">
        <w:t xml:space="preserve"> (see Section </w:t>
      </w:r>
      <w:r w:rsidR="005B5BD1">
        <w:fldChar w:fldCharType="begin"/>
      </w:r>
      <w:r w:rsidR="005B5BD1">
        <w:instrText xml:space="preserve"> REF _Ref400609547 \r \h </w:instrText>
      </w:r>
      <w:r w:rsidR="005B5BD1">
        <w:fldChar w:fldCharType="separate"/>
      </w:r>
      <w:r w:rsidR="00F44AF8">
        <w:t>R</w:t>
      </w:r>
      <w:r w:rsidR="005B5BD1">
        <w:fldChar w:fldCharType="end"/>
      </w:r>
      <w:r w:rsidR="005B5BD1">
        <w:t>)</w:t>
      </w:r>
      <w:r w:rsidRPr="00717890">
        <w:t>.</w:t>
      </w:r>
    </w:p>
    <w:p w14:paraId="35B1BE9C" w14:textId="64831B0A" w:rsidR="00750DF0" w:rsidRPr="001114C8" w:rsidRDefault="00717890" w:rsidP="005B6E72">
      <w:pPr>
        <w:pStyle w:val="Heading1"/>
      </w:pPr>
      <w:r>
        <w:t>Target Audience</w:t>
      </w:r>
    </w:p>
    <w:p w14:paraId="259EF31F" w14:textId="694FC2DA" w:rsidR="005B6E72" w:rsidRPr="003332DA" w:rsidRDefault="00717890" w:rsidP="005B5BD1">
      <w:pPr>
        <w:pStyle w:val="BodyText"/>
      </w:pPr>
      <w:r>
        <w:t xml:space="preserve">The conference is targeted at governmental officials with responsibilities in EPR, experts in EPR as well as in nuclear security matters, representatives of response and operating organizations, emergency responders, public information officers and others </w:t>
      </w:r>
      <w:r w:rsidR="005B5BD1">
        <w:t xml:space="preserve">involved </w:t>
      </w:r>
      <w:r>
        <w:t xml:space="preserve">in EPR for nuclear </w:t>
      </w:r>
      <w:r w:rsidR="005B5BD1">
        <w:t xml:space="preserve">and </w:t>
      </w:r>
      <w:r>
        <w:t>radiological incidents and emergencies.</w:t>
      </w:r>
    </w:p>
    <w:p w14:paraId="45BFFF5D" w14:textId="17A3239B" w:rsidR="00750DF0" w:rsidRPr="001114C8" w:rsidRDefault="00717890" w:rsidP="005B6E72">
      <w:pPr>
        <w:pStyle w:val="Heading1"/>
      </w:pPr>
      <w:r>
        <w:t>Submission of Papers and Presentations</w:t>
      </w:r>
    </w:p>
    <w:p w14:paraId="4627B5DC" w14:textId="491EF26E" w:rsidR="00717890" w:rsidRPr="00BC01A6" w:rsidRDefault="00717890" w:rsidP="005B5BD1">
      <w:pPr>
        <w:pStyle w:val="BodyText"/>
      </w:pPr>
      <w:r>
        <w:t>Any participant wishing to present a paper or poster during this conference must submit a</w:t>
      </w:r>
      <w:r w:rsidR="00F107F2">
        <w:t xml:space="preserve"> synopsis</w:t>
      </w:r>
      <w:r>
        <w:t xml:space="preserve"> of not more than </w:t>
      </w:r>
      <w:r>
        <w:rPr>
          <w:b/>
        </w:rPr>
        <w:t>1000</w:t>
      </w:r>
      <w:r w:rsidRPr="005B7503">
        <w:rPr>
          <w:b/>
        </w:rPr>
        <w:t xml:space="preserve"> words in electronic </w:t>
      </w:r>
      <w:r w:rsidRPr="00076B61">
        <w:rPr>
          <w:b/>
        </w:rPr>
        <w:t>format</w:t>
      </w:r>
      <w:r w:rsidR="00076B61">
        <w:rPr>
          <w:b/>
        </w:rPr>
        <w:t xml:space="preserve"> </w:t>
      </w:r>
      <w:r w:rsidR="00076B61" w:rsidRPr="00076B61">
        <w:t>(maximum 4 pages including all figures and tables)</w:t>
      </w:r>
      <w:r w:rsidR="00076B61">
        <w:rPr>
          <w:b/>
        </w:rPr>
        <w:t xml:space="preserve"> </w:t>
      </w:r>
      <w:r>
        <w:t xml:space="preserve">directly to the IAEA. Instructions on how to prepare and upload the </w:t>
      </w:r>
      <w:r w:rsidR="00F107F2">
        <w:t xml:space="preserve">synopsis </w:t>
      </w:r>
      <w:r>
        <w:t xml:space="preserve">to the conference’s web </w:t>
      </w:r>
      <w:r w:rsidRPr="00BC01A6">
        <w:t xml:space="preserve">browser-based file submission system (IAEA-INDICO) will be available on the </w:t>
      </w:r>
      <w:r>
        <w:t>conference</w:t>
      </w:r>
      <w:r w:rsidRPr="00BC01A6">
        <w:t xml:space="preserve"> web page (see </w:t>
      </w:r>
      <w:r w:rsidR="005B5BD1" w:rsidRPr="00BC01A6">
        <w:t>Section</w:t>
      </w:r>
      <w:r w:rsidR="005B5BD1">
        <w:t> </w:t>
      </w:r>
      <w:r w:rsidR="005B5BD1">
        <w:fldChar w:fldCharType="begin"/>
      </w:r>
      <w:r w:rsidR="005B5BD1">
        <w:instrText xml:space="preserve"> REF _Ref400609547 \r \h </w:instrText>
      </w:r>
      <w:r w:rsidR="005B5BD1">
        <w:fldChar w:fldCharType="separate"/>
      </w:r>
      <w:r w:rsidR="00F44AF8">
        <w:t>R</w:t>
      </w:r>
      <w:r w:rsidR="005B5BD1">
        <w:fldChar w:fldCharType="end"/>
      </w:r>
      <w:r w:rsidRPr="00BC01A6">
        <w:t xml:space="preserve">) as of </w:t>
      </w:r>
      <w:r w:rsidRPr="00E87572">
        <w:t xml:space="preserve">1 </w:t>
      </w:r>
      <w:r>
        <w:t>March</w:t>
      </w:r>
      <w:r w:rsidRPr="00E87572">
        <w:t xml:space="preserve"> 201</w:t>
      </w:r>
      <w:r>
        <w:t>5</w:t>
      </w:r>
      <w:r w:rsidRPr="00BC01A6">
        <w:t xml:space="preserve">. The </w:t>
      </w:r>
      <w:r w:rsidR="00F107F2">
        <w:t>synopses</w:t>
      </w:r>
      <w:r w:rsidR="00F107F2" w:rsidRPr="00BC01A6">
        <w:t xml:space="preserve"> </w:t>
      </w:r>
      <w:r w:rsidRPr="00BC01A6">
        <w:t xml:space="preserve">must be submitted through this system </w:t>
      </w:r>
      <w:r w:rsidRPr="00687041">
        <w:rPr>
          <w:b/>
          <w:bCs/>
        </w:rPr>
        <w:t>between 1</w:t>
      </w:r>
      <w:r>
        <w:rPr>
          <w:b/>
          <w:bCs/>
        </w:rPr>
        <w:t> March</w:t>
      </w:r>
      <w:r w:rsidRPr="00687041">
        <w:rPr>
          <w:b/>
          <w:bCs/>
        </w:rPr>
        <w:t xml:space="preserve"> and 1</w:t>
      </w:r>
      <w:r>
        <w:rPr>
          <w:b/>
          <w:bCs/>
        </w:rPr>
        <w:t>7 April </w:t>
      </w:r>
      <w:r w:rsidRPr="00687041">
        <w:rPr>
          <w:b/>
          <w:bCs/>
        </w:rPr>
        <w:t>201</w:t>
      </w:r>
      <w:r>
        <w:rPr>
          <w:b/>
          <w:bCs/>
        </w:rPr>
        <w:t>5</w:t>
      </w:r>
      <w:r w:rsidRPr="00BC01A6">
        <w:t>. No other form of submission will be accepted.</w:t>
      </w:r>
    </w:p>
    <w:p w14:paraId="7C789C6C" w14:textId="499E4FD1" w:rsidR="00717890" w:rsidRPr="00BC01A6" w:rsidRDefault="00717890" w:rsidP="00F10E64">
      <w:pPr>
        <w:pStyle w:val="BodyText"/>
      </w:pPr>
      <w:r w:rsidRPr="00BC01A6">
        <w:t xml:space="preserve">Authors must further submit the </w:t>
      </w:r>
      <w:r w:rsidRPr="004015A4">
        <w:t>following two</w:t>
      </w:r>
      <w:r w:rsidRPr="00BC01A6">
        <w:t xml:space="preserve"> forms to their appropriate authority (see </w:t>
      </w:r>
      <w:r w:rsidR="005B5BD1" w:rsidRPr="00BC01A6">
        <w:t>Section</w:t>
      </w:r>
      <w:r w:rsidR="005B5BD1">
        <w:t> </w:t>
      </w:r>
      <w:r w:rsidR="005B5BD1">
        <w:fldChar w:fldCharType="begin"/>
      </w:r>
      <w:r w:rsidR="005B5BD1">
        <w:instrText xml:space="preserve"> REF _Ref400609836 \r \h </w:instrText>
      </w:r>
      <w:r w:rsidR="005B5BD1">
        <w:fldChar w:fldCharType="separate"/>
      </w:r>
      <w:r w:rsidR="00F44AF8">
        <w:t>G</w:t>
      </w:r>
      <w:r w:rsidR="005B5BD1">
        <w:fldChar w:fldCharType="end"/>
      </w:r>
      <w:r w:rsidRPr="00BC01A6">
        <w:t xml:space="preserve">) for </w:t>
      </w:r>
      <w:r>
        <w:t xml:space="preserve">official </w:t>
      </w:r>
      <w:r w:rsidRPr="00BC01A6">
        <w:t xml:space="preserve">transmission to the IAEA. These forms must be received by the IAEA no later than </w:t>
      </w:r>
      <w:r w:rsidRPr="00727BB1">
        <w:rPr>
          <w:b/>
          <w:bCs/>
        </w:rPr>
        <w:t>1</w:t>
      </w:r>
      <w:r>
        <w:rPr>
          <w:b/>
          <w:bCs/>
        </w:rPr>
        <w:t>7</w:t>
      </w:r>
      <w:r w:rsidRPr="00727BB1">
        <w:rPr>
          <w:b/>
          <w:bCs/>
        </w:rPr>
        <w:t> </w:t>
      </w:r>
      <w:r>
        <w:rPr>
          <w:b/>
          <w:bCs/>
        </w:rPr>
        <w:t>April</w:t>
      </w:r>
      <w:r w:rsidRPr="00727BB1">
        <w:rPr>
          <w:b/>
          <w:bCs/>
        </w:rPr>
        <w:t> 201</w:t>
      </w:r>
      <w:r>
        <w:rPr>
          <w:b/>
          <w:bCs/>
        </w:rPr>
        <w:t>5</w:t>
      </w:r>
      <w:r w:rsidRPr="00BC01A6">
        <w:t>.</w:t>
      </w:r>
    </w:p>
    <w:p w14:paraId="3A15E3D4" w14:textId="77777777" w:rsidR="00717890" w:rsidRDefault="00717890" w:rsidP="00717890">
      <w:pPr>
        <w:pStyle w:val="BodyText"/>
        <w:numPr>
          <w:ilvl w:val="0"/>
          <w:numId w:val="24"/>
        </w:numPr>
      </w:pPr>
      <w:r w:rsidRPr="00BC01A6">
        <w:t>Participation Form (Form A)</w:t>
      </w:r>
    </w:p>
    <w:p w14:paraId="74D21AF2" w14:textId="77777777" w:rsidR="00717890" w:rsidRDefault="00717890" w:rsidP="00717890">
      <w:pPr>
        <w:pStyle w:val="BodyText"/>
        <w:numPr>
          <w:ilvl w:val="0"/>
          <w:numId w:val="24"/>
        </w:numPr>
      </w:pPr>
      <w:r>
        <w:t>Form for Submission of a Paper (Form B)</w:t>
      </w:r>
    </w:p>
    <w:p w14:paraId="3B60BB70" w14:textId="77777777" w:rsidR="00717890" w:rsidRDefault="00717890" w:rsidP="00717890">
      <w:pPr>
        <w:pStyle w:val="BodyText"/>
      </w:pPr>
      <w:r>
        <w:t>I</w:t>
      </w:r>
      <w:r w:rsidRPr="00BC01A6">
        <w:t xml:space="preserve">f applicable, the Grant Application Form (Form C) </w:t>
      </w:r>
      <w:r>
        <w:t>must be submitted along with Forms A and B.</w:t>
      </w:r>
    </w:p>
    <w:p w14:paraId="09038564" w14:textId="77777777" w:rsidR="00717890" w:rsidRPr="00717890" w:rsidRDefault="00717890" w:rsidP="00717890">
      <w:pPr>
        <w:pStyle w:val="BodyText"/>
        <w:keepNext/>
        <w:rPr>
          <w:b/>
          <w:bCs/>
        </w:rPr>
      </w:pPr>
      <w:r w:rsidRPr="00717890">
        <w:rPr>
          <w:b/>
          <w:bCs/>
        </w:rPr>
        <w:t>Important</w:t>
      </w:r>
    </w:p>
    <w:p w14:paraId="67210EAA" w14:textId="01372602" w:rsidR="00717890" w:rsidRDefault="00717890" w:rsidP="00F10E64">
      <w:pPr>
        <w:pStyle w:val="BodyText"/>
      </w:pPr>
      <w:r>
        <w:t xml:space="preserve">The electronically received </w:t>
      </w:r>
      <w:r w:rsidR="00F107F2">
        <w:t xml:space="preserve">papers </w:t>
      </w:r>
      <w:r>
        <w:t>will be considered by the International Conference Programme Committee</w:t>
      </w:r>
      <w:r w:rsidR="000D3E7F">
        <w:t xml:space="preserve"> (ICPC)</w:t>
      </w:r>
      <w:r>
        <w:t xml:space="preserve"> only if these two forms have been received by the IAEA through the established official channel</w:t>
      </w:r>
      <w:r w:rsidR="007F18F8">
        <w:t>s</w:t>
      </w:r>
      <w:r>
        <w:t xml:space="preserve"> (see </w:t>
      </w:r>
      <w:r w:rsidR="00F10E64" w:rsidRPr="00C53B3A">
        <w:t>Section</w:t>
      </w:r>
      <w:r w:rsidR="00F10E64">
        <w:t> </w:t>
      </w:r>
      <w:r w:rsidR="00F10E64">
        <w:fldChar w:fldCharType="begin"/>
      </w:r>
      <w:r w:rsidR="00F10E64">
        <w:instrText xml:space="preserve"> REF _Ref400609836 \r \h </w:instrText>
      </w:r>
      <w:r w:rsidR="00F10E64">
        <w:fldChar w:fldCharType="separate"/>
      </w:r>
      <w:r w:rsidR="00F44AF8">
        <w:t>G</w:t>
      </w:r>
      <w:r w:rsidR="00F10E64">
        <w:fldChar w:fldCharType="end"/>
      </w:r>
      <w:r>
        <w:t>).</w:t>
      </w:r>
    </w:p>
    <w:p w14:paraId="7A3C7894" w14:textId="3BB9CB0E" w:rsidR="00717890" w:rsidRPr="00717890" w:rsidRDefault="00717890" w:rsidP="00717890">
      <w:pPr>
        <w:pStyle w:val="BodyText"/>
        <w:keepNext/>
        <w:rPr>
          <w:b/>
          <w:bCs/>
        </w:rPr>
      </w:pPr>
      <w:r w:rsidRPr="00717890">
        <w:rPr>
          <w:b/>
          <w:bCs/>
        </w:rPr>
        <w:t xml:space="preserve">Acceptance of </w:t>
      </w:r>
      <w:r w:rsidR="00F107F2">
        <w:rPr>
          <w:b/>
          <w:bCs/>
        </w:rPr>
        <w:t>Papers</w:t>
      </w:r>
    </w:p>
    <w:p w14:paraId="7CEACA63" w14:textId="2D3283C2" w:rsidR="00717890" w:rsidRPr="008E50CD" w:rsidRDefault="00717890" w:rsidP="00717890">
      <w:pPr>
        <w:pStyle w:val="BodyText"/>
      </w:pPr>
      <w:r w:rsidRPr="008E50CD">
        <w:t xml:space="preserve">Authors will be notified via email by </w:t>
      </w:r>
      <w:r>
        <w:rPr>
          <w:b/>
        </w:rPr>
        <w:t>26 June </w:t>
      </w:r>
      <w:r w:rsidRPr="008E50CD">
        <w:rPr>
          <w:b/>
        </w:rPr>
        <w:t>201</w:t>
      </w:r>
      <w:r>
        <w:rPr>
          <w:b/>
        </w:rPr>
        <w:t>5</w:t>
      </w:r>
      <w:r w:rsidRPr="008E50CD">
        <w:t xml:space="preserve"> as to whether, on the basis of the electronically received </w:t>
      </w:r>
      <w:r w:rsidR="00F107F2">
        <w:t>papers</w:t>
      </w:r>
      <w:r w:rsidRPr="008E50CD">
        <w:t xml:space="preserve">, their </w:t>
      </w:r>
      <w:r>
        <w:t>contributions</w:t>
      </w:r>
      <w:r w:rsidRPr="008E50CD">
        <w:t xml:space="preserve"> have been accepted for oral or poster presentation.</w:t>
      </w:r>
    </w:p>
    <w:p w14:paraId="56632522" w14:textId="77777777" w:rsidR="00717890" w:rsidRPr="00717890" w:rsidRDefault="00717890" w:rsidP="00717890">
      <w:pPr>
        <w:pStyle w:val="BodyText"/>
        <w:keepNext/>
        <w:rPr>
          <w:b/>
          <w:bCs/>
        </w:rPr>
      </w:pPr>
      <w:r w:rsidRPr="00717890">
        <w:rPr>
          <w:b/>
          <w:bCs/>
        </w:rPr>
        <w:t>Submission of Presentations</w:t>
      </w:r>
    </w:p>
    <w:p w14:paraId="6837EEA2" w14:textId="2DA177DD" w:rsidR="00BF68CA" w:rsidRPr="003332DA" w:rsidRDefault="00717890" w:rsidP="00717890">
      <w:pPr>
        <w:pStyle w:val="BodyText"/>
      </w:pPr>
      <w:r>
        <w:t>Presentations</w:t>
      </w:r>
      <w:r w:rsidRPr="008E50CD">
        <w:t xml:space="preserve"> must be submitted through the IAEA-INDICO file submission system. Specifications for the layout and electronic format of the </w:t>
      </w:r>
      <w:r>
        <w:t>presentations</w:t>
      </w:r>
      <w:r w:rsidRPr="008E50CD">
        <w:t xml:space="preserve"> and for the preparation of posters will be made available on the </w:t>
      </w:r>
      <w:r>
        <w:t>conference</w:t>
      </w:r>
      <w:r w:rsidRPr="008E50CD">
        <w:t xml:space="preserve"> web page by </w:t>
      </w:r>
      <w:r>
        <w:t>June</w:t>
      </w:r>
      <w:r w:rsidRPr="008E50CD">
        <w:t xml:space="preserve"> 201</w:t>
      </w:r>
      <w:r>
        <w:t>5</w:t>
      </w:r>
      <w:r w:rsidRPr="008E50CD">
        <w:t xml:space="preserve">. The IAEA-INDICO platform will be reopened for submission of </w:t>
      </w:r>
      <w:r>
        <w:t>presentations</w:t>
      </w:r>
      <w:r w:rsidRPr="008E50CD">
        <w:t xml:space="preserve"> as of </w:t>
      </w:r>
      <w:r>
        <w:rPr>
          <w:b/>
        </w:rPr>
        <w:t>21 September </w:t>
      </w:r>
      <w:r w:rsidRPr="008E50CD">
        <w:rPr>
          <w:b/>
        </w:rPr>
        <w:t>201</w:t>
      </w:r>
      <w:r>
        <w:rPr>
          <w:b/>
        </w:rPr>
        <w:t>5</w:t>
      </w:r>
      <w:r w:rsidRPr="008E50CD">
        <w:rPr>
          <w:bCs/>
        </w:rPr>
        <w:t>.</w:t>
      </w:r>
      <w:r w:rsidRPr="008E50CD">
        <w:t xml:space="preserve"> The deadline for submission of </w:t>
      </w:r>
      <w:r>
        <w:t>presentations</w:t>
      </w:r>
      <w:r w:rsidRPr="008E50CD">
        <w:t xml:space="preserve"> is </w:t>
      </w:r>
      <w:r>
        <w:rPr>
          <w:b/>
          <w:bCs/>
        </w:rPr>
        <w:t>1</w:t>
      </w:r>
      <w:r w:rsidR="00F23066">
        <w:rPr>
          <w:b/>
          <w:bCs/>
        </w:rPr>
        <w:t>6</w:t>
      </w:r>
      <w:r w:rsidRPr="008E50CD">
        <w:rPr>
          <w:b/>
          <w:bCs/>
        </w:rPr>
        <w:t> </w:t>
      </w:r>
      <w:r>
        <w:rPr>
          <w:b/>
          <w:bCs/>
        </w:rPr>
        <w:t>October</w:t>
      </w:r>
      <w:r w:rsidRPr="008E50CD">
        <w:rPr>
          <w:b/>
          <w:bCs/>
        </w:rPr>
        <w:t> 201</w:t>
      </w:r>
      <w:r>
        <w:rPr>
          <w:b/>
          <w:bCs/>
        </w:rPr>
        <w:t>5</w:t>
      </w:r>
      <w:r w:rsidRPr="008E50CD">
        <w:t>.</w:t>
      </w:r>
    </w:p>
    <w:p w14:paraId="52EC5FC8" w14:textId="638EB29F" w:rsidR="00750DF0" w:rsidRPr="001114C8" w:rsidRDefault="00717890" w:rsidP="005B6E72">
      <w:pPr>
        <w:pStyle w:val="Heading1"/>
      </w:pPr>
      <w:bookmarkStart w:id="0" w:name="_Ref400609836"/>
      <w:r>
        <w:t>Participation and Registration</w:t>
      </w:r>
      <w:bookmarkEnd w:id="0"/>
    </w:p>
    <w:p w14:paraId="379161B6" w14:textId="42A4D3F2" w:rsidR="00717890" w:rsidRPr="000F5BEA" w:rsidRDefault="00717890" w:rsidP="00F10E64">
      <w:pPr>
        <w:pStyle w:val="BodyText"/>
      </w:pPr>
      <w:r w:rsidRPr="000F5BEA">
        <w:t>All persons wishing to participate in the conference are requested to register online in advance through the conference web page (see Section</w:t>
      </w:r>
      <w:r w:rsidR="00F10E64">
        <w:t> </w:t>
      </w:r>
      <w:r w:rsidR="00F10E64">
        <w:fldChar w:fldCharType="begin"/>
      </w:r>
      <w:r w:rsidR="00F10E64">
        <w:instrText xml:space="preserve"> REF _Ref400609547 \r \h </w:instrText>
      </w:r>
      <w:r w:rsidR="00F10E64">
        <w:fldChar w:fldCharType="separate"/>
      </w:r>
      <w:r w:rsidR="00F44AF8">
        <w:t>R</w:t>
      </w:r>
      <w:r w:rsidR="00F10E64">
        <w:fldChar w:fldCharType="end"/>
      </w:r>
      <w:r w:rsidRPr="000F5BEA">
        <w:t xml:space="preserve">). In addition, they are required to send a completed Participation Form (Form A) and, if applicable, the Form for Submission of a Paper (Form B) and the Grant Application Form (Form C) to their appropriate authority (see </w:t>
      </w:r>
      <w:r w:rsidR="00F10E64" w:rsidRPr="000F5BEA">
        <w:t>Section</w:t>
      </w:r>
      <w:r w:rsidR="00F10E64">
        <w:t> </w:t>
      </w:r>
      <w:r w:rsidR="00F10E64">
        <w:fldChar w:fldCharType="begin"/>
      </w:r>
      <w:r w:rsidR="00F10E64">
        <w:instrText xml:space="preserve"> REF _Ref400610801 \r \h </w:instrText>
      </w:r>
      <w:r w:rsidR="00F10E64">
        <w:fldChar w:fldCharType="separate"/>
      </w:r>
      <w:r w:rsidR="00F44AF8">
        <w:t>H</w:t>
      </w:r>
      <w:r w:rsidR="00F10E64">
        <w:fldChar w:fldCharType="end"/>
      </w:r>
      <w:r w:rsidRPr="000F5BEA">
        <w:t>) for subsequent official transmission to the IAEA.</w:t>
      </w:r>
    </w:p>
    <w:p w14:paraId="5F5E425B" w14:textId="4863BF05" w:rsidR="00717890" w:rsidRPr="00D344DE" w:rsidRDefault="00717890" w:rsidP="00F10E64">
      <w:pPr>
        <w:pStyle w:val="BodyText"/>
      </w:pPr>
      <w:r w:rsidRPr="00D344DE">
        <w:t xml:space="preserve">A participant will be accepted only if the Participation Form is transmitted through the </w:t>
      </w:r>
      <w:r w:rsidR="00F10E64">
        <w:t>G</w:t>
      </w:r>
      <w:r w:rsidRPr="00D344DE">
        <w:t>overnment of a</w:t>
      </w:r>
      <w:r w:rsidRPr="000F5BEA">
        <w:t xml:space="preserve"> </w:t>
      </w:r>
      <w:r w:rsidRPr="00D344DE">
        <w:t>State or by an organization invited to participate.</w:t>
      </w:r>
    </w:p>
    <w:p w14:paraId="5B3E116C" w14:textId="436C78A2" w:rsidR="003332DA" w:rsidRDefault="00717890" w:rsidP="00F10E64">
      <w:pPr>
        <w:pStyle w:val="BodyText"/>
      </w:pPr>
      <w:r w:rsidRPr="00D344DE">
        <w:t xml:space="preserve">Participants whose official designations have been received by the IAEA will be sent further information on the </w:t>
      </w:r>
      <w:r w:rsidRPr="000F5BEA">
        <w:t>conference</w:t>
      </w:r>
      <w:r w:rsidRPr="00D344DE">
        <w:t xml:space="preserve"> at least three months before the opening. This information will also be made available on the </w:t>
      </w:r>
      <w:r w:rsidRPr="000F5BEA">
        <w:t>conference</w:t>
      </w:r>
      <w:r w:rsidRPr="00D344DE">
        <w:t xml:space="preserve"> web page</w:t>
      </w:r>
      <w:r w:rsidR="00F10E64">
        <w:t xml:space="preserve"> (see Section </w:t>
      </w:r>
      <w:r w:rsidR="00F10E64">
        <w:fldChar w:fldCharType="begin"/>
      </w:r>
      <w:r w:rsidR="00F10E64">
        <w:instrText xml:space="preserve"> REF _Ref400609547 \r \h </w:instrText>
      </w:r>
      <w:r w:rsidR="00F10E64">
        <w:fldChar w:fldCharType="separate"/>
      </w:r>
      <w:r w:rsidR="00F44AF8">
        <w:t>R</w:t>
      </w:r>
      <w:r w:rsidR="00F10E64">
        <w:fldChar w:fldCharType="end"/>
      </w:r>
      <w:r w:rsidR="00F10E64">
        <w:t>)</w:t>
      </w:r>
      <w:r w:rsidRPr="00D344DE">
        <w:t>.</w:t>
      </w:r>
    </w:p>
    <w:p w14:paraId="4838A2DD" w14:textId="7A56B672" w:rsidR="00E77634" w:rsidRDefault="00717890" w:rsidP="000E4286">
      <w:pPr>
        <w:pStyle w:val="Heading1"/>
        <w:rPr>
          <w:lang w:eastAsia="en-GB"/>
        </w:rPr>
      </w:pPr>
      <w:bookmarkStart w:id="1" w:name="_Ref400610801"/>
      <w:r>
        <w:rPr>
          <w:lang w:eastAsia="en-GB"/>
        </w:rPr>
        <w:t>Channels of Communication</w:t>
      </w:r>
      <w:bookmarkEnd w:id="1"/>
    </w:p>
    <w:p w14:paraId="7135B518" w14:textId="1DACBF27" w:rsidR="006117D0" w:rsidRDefault="00717890" w:rsidP="0034739F">
      <w:pPr>
        <w:pStyle w:val="BodyText"/>
      </w:pPr>
      <w:r w:rsidRPr="00D344DE">
        <w:t>The Participation Form</w:t>
      </w:r>
      <w:r w:rsidR="00F10E64">
        <w:t xml:space="preserve"> (Form A)</w:t>
      </w:r>
      <w:r w:rsidRPr="00D344DE">
        <w:t xml:space="preserve"> and, as applicable, the Form for Submission of a Paper</w:t>
      </w:r>
      <w:r w:rsidR="00F10E64">
        <w:t xml:space="preserve"> (Form B)</w:t>
      </w:r>
      <w:r w:rsidRPr="00D344DE">
        <w:t>, and the Grant Application Form</w:t>
      </w:r>
      <w:r w:rsidR="00F10E64">
        <w:t xml:space="preserve"> (Form C)</w:t>
      </w:r>
      <w:r w:rsidRPr="00D344DE">
        <w:t>, should be sent to one of the official authorities for subsequent transmission to the IAEA.</w:t>
      </w:r>
      <w:r w:rsidRPr="007D31F5">
        <w:t xml:space="preserve"> </w:t>
      </w:r>
      <w:r>
        <w:t>In most cases these are Ministr</w:t>
      </w:r>
      <w:r w:rsidR="00F10E64">
        <w:t>ies</w:t>
      </w:r>
      <w:r>
        <w:t xml:space="preserve"> of Foreign Affairs or competent authorities identified under the Early Notification and </w:t>
      </w:r>
      <w:r w:rsidR="00F10E64">
        <w:t xml:space="preserve">Assistance </w:t>
      </w:r>
      <w:r>
        <w:t>Convention</w:t>
      </w:r>
      <w:r w:rsidR="0034739F">
        <w:t>s</w:t>
      </w:r>
      <w:r>
        <w:t xml:space="preserve">. Participants from </w:t>
      </w:r>
      <w:r w:rsidR="00F10E64">
        <w:t xml:space="preserve">invited </w:t>
      </w:r>
      <w:r>
        <w:t>organizations can submit forms to their organizations for subsequent transmission to the IAEA.</w:t>
      </w:r>
    </w:p>
    <w:p w14:paraId="501A8D3D" w14:textId="64641667" w:rsidR="00750DF0" w:rsidRPr="001114C8" w:rsidRDefault="00750DF0" w:rsidP="000E4286">
      <w:pPr>
        <w:pStyle w:val="Heading1"/>
      </w:pPr>
      <w:r w:rsidRPr="001114C8">
        <w:t>Expenditures</w:t>
      </w:r>
      <w:r w:rsidR="00741925">
        <w:t xml:space="preserve"> and Grants</w:t>
      </w:r>
    </w:p>
    <w:p w14:paraId="1F9D3CD6" w14:textId="77777777" w:rsidR="00717890" w:rsidRPr="00D62BDD" w:rsidRDefault="00717890" w:rsidP="00717890">
      <w:pPr>
        <w:pStyle w:val="BodyText"/>
      </w:pPr>
      <w:r w:rsidRPr="00D62BDD">
        <w:t>No registration fee is charged to participants.</w:t>
      </w:r>
    </w:p>
    <w:p w14:paraId="6E33A78B" w14:textId="2602DE23" w:rsidR="00717890" w:rsidRPr="00D62BDD" w:rsidRDefault="00717890" w:rsidP="00F10E64">
      <w:pPr>
        <w:pStyle w:val="BodyText"/>
      </w:pPr>
      <w:r w:rsidRPr="00D62BDD">
        <w:t>The IAEA is generally not in a position to bear the travel and other costs of participants</w:t>
      </w:r>
      <w:r w:rsidR="00F10E64">
        <w:t xml:space="preserve"> in the conference</w:t>
      </w:r>
      <w:r w:rsidRPr="00D62BDD">
        <w:t xml:space="preserve">. The IAEA has, however, limited funds at its disposal to help meet the cost of attendance of </w:t>
      </w:r>
      <w:r w:rsidR="00F10E64">
        <w:t>certain participants</w:t>
      </w:r>
      <w:r w:rsidRPr="00D62BDD">
        <w:t xml:space="preserve">. Such assistance may be offered upon specific request to normally one participant per country provided that, in the IAEA’s view, the participant on whose behalf assistance is requested will make an important contribution to the </w:t>
      </w:r>
      <w:r>
        <w:t>conference</w:t>
      </w:r>
      <w:r w:rsidRPr="00D62BDD">
        <w:t>.</w:t>
      </w:r>
    </w:p>
    <w:p w14:paraId="4EAF7C7A" w14:textId="47461E4E" w:rsidR="00717890" w:rsidRPr="00D62BDD" w:rsidRDefault="00717890" w:rsidP="00F10E64">
      <w:pPr>
        <w:pStyle w:val="BodyText"/>
      </w:pPr>
      <w:r w:rsidRPr="00D62BDD">
        <w:t xml:space="preserve">If </w:t>
      </w:r>
      <w:r w:rsidR="00F10E64">
        <w:t>G</w:t>
      </w:r>
      <w:r w:rsidRPr="00D62BDD">
        <w:t>overnments wish to apply for a grant on behalf of one of their specialists, they should address specific requests to the IAEA to this effect. Governments should ensure that applications for grants are:</w:t>
      </w:r>
    </w:p>
    <w:p w14:paraId="3D472D43" w14:textId="77777777" w:rsidR="00717890" w:rsidRPr="00D62BDD" w:rsidRDefault="00717890" w:rsidP="00717890">
      <w:pPr>
        <w:pStyle w:val="BodyText"/>
        <w:numPr>
          <w:ilvl w:val="0"/>
          <w:numId w:val="26"/>
        </w:numPr>
      </w:pPr>
      <w:r w:rsidRPr="00D62BDD">
        <w:t xml:space="preserve">Submitted by </w:t>
      </w:r>
      <w:r w:rsidRPr="00D62BDD">
        <w:rPr>
          <w:b/>
          <w:color w:val="000000"/>
        </w:rPr>
        <w:t>1</w:t>
      </w:r>
      <w:r>
        <w:rPr>
          <w:b/>
          <w:color w:val="000000"/>
        </w:rPr>
        <w:t>7 April </w:t>
      </w:r>
      <w:r w:rsidRPr="00D62BDD">
        <w:rPr>
          <w:b/>
          <w:color w:val="000000"/>
        </w:rPr>
        <w:t>201</w:t>
      </w:r>
      <w:r>
        <w:rPr>
          <w:b/>
          <w:color w:val="000000"/>
        </w:rPr>
        <w:t>5</w:t>
      </w:r>
      <w:r w:rsidRPr="00D62BDD">
        <w:t>;</w:t>
      </w:r>
    </w:p>
    <w:p w14:paraId="6EA02E1E" w14:textId="77777777" w:rsidR="00717890" w:rsidRPr="00D62BDD" w:rsidRDefault="00717890" w:rsidP="00717890">
      <w:pPr>
        <w:pStyle w:val="BodyText"/>
        <w:numPr>
          <w:ilvl w:val="0"/>
          <w:numId w:val="26"/>
        </w:numPr>
      </w:pPr>
      <w:r w:rsidRPr="00D62BDD">
        <w:t>Accompanied by a duly completed and signed Grant Application Form (Form C);</w:t>
      </w:r>
      <w:r>
        <w:t xml:space="preserve"> and</w:t>
      </w:r>
    </w:p>
    <w:p w14:paraId="12161961" w14:textId="77777777" w:rsidR="00717890" w:rsidRPr="00D62BDD" w:rsidRDefault="00717890" w:rsidP="00717890">
      <w:pPr>
        <w:pStyle w:val="BodyText"/>
        <w:numPr>
          <w:ilvl w:val="0"/>
          <w:numId w:val="26"/>
        </w:numPr>
      </w:pPr>
      <w:r w:rsidRPr="00D62BDD">
        <w:t>Accompanied by a completed Participation Form (Form A).</w:t>
      </w:r>
    </w:p>
    <w:p w14:paraId="74D8680A" w14:textId="77777777" w:rsidR="00717890" w:rsidRPr="00D62BDD" w:rsidRDefault="00717890" w:rsidP="00717890">
      <w:pPr>
        <w:pStyle w:val="BodyText"/>
      </w:pPr>
      <w:r w:rsidRPr="00D62BDD">
        <w:t>Applications that do not comply with the above conditions cannot be considered.</w:t>
      </w:r>
    </w:p>
    <w:p w14:paraId="3254F098" w14:textId="2D1C449D" w:rsidR="00E379C7" w:rsidRDefault="00717890" w:rsidP="00717890">
      <w:pPr>
        <w:pStyle w:val="BodyText"/>
        <w:rPr>
          <w:color w:val="000000"/>
          <w:szCs w:val="22"/>
          <w:lang w:eastAsia="en-GB"/>
        </w:rPr>
      </w:pPr>
      <w:r w:rsidRPr="00D62BDD">
        <w:t xml:space="preserve">Approved grants will be issued in the form of a lump sum payment that usually covers </w:t>
      </w:r>
      <w:r w:rsidRPr="00D62BDD">
        <w:rPr>
          <w:b/>
        </w:rPr>
        <w:t>only part of the cost of attendance</w:t>
      </w:r>
      <w:r w:rsidRPr="00D62BDD">
        <w:t>.</w:t>
      </w:r>
    </w:p>
    <w:p w14:paraId="7FAFF6F4" w14:textId="26891149" w:rsidR="005E28D8" w:rsidRPr="001114C8" w:rsidRDefault="00717890" w:rsidP="000E4286">
      <w:pPr>
        <w:pStyle w:val="Heading1"/>
      </w:pPr>
      <w:r>
        <w:t>Working Language</w:t>
      </w:r>
    </w:p>
    <w:p w14:paraId="243A82C8" w14:textId="05F58651" w:rsidR="008F3152" w:rsidRDefault="00717890" w:rsidP="00717890">
      <w:pPr>
        <w:pStyle w:val="BodyText"/>
        <w:rPr>
          <w:b/>
          <w:bCs/>
          <w:color w:val="000000"/>
          <w:szCs w:val="22"/>
          <w:lang w:eastAsia="en-GB"/>
        </w:rPr>
      </w:pPr>
      <w:r w:rsidRPr="005F2179">
        <w:t xml:space="preserve">The working language </w:t>
      </w:r>
      <w:r>
        <w:t xml:space="preserve">of the conference </w:t>
      </w:r>
      <w:r w:rsidRPr="005F2179">
        <w:t>will be English.</w:t>
      </w:r>
      <w:r>
        <w:t xml:space="preserve"> All communications, </w:t>
      </w:r>
      <w:r w:rsidR="00F107F2">
        <w:t>papers</w:t>
      </w:r>
      <w:r>
        <w:t>, presentations and posters must be in English.</w:t>
      </w:r>
    </w:p>
    <w:p w14:paraId="49B65520" w14:textId="7E5EE241" w:rsidR="00750DF0" w:rsidRPr="001114C8" w:rsidRDefault="00750DF0" w:rsidP="00717890">
      <w:pPr>
        <w:pStyle w:val="Heading1"/>
      </w:pPr>
      <w:r w:rsidRPr="001114C8">
        <w:t>V</w:t>
      </w:r>
      <w:r w:rsidR="00717890">
        <w:t>enue and Accommodation</w:t>
      </w:r>
    </w:p>
    <w:p w14:paraId="45088117" w14:textId="77777777" w:rsidR="00717890" w:rsidRDefault="00717890" w:rsidP="00717890">
      <w:pPr>
        <w:pStyle w:val="BodyText"/>
      </w:pPr>
      <w:r>
        <w:t>The conference will be held at the IAEA’s Headquarters in Vienna, Austria. Participants must make their own travel and accommodation arrangements.</w:t>
      </w:r>
    </w:p>
    <w:p w14:paraId="588682D0" w14:textId="332BE5D7" w:rsidR="00F342E2" w:rsidRPr="001114C8" w:rsidRDefault="00717890" w:rsidP="00F10E64">
      <w:pPr>
        <w:pStyle w:val="BodyText"/>
        <w:rPr>
          <w:color w:val="000000"/>
          <w:szCs w:val="22"/>
          <w:lang w:eastAsia="en-GB"/>
        </w:rPr>
      </w:pPr>
      <w:r w:rsidRPr="00A94D23">
        <w:t xml:space="preserve">Detailed information on accommodation and other </w:t>
      </w:r>
      <w:r>
        <w:t xml:space="preserve">relevant matters </w:t>
      </w:r>
      <w:r w:rsidRPr="00A94D23">
        <w:t xml:space="preserve">will be made available on the </w:t>
      </w:r>
      <w:r>
        <w:t>conference</w:t>
      </w:r>
      <w:r w:rsidRPr="00A94D23">
        <w:t xml:space="preserve"> web page </w:t>
      </w:r>
      <w:r>
        <w:t xml:space="preserve">(see </w:t>
      </w:r>
      <w:r w:rsidR="00F10E64">
        <w:t>Section </w:t>
      </w:r>
      <w:r w:rsidR="00F10E64">
        <w:fldChar w:fldCharType="begin"/>
      </w:r>
      <w:r w:rsidR="00F10E64">
        <w:instrText xml:space="preserve"> REF _Ref400609547 \r \h </w:instrText>
      </w:r>
      <w:r w:rsidR="00F10E64">
        <w:fldChar w:fldCharType="separate"/>
      </w:r>
      <w:r w:rsidR="00F44AF8">
        <w:t>R</w:t>
      </w:r>
      <w:r w:rsidR="00F10E64">
        <w:fldChar w:fldCharType="end"/>
      </w:r>
      <w:r>
        <w:t xml:space="preserve">) </w:t>
      </w:r>
      <w:r w:rsidRPr="00A94D23">
        <w:t xml:space="preserve">well in advance of the </w:t>
      </w:r>
      <w:r>
        <w:t>conference</w:t>
      </w:r>
      <w:r w:rsidRPr="00A94D23">
        <w:t>.</w:t>
      </w:r>
    </w:p>
    <w:p w14:paraId="131B8CE5" w14:textId="70BB33B1" w:rsidR="00717890" w:rsidRDefault="00717890">
      <w:pPr>
        <w:pStyle w:val="Heading1"/>
      </w:pPr>
      <w:bookmarkStart w:id="2" w:name="_Ref372124895"/>
      <w:r>
        <w:t>Distribution of Documents</w:t>
      </w:r>
    </w:p>
    <w:p w14:paraId="38114B68" w14:textId="1B1B7A70" w:rsidR="00717890" w:rsidRPr="0013516E" w:rsidRDefault="00717890" w:rsidP="00F10E64">
      <w:pPr>
        <w:pStyle w:val="BodyText"/>
      </w:pPr>
      <w:r w:rsidRPr="0013516E">
        <w:t xml:space="preserve">The </w:t>
      </w:r>
      <w:r>
        <w:t xml:space="preserve">conference </w:t>
      </w:r>
      <w:r w:rsidRPr="0013516E">
        <w:t xml:space="preserve">programme and the Book of </w:t>
      </w:r>
      <w:r w:rsidR="00F107F2">
        <w:t>Synopsis</w:t>
      </w:r>
      <w:r w:rsidRPr="0013516E">
        <w:t xml:space="preserve"> will be</w:t>
      </w:r>
      <w:r w:rsidR="00076B61">
        <w:t xml:space="preserve"> </w:t>
      </w:r>
      <w:r w:rsidR="00076B61" w:rsidRPr="00EF0C42">
        <w:t>provided</w:t>
      </w:r>
      <w:r w:rsidRPr="0013516E">
        <w:t xml:space="preserve"> free of charge </w:t>
      </w:r>
      <w:r>
        <w:t>upon registration at</w:t>
      </w:r>
      <w:r w:rsidRPr="0013516E">
        <w:t xml:space="preserve"> the </w:t>
      </w:r>
      <w:r>
        <w:t xml:space="preserve">conference. </w:t>
      </w:r>
      <w:r w:rsidR="00191DBD">
        <w:t>The conference programme will</w:t>
      </w:r>
      <w:r>
        <w:t xml:space="preserve"> also be available</w:t>
      </w:r>
      <w:r w:rsidR="00076B61">
        <w:t xml:space="preserve"> </w:t>
      </w:r>
      <w:r w:rsidR="00076B61" w:rsidRPr="00EF0C42">
        <w:t>to download</w:t>
      </w:r>
      <w:r w:rsidR="00076B61">
        <w:t xml:space="preserve"> </w:t>
      </w:r>
      <w:r w:rsidRPr="0013516E">
        <w:t xml:space="preserve">from </w:t>
      </w:r>
      <w:r>
        <w:t xml:space="preserve">the conference </w:t>
      </w:r>
      <w:r w:rsidRPr="0013516E">
        <w:t>web page</w:t>
      </w:r>
      <w:r w:rsidR="00F10E64">
        <w:t xml:space="preserve"> (see Section </w:t>
      </w:r>
      <w:r w:rsidR="00F10E64">
        <w:fldChar w:fldCharType="begin"/>
      </w:r>
      <w:r w:rsidR="00F10E64">
        <w:instrText xml:space="preserve"> REF _Ref400609547 \r \h </w:instrText>
      </w:r>
      <w:r w:rsidR="00F10E64">
        <w:fldChar w:fldCharType="separate"/>
      </w:r>
      <w:r w:rsidR="00F44AF8">
        <w:t>R</w:t>
      </w:r>
      <w:r w:rsidR="00F10E64">
        <w:fldChar w:fldCharType="end"/>
      </w:r>
      <w:r w:rsidR="00F10E64">
        <w:t>)</w:t>
      </w:r>
      <w:r w:rsidRPr="0013516E">
        <w:t>.</w:t>
      </w:r>
    </w:p>
    <w:p w14:paraId="58BB1166" w14:textId="65AE04E7" w:rsidR="00717890" w:rsidRPr="00717890" w:rsidRDefault="00717890" w:rsidP="00717890">
      <w:pPr>
        <w:pStyle w:val="BodyText"/>
      </w:pPr>
      <w:r w:rsidRPr="0013516E">
        <w:t xml:space="preserve">Subject to availability and author consent, PDF files of the </w:t>
      </w:r>
      <w:r>
        <w:t>conference</w:t>
      </w:r>
      <w:r w:rsidRPr="0013516E">
        <w:t xml:space="preserve"> presentations </w:t>
      </w:r>
      <w:r w:rsidR="00F107F2">
        <w:t xml:space="preserve">and posters </w:t>
      </w:r>
      <w:r w:rsidRPr="0013516E">
        <w:t xml:space="preserve">will be made available </w:t>
      </w:r>
      <w:r>
        <w:t xml:space="preserve">at </w:t>
      </w:r>
      <w:r w:rsidRPr="0013516E">
        <w:t xml:space="preserve">the </w:t>
      </w:r>
      <w:r>
        <w:t>conference</w:t>
      </w:r>
      <w:r w:rsidRPr="0013516E">
        <w:t xml:space="preserve"> web page.</w:t>
      </w:r>
    </w:p>
    <w:p w14:paraId="69B274C7" w14:textId="7E36F824" w:rsidR="00717890" w:rsidRDefault="00717890">
      <w:pPr>
        <w:pStyle w:val="Heading1"/>
      </w:pPr>
      <w:r>
        <w:t>Visas</w:t>
      </w:r>
      <w:bookmarkStart w:id="3" w:name="_GoBack"/>
      <w:bookmarkEnd w:id="3"/>
    </w:p>
    <w:p w14:paraId="1DDA74F7" w14:textId="51932780" w:rsidR="00717890" w:rsidRPr="00717890" w:rsidRDefault="00717890" w:rsidP="00717890">
      <w:pPr>
        <w:pStyle w:val="BodyText"/>
      </w:pPr>
      <w:r>
        <w:t xml:space="preserve">Designated participants who require a visa to enter Austria should submit the necessary application to the nearest diplomatic or consular representative of Austria at least four weeks before entry into Austria. Please note that </w:t>
      </w:r>
      <w:smartTag w:uri="urn:schemas-microsoft-com:office:smarttags" w:element="country-region">
        <w:r>
          <w:t>Austria</w:t>
        </w:r>
      </w:smartTag>
      <w:r>
        <w:t xml:space="preserve"> is a </w:t>
      </w:r>
      <w:smartTag w:uri="urn:schemas-microsoft-com:office:smarttags" w:element="place">
        <w:smartTag w:uri="urn:schemas-microsoft-com:office:smarttags" w:element="PlaceName">
          <w:r>
            <w:t>Schengen</w:t>
          </w:r>
        </w:smartTag>
        <w:r>
          <w:t xml:space="preserve"> </w:t>
        </w:r>
        <w:smartTag w:uri="urn:schemas-microsoft-com:office:smarttags" w:element="PlaceType">
          <w:r>
            <w:t>State</w:t>
          </w:r>
        </w:smartTag>
      </w:smartTag>
      <w:r>
        <w:t xml:space="preserve"> and therefore persons who require a visa will have to apply for a Schengen visa. In States where </w:t>
      </w:r>
      <w:smartTag w:uri="urn:schemas-microsoft-com:office:smarttags" w:element="country-region">
        <w:r>
          <w:t>Austria</w:t>
        </w:r>
      </w:smartTag>
      <w:r>
        <w:t xml:space="preserve"> has no diplomatic mission, visas can be obtained from the consular authority of a </w:t>
      </w:r>
      <w:smartTag w:uri="urn:schemas-microsoft-com:office:smarttags" w:element="PlaceName">
        <w:r>
          <w:t>Schengen</w:t>
        </w:r>
      </w:smartTag>
      <w:r>
        <w:t xml:space="preserve"> </w:t>
      </w:r>
      <w:smartTag w:uri="urn:schemas-microsoft-com:office:smarttags" w:element="PlaceName">
        <w:r>
          <w:t>Partner</w:t>
        </w:r>
      </w:smartTag>
      <w:r>
        <w:t xml:space="preserve"> </w:t>
      </w:r>
      <w:smartTag w:uri="urn:schemas-microsoft-com:office:smarttags" w:element="PlaceType">
        <w:r>
          <w:t>State</w:t>
        </w:r>
      </w:smartTag>
      <w:r>
        <w:t xml:space="preserve"> representing </w:t>
      </w:r>
      <w:smartTag w:uri="urn:schemas-microsoft-com:office:smarttags" w:element="place">
        <w:smartTag w:uri="urn:schemas-microsoft-com:office:smarttags" w:element="country-region">
          <w:r>
            <w:t>Austria</w:t>
          </w:r>
        </w:smartTag>
      </w:smartTag>
      <w:r>
        <w:t xml:space="preserve"> in the country in question.</w:t>
      </w:r>
    </w:p>
    <w:p w14:paraId="155F2C86" w14:textId="59B9B1D9" w:rsidR="00717890" w:rsidRDefault="00717890" w:rsidP="00671A79">
      <w:pPr>
        <w:pStyle w:val="Heading1"/>
      </w:pPr>
      <w:r>
        <w:t>Key Deadlines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7"/>
      </w:tblGrid>
      <w:tr w:rsidR="00717890" w:rsidRPr="00A94D23" w14:paraId="38581B70" w14:textId="77777777" w:rsidTr="00E048DD">
        <w:tc>
          <w:tcPr>
            <w:tcW w:w="3936" w:type="dxa"/>
            <w:shd w:val="clear" w:color="auto" w:fill="auto"/>
          </w:tcPr>
          <w:p w14:paraId="1682A3A3" w14:textId="77777777" w:rsidR="00717890" w:rsidRPr="00A94D23" w:rsidRDefault="00717890" w:rsidP="00671A79">
            <w:pPr>
              <w:pStyle w:val="BodyText"/>
              <w:keepNext/>
              <w:keepLines/>
            </w:pPr>
            <w:r>
              <w:t>Submission of Forms A, B, C:</w:t>
            </w:r>
          </w:p>
        </w:tc>
        <w:tc>
          <w:tcPr>
            <w:tcW w:w="5307" w:type="dxa"/>
            <w:shd w:val="clear" w:color="auto" w:fill="auto"/>
          </w:tcPr>
          <w:p w14:paraId="2CCC6554" w14:textId="77777777" w:rsidR="00717890" w:rsidRPr="00A94D23" w:rsidRDefault="00717890" w:rsidP="00671A79">
            <w:pPr>
              <w:pStyle w:val="BodyText"/>
              <w:keepNext/>
              <w:keepLines/>
            </w:pPr>
            <w:r w:rsidRPr="00D62BDD">
              <w:rPr>
                <w:b/>
                <w:color w:val="000000"/>
              </w:rPr>
              <w:t>1</w:t>
            </w:r>
            <w:r>
              <w:rPr>
                <w:b/>
                <w:color w:val="000000"/>
              </w:rPr>
              <w:t>7 April </w:t>
            </w:r>
            <w:r w:rsidRPr="00D62BDD">
              <w:rPr>
                <w:b/>
                <w:color w:val="000000"/>
              </w:rPr>
              <w:t>201</w:t>
            </w:r>
            <w:r>
              <w:rPr>
                <w:b/>
                <w:color w:val="000000"/>
              </w:rPr>
              <w:t>5</w:t>
            </w:r>
          </w:p>
        </w:tc>
      </w:tr>
      <w:tr w:rsidR="00717890" w:rsidRPr="00A94D23" w14:paraId="07693A5D" w14:textId="77777777" w:rsidTr="00E048DD">
        <w:tc>
          <w:tcPr>
            <w:tcW w:w="3936" w:type="dxa"/>
            <w:shd w:val="clear" w:color="auto" w:fill="auto"/>
          </w:tcPr>
          <w:p w14:paraId="27215BF3" w14:textId="795BC195" w:rsidR="00717890" w:rsidRPr="00A94D23" w:rsidRDefault="00717890" w:rsidP="00F107F2">
            <w:pPr>
              <w:pStyle w:val="BodyText"/>
              <w:keepNext/>
              <w:keepLines/>
            </w:pPr>
            <w:r>
              <w:t xml:space="preserve">Submission of </w:t>
            </w:r>
            <w:r w:rsidR="00F107F2">
              <w:t>paper</w:t>
            </w:r>
            <w:r>
              <w:t>:</w:t>
            </w:r>
          </w:p>
        </w:tc>
        <w:tc>
          <w:tcPr>
            <w:tcW w:w="5307" w:type="dxa"/>
            <w:shd w:val="clear" w:color="auto" w:fill="auto"/>
          </w:tcPr>
          <w:p w14:paraId="45D13EF6" w14:textId="77777777" w:rsidR="00717890" w:rsidRPr="00A94D23" w:rsidRDefault="00717890" w:rsidP="00671A79">
            <w:pPr>
              <w:pStyle w:val="BodyText"/>
              <w:keepNext/>
              <w:keepLines/>
            </w:pPr>
            <w:r w:rsidRPr="00D62BDD">
              <w:rPr>
                <w:b/>
                <w:color w:val="000000"/>
              </w:rPr>
              <w:t>1</w:t>
            </w:r>
            <w:r>
              <w:rPr>
                <w:b/>
                <w:color w:val="000000"/>
              </w:rPr>
              <w:t>7 April </w:t>
            </w:r>
            <w:r w:rsidRPr="00D62BDD">
              <w:rPr>
                <w:b/>
                <w:color w:val="000000"/>
              </w:rPr>
              <w:t>201</w:t>
            </w:r>
            <w:r>
              <w:rPr>
                <w:b/>
                <w:color w:val="000000"/>
              </w:rPr>
              <w:t>5</w:t>
            </w:r>
          </w:p>
        </w:tc>
      </w:tr>
      <w:tr w:rsidR="00717890" w:rsidRPr="00A94D23" w14:paraId="2467EE02" w14:textId="77777777" w:rsidTr="00E048DD">
        <w:tc>
          <w:tcPr>
            <w:tcW w:w="3936" w:type="dxa"/>
            <w:shd w:val="clear" w:color="auto" w:fill="auto"/>
          </w:tcPr>
          <w:p w14:paraId="6AF0B0D6" w14:textId="501E7740" w:rsidR="00717890" w:rsidRPr="00A94D23" w:rsidRDefault="00717890" w:rsidP="00F107F2">
            <w:pPr>
              <w:pStyle w:val="BodyText"/>
              <w:keepNext/>
              <w:keepLines/>
            </w:pPr>
            <w:r>
              <w:t xml:space="preserve">Notification of acceptance of </w:t>
            </w:r>
            <w:r w:rsidR="00F107F2">
              <w:t>paper</w:t>
            </w:r>
            <w:r>
              <w:t>:</w:t>
            </w:r>
          </w:p>
        </w:tc>
        <w:tc>
          <w:tcPr>
            <w:tcW w:w="5307" w:type="dxa"/>
            <w:shd w:val="clear" w:color="auto" w:fill="auto"/>
          </w:tcPr>
          <w:p w14:paraId="2EBD04A5" w14:textId="77777777" w:rsidR="00717890" w:rsidRPr="00A94D23" w:rsidRDefault="00717890" w:rsidP="00671A79">
            <w:pPr>
              <w:pStyle w:val="BodyText"/>
              <w:keepNext/>
              <w:keepLines/>
            </w:pPr>
            <w:r>
              <w:rPr>
                <w:b/>
              </w:rPr>
              <w:t>26 June </w:t>
            </w:r>
            <w:r w:rsidRPr="008E50CD">
              <w:rPr>
                <w:b/>
              </w:rPr>
              <w:t>201</w:t>
            </w:r>
            <w:r>
              <w:rPr>
                <w:b/>
              </w:rPr>
              <w:t>5</w:t>
            </w:r>
          </w:p>
        </w:tc>
      </w:tr>
      <w:tr w:rsidR="00717890" w:rsidRPr="00A94D23" w14:paraId="2D95DCC2" w14:textId="77777777" w:rsidTr="00E048DD">
        <w:tc>
          <w:tcPr>
            <w:tcW w:w="3936" w:type="dxa"/>
            <w:shd w:val="clear" w:color="auto" w:fill="auto"/>
          </w:tcPr>
          <w:p w14:paraId="422281D1" w14:textId="77777777" w:rsidR="00717890" w:rsidRPr="00A94D23" w:rsidRDefault="00717890" w:rsidP="00671A79">
            <w:pPr>
              <w:pStyle w:val="BodyText"/>
              <w:keepNext/>
              <w:keepLines/>
            </w:pPr>
            <w:r>
              <w:t>Submission of presentations:</w:t>
            </w:r>
          </w:p>
        </w:tc>
        <w:tc>
          <w:tcPr>
            <w:tcW w:w="5307" w:type="dxa"/>
            <w:shd w:val="clear" w:color="auto" w:fill="auto"/>
          </w:tcPr>
          <w:p w14:paraId="40DB0684" w14:textId="3BD1B156" w:rsidR="00717890" w:rsidRPr="00A94D23" w:rsidRDefault="00717890" w:rsidP="00671A79">
            <w:pPr>
              <w:pStyle w:val="BodyText"/>
              <w:keepNext/>
              <w:keepLines/>
            </w:pPr>
            <w:r>
              <w:rPr>
                <w:b/>
                <w:bCs/>
              </w:rPr>
              <w:t>1</w:t>
            </w:r>
            <w:r w:rsidR="00F107F2">
              <w:rPr>
                <w:b/>
                <w:bCs/>
              </w:rPr>
              <w:t>6</w:t>
            </w:r>
            <w:r w:rsidRPr="008E50CD">
              <w:rPr>
                <w:b/>
                <w:bCs/>
              </w:rPr>
              <w:t> </w:t>
            </w:r>
            <w:r>
              <w:rPr>
                <w:b/>
                <w:bCs/>
              </w:rPr>
              <w:t>October</w:t>
            </w:r>
            <w:r w:rsidRPr="008E50CD">
              <w:rPr>
                <w:b/>
                <w:bCs/>
              </w:rPr>
              <w:t> 201</w:t>
            </w:r>
            <w:r>
              <w:rPr>
                <w:b/>
                <w:bCs/>
              </w:rPr>
              <w:t>5</w:t>
            </w:r>
          </w:p>
        </w:tc>
      </w:tr>
      <w:tr w:rsidR="00F107F2" w:rsidRPr="00A94D23" w14:paraId="72D274DA" w14:textId="77777777" w:rsidTr="00E048DD">
        <w:tc>
          <w:tcPr>
            <w:tcW w:w="3936" w:type="dxa"/>
            <w:shd w:val="clear" w:color="auto" w:fill="auto"/>
          </w:tcPr>
          <w:p w14:paraId="6BF9D7DD" w14:textId="134B72E9" w:rsidR="00F107F2" w:rsidRDefault="00F107F2" w:rsidP="00671A79">
            <w:pPr>
              <w:pStyle w:val="BodyText"/>
              <w:keepNext/>
              <w:keepLines/>
            </w:pPr>
            <w:r>
              <w:t>Submission of posters</w:t>
            </w:r>
            <w:r w:rsidR="0072426F">
              <w:t>:</w:t>
            </w:r>
          </w:p>
        </w:tc>
        <w:tc>
          <w:tcPr>
            <w:tcW w:w="5307" w:type="dxa"/>
            <w:shd w:val="clear" w:color="auto" w:fill="auto"/>
          </w:tcPr>
          <w:p w14:paraId="6ADB1C1D" w14:textId="341B17DE" w:rsidR="00F107F2" w:rsidRDefault="00F107F2" w:rsidP="00671A79">
            <w:pPr>
              <w:pStyle w:val="BodyText"/>
              <w:keepNext/>
              <w:keepLines/>
              <w:rPr>
                <w:b/>
                <w:bCs/>
              </w:rPr>
            </w:pPr>
            <w:r>
              <w:rPr>
                <w:b/>
                <w:bCs/>
              </w:rPr>
              <w:t>16 October 2015</w:t>
            </w:r>
          </w:p>
        </w:tc>
      </w:tr>
    </w:tbl>
    <w:p w14:paraId="6942BA0B" w14:textId="1B73D153" w:rsidR="00717890" w:rsidRDefault="00717890">
      <w:pPr>
        <w:pStyle w:val="Heading1"/>
      </w:pPr>
      <w:r>
        <w:t>Conference Side Events</w:t>
      </w:r>
    </w:p>
    <w:p w14:paraId="68DF98E1" w14:textId="77777777" w:rsidR="00717890" w:rsidRPr="00717890" w:rsidRDefault="00717890" w:rsidP="00717890">
      <w:pPr>
        <w:pStyle w:val="BodyText"/>
        <w:keepNext/>
        <w:rPr>
          <w:b/>
          <w:bCs/>
        </w:rPr>
      </w:pPr>
      <w:r w:rsidRPr="00717890">
        <w:rPr>
          <w:b/>
          <w:bCs/>
        </w:rPr>
        <w:t>Exhibitions</w:t>
      </w:r>
    </w:p>
    <w:p w14:paraId="64F8CD2C" w14:textId="77777777" w:rsidR="00717890" w:rsidRDefault="00717890" w:rsidP="00717890">
      <w:pPr>
        <w:pStyle w:val="BodyText"/>
      </w:pPr>
      <w:r w:rsidRPr="009E09E6">
        <w:rPr>
          <w:color w:val="000000"/>
          <w:szCs w:val="22"/>
        </w:rPr>
        <w:t xml:space="preserve">Limited space will be available during the </w:t>
      </w:r>
      <w:r>
        <w:rPr>
          <w:color w:val="000000"/>
          <w:szCs w:val="22"/>
        </w:rPr>
        <w:t>conference</w:t>
      </w:r>
      <w:r w:rsidRPr="009E09E6">
        <w:rPr>
          <w:color w:val="000000"/>
          <w:szCs w:val="22"/>
        </w:rPr>
        <w:t xml:space="preserve"> </w:t>
      </w:r>
      <w:r>
        <w:rPr>
          <w:color w:val="000000"/>
          <w:szCs w:val="22"/>
        </w:rPr>
        <w:t xml:space="preserve">for </w:t>
      </w:r>
      <w:r w:rsidRPr="009E09E6">
        <w:rPr>
          <w:color w:val="000000"/>
          <w:szCs w:val="22"/>
        </w:rPr>
        <w:t>displays</w:t>
      </w:r>
      <w:r>
        <w:rPr>
          <w:color w:val="000000"/>
          <w:szCs w:val="22"/>
        </w:rPr>
        <w:t xml:space="preserve">, </w:t>
      </w:r>
      <w:r w:rsidRPr="009E09E6">
        <w:rPr>
          <w:color w:val="000000"/>
          <w:szCs w:val="22"/>
        </w:rPr>
        <w:t>exhibits</w:t>
      </w:r>
      <w:r>
        <w:rPr>
          <w:color w:val="000000"/>
          <w:szCs w:val="22"/>
        </w:rPr>
        <w:t xml:space="preserve"> and demonstrations of instruments, publications, educational tools and assessment methods and tools. </w:t>
      </w:r>
      <w:r w:rsidRPr="009E09E6">
        <w:rPr>
          <w:color w:val="000000"/>
          <w:szCs w:val="22"/>
        </w:rPr>
        <w:t xml:space="preserve">Interested parties should </w:t>
      </w:r>
      <w:r>
        <w:rPr>
          <w:color w:val="000000"/>
          <w:szCs w:val="22"/>
        </w:rPr>
        <w:t>send an email to:</w:t>
      </w:r>
      <w:r w:rsidRPr="00573BD6">
        <w:rPr>
          <w:color w:val="333333"/>
          <w:szCs w:val="22"/>
          <w:lang w:val="pt-PT"/>
        </w:rPr>
        <w:t xml:space="preserve"> </w:t>
      </w:r>
      <w:hyperlink r:id="rId10" w:history="1">
        <w:r w:rsidRPr="00560958">
          <w:rPr>
            <w:rStyle w:val="Hyperlink"/>
            <w:szCs w:val="22"/>
          </w:rPr>
          <w:t>EPR-Conference-2015.Contact-Point@iaea.org</w:t>
        </w:r>
      </w:hyperlink>
      <w:r w:rsidRPr="00560958">
        <w:rPr>
          <w:color w:val="000000"/>
          <w:szCs w:val="22"/>
          <w:lang w:val="pt-PT"/>
        </w:rPr>
        <w:t>.</w:t>
      </w:r>
    </w:p>
    <w:p w14:paraId="37E3FE3B" w14:textId="77777777" w:rsidR="00717890" w:rsidRPr="00717890" w:rsidRDefault="00717890" w:rsidP="00717890">
      <w:pPr>
        <w:pStyle w:val="BodyText"/>
        <w:keepNext/>
        <w:rPr>
          <w:b/>
          <w:bCs/>
        </w:rPr>
      </w:pPr>
      <w:r w:rsidRPr="00717890">
        <w:rPr>
          <w:b/>
          <w:bCs/>
        </w:rPr>
        <w:t>Technical Visits</w:t>
      </w:r>
    </w:p>
    <w:p w14:paraId="409CF0D4" w14:textId="77777777" w:rsidR="00717890" w:rsidRDefault="00717890" w:rsidP="00717890">
      <w:pPr>
        <w:pStyle w:val="BodyText"/>
      </w:pPr>
      <w:r>
        <w:t>A number of technical visits to the IAEA’s IEC will be arranged.</w:t>
      </w:r>
    </w:p>
    <w:p w14:paraId="5FCFD539" w14:textId="77777777" w:rsidR="00717890" w:rsidRPr="00717890" w:rsidRDefault="00717890" w:rsidP="00717890">
      <w:pPr>
        <w:pStyle w:val="BodyText"/>
        <w:keepNext/>
        <w:rPr>
          <w:b/>
          <w:bCs/>
        </w:rPr>
      </w:pPr>
      <w:r w:rsidRPr="00717890">
        <w:rPr>
          <w:b/>
          <w:bCs/>
        </w:rPr>
        <w:t>Refresher Workshops</w:t>
      </w:r>
    </w:p>
    <w:p w14:paraId="4333CE3D" w14:textId="5A2D3B1E" w:rsidR="00717890" w:rsidRDefault="00717890" w:rsidP="00F10E64">
      <w:pPr>
        <w:pStyle w:val="BodyText"/>
      </w:pPr>
      <w:r>
        <w:t xml:space="preserve">The </w:t>
      </w:r>
      <w:r w:rsidR="00A27505">
        <w:t>r</w:t>
      </w:r>
      <w:r>
        <w:t xml:space="preserve">efresher </w:t>
      </w:r>
      <w:r w:rsidR="00A27505">
        <w:t>w</w:t>
      </w:r>
      <w:r>
        <w:t>orkshops programme will provide participants with the opportunity to refresh and update their knowledge in specific areas of EPR.</w:t>
      </w:r>
    </w:p>
    <w:p w14:paraId="357BCE88" w14:textId="77777777" w:rsidR="00717890" w:rsidRPr="00717890" w:rsidRDefault="00717890" w:rsidP="00717890">
      <w:pPr>
        <w:pStyle w:val="BodyText"/>
        <w:keepNext/>
        <w:rPr>
          <w:b/>
          <w:bCs/>
        </w:rPr>
      </w:pPr>
      <w:r w:rsidRPr="00717890">
        <w:rPr>
          <w:b/>
          <w:bCs/>
        </w:rPr>
        <w:t>Round Table Discussions</w:t>
      </w:r>
    </w:p>
    <w:p w14:paraId="45321367" w14:textId="625EC782" w:rsidR="00717890" w:rsidRPr="00717890" w:rsidRDefault="00717890" w:rsidP="00F10E64">
      <w:pPr>
        <w:pStyle w:val="BodyText"/>
      </w:pPr>
      <w:r>
        <w:t xml:space="preserve">Round table discussions will be held to explore the current key issues in specific EPR </w:t>
      </w:r>
      <w:r w:rsidR="00F10E64">
        <w:t>areas</w:t>
      </w:r>
      <w:r>
        <w:t xml:space="preserve"> through expert discussions and direct questions from the audience using emails and Twitter. </w:t>
      </w:r>
      <w:r w:rsidR="00F10E64">
        <w:t xml:space="preserve">This </w:t>
      </w:r>
      <w:r>
        <w:t xml:space="preserve">will help </w:t>
      </w:r>
      <w:r w:rsidR="00F10E64">
        <w:t xml:space="preserve">the IAEA Secretariat to </w:t>
      </w:r>
      <w:r>
        <w:t xml:space="preserve">identify </w:t>
      </w:r>
      <w:r w:rsidR="00455430">
        <w:t xml:space="preserve">challenges and </w:t>
      </w:r>
      <w:r>
        <w:t xml:space="preserve">priorities in </w:t>
      </w:r>
      <w:r w:rsidR="00455430">
        <w:t xml:space="preserve">these </w:t>
      </w:r>
      <w:r>
        <w:t>EPR</w:t>
      </w:r>
      <w:r w:rsidR="00455430">
        <w:t xml:space="preserve"> areas.  </w:t>
      </w:r>
    </w:p>
    <w:p w14:paraId="24B6CDE0" w14:textId="6918A648" w:rsidR="00717890" w:rsidRDefault="00717890" w:rsidP="00F10E64">
      <w:pPr>
        <w:pStyle w:val="Heading1"/>
      </w:pPr>
      <w:r>
        <w:t>International Conference Programme Committee</w:t>
      </w:r>
    </w:p>
    <w:tbl>
      <w:tblPr>
        <w:tblStyle w:val="TableGrid"/>
        <w:tblW w:w="0" w:type="auto"/>
        <w:tblBorders>
          <w:top w:val="none" w:sz="0" w:space="0" w:color="auto"/>
          <w:left w:val="none" w:sz="0" w:space="0" w:color="auto"/>
          <w:bottom w:val="none" w:sz="0" w:space="0" w:color="auto"/>
          <w:right w:val="none" w:sz="0" w:space="0" w:color="auto"/>
          <w:insideH w:val="single" w:sz="6" w:space="0" w:color="4F81BD" w:themeColor="accent1"/>
          <w:insideV w:val="none" w:sz="0" w:space="0" w:color="auto"/>
        </w:tblBorders>
        <w:tblLook w:val="04A0" w:firstRow="1" w:lastRow="0" w:firstColumn="1" w:lastColumn="0" w:noHBand="0" w:noVBand="1"/>
      </w:tblPr>
      <w:tblGrid>
        <w:gridCol w:w="2235"/>
        <w:gridCol w:w="3969"/>
      </w:tblGrid>
      <w:tr w:rsidR="00F10E64" w:rsidRPr="00F10E64" w14:paraId="4F649468" w14:textId="77777777" w:rsidTr="00E36ACD">
        <w:tc>
          <w:tcPr>
            <w:tcW w:w="2235" w:type="dxa"/>
            <w:shd w:val="clear" w:color="auto" w:fill="auto"/>
            <w:vAlign w:val="center"/>
          </w:tcPr>
          <w:p w14:paraId="5646B96F" w14:textId="77777777" w:rsidR="00717890" w:rsidRPr="00F10E64" w:rsidRDefault="00717890" w:rsidP="00AB1A98">
            <w:pPr>
              <w:spacing w:after="60"/>
              <w:rPr>
                <w:highlight w:val="yellow"/>
              </w:rPr>
            </w:pPr>
            <w:proofErr w:type="spellStart"/>
            <w:r w:rsidRPr="00F10E64">
              <w:t>Aaltonen</w:t>
            </w:r>
            <w:proofErr w:type="spellEnd"/>
            <w:r w:rsidRPr="00F10E64">
              <w:t xml:space="preserve"> H.</w:t>
            </w:r>
          </w:p>
        </w:tc>
        <w:tc>
          <w:tcPr>
            <w:tcW w:w="3969" w:type="dxa"/>
            <w:shd w:val="clear" w:color="auto" w:fill="auto"/>
          </w:tcPr>
          <w:p w14:paraId="7244AB17" w14:textId="77777777" w:rsidR="00717890" w:rsidRPr="00F10E64" w:rsidRDefault="00717890" w:rsidP="00AB1A98">
            <w:pPr>
              <w:spacing w:after="60"/>
            </w:pPr>
            <w:r w:rsidRPr="00F10E64">
              <w:t>Finland</w:t>
            </w:r>
          </w:p>
        </w:tc>
      </w:tr>
      <w:tr w:rsidR="00F10E64" w:rsidRPr="00F10E64" w14:paraId="0D531CFE" w14:textId="77777777" w:rsidTr="00E36ACD">
        <w:tc>
          <w:tcPr>
            <w:tcW w:w="2235" w:type="dxa"/>
            <w:shd w:val="clear" w:color="auto" w:fill="auto"/>
            <w:vAlign w:val="center"/>
          </w:tcPr>
          <w:p w14:paraId="609E27C8" w14:textId="77777777" w:rsidR="00717890" w:rsidRPr="00F10E64" w:rsidRDefault="00717890" w:rsidP="00AB1A98">
            <w:pPr>
              <w:spacing w:after="60"/>
            </w:pPr>
            <w:proofErr w:type="spellStart"/>
            <w:r w:rsidRPr="00F10E64">
              <w:t>Ahier</w:t>
            </w:r>
            <w:proofErr w:type="spellEnd"/>
            <w:r w:rsidRPr="00F10E64">
              <w:t xml:space="preserve"> B.</w:t>
            </w:r>
          </w:p>
        </w:tc>
        <w:tc>
          <w:tcPr>
            <w:tcW w:w="3969" w:type="dxa"/>
            <w:shd w:val="clear" w:color="auto" w:fill="auto"/>
          </w:tcPr>
          <w:p w14:paraId="2E6900DE" w14:textId="77777777" w:rsidR="00717890" w:rsidRPr="00F10E64" w:rsidRDefault="00717890" w:rsidP="00AB1A98">
            <w:pPr>
              <w:spacing w:after="60"/>
            </w:pPr>
            <w:r w:rsidRPr="00F10E64">
              <w:t>Canada</w:t>
            </w:r>
          </w:p>
        </w:tc>
      </w:tr>
      <w:tr w:rsidR="00F10E64" w:rsidRPr="00F10E64" w14:paraId="43AF37FC" w14:textId="77777777" w:rsidTr="00E36ACD">
        <w:tc>
          <w:tcPr>
            <w:tcW w:w="2235" w:type="dxa"/>
            <w:shd w:val="clear" w:color="auto" w:fill="auto"/>
            <w:vAlign w:val="center"/>
          </w:tcPr>
          <w:p w14:paraId="488BF5AB" w14:textId="77777777" w:rsidR="00717890" w:rsidRPr="00F10E64" w:rsidRDefault="00717890" w:rsidP="00AB1A98">
            <w:pPr>
              <w:spacing w:after="60"/>
            </w:pPr>
            <w:r w:rsidRPr="00F10E64">
              <w:t>Castle L.</w:t>
            </w:r>
          </w:p>
        </w:tc>
        <w:tc>
          <w:tcPr>
            <w:tcW w:w="3969" w:type="dxa"/>
            <w:shd w:val="clear" w:color="auto" w:fill="auto"/>
          </w:tcPr>
          <w:p w14:paraId="3C5C8035" w14:textId="77777777" w:rsidR="00717890" w:rsidRPr="00F10E64" w:rsidRDefault="00717890" w:rsidP="00AB1A98">
            <w:pPr>
              <w:spacing w:after="60"/>
            </w:pPr>
            <w:r w:rsidRPr="00F10E64">
              <w:t>Australia</w:t>
            </w:r>
          </w:p>
        </w:tc>
      </w:tr>
      <w:tr w:rsidR="00F10E64" w:rsidRPr="00F10E64" w14:paraId="57088F5D" w14:textId="77777777" w:rsidTr="00E36ACD">
        <w:tc>
          <w:tcPr>
            <w:tcW w:w="2235" w:type="dxa"/>
            <w:shd w:val="clear" w:color="auto" w:fill="auto"/>
            <w:vAlign w:val="center"/>
          </w:tcPr>
          <w:p w14:paraId="3403AA5F" w14:textId="77777777" w:rsidR="00717890" w:rsidRPr="00F10E64" w:rsidRDefault="00717890" w:rsidP="00AB1A98">
            <w:pPr>
              <w:spacing w:after="60"/>
            </w:pPr>
            <w:r w:rsidRPr="00F10E64">
              <w:t>Emi-Reynolds G.</w:t>
            </w:r>
          </w:p>
        </w:tc>
        <w:tc>
          <w:tcPr>
            <w:tcW w:w="3969" w:type="dxa"/>
            <w:shd w:val="clear" w:color="auto" w:fill="auto"/>
          </w:tcPr>
          <w:p w14:paraId="0BABC09A" w14:textId="77777777" w:rsidR="00717890" w:rsidRPr="00F10E64" w:rsidRDefault="00717890" w:rsidP="00AB1A98">
            <w:pPr>
              <w:spacing w:after="60"/>
            </w:pPr>
            <w:r w:rsidRPr="00F10E64">
              <w:t>Ghana</w:t>
            </w:r>
          </w:p>
        </w:tc>
      </w:tr>
      <w:tr w:rsidR="00F10E64" w:rsidRPr="00F10E64" w14:paraId="3EC17647" w14:textId="77777777" w:rsidTr="00E36ACD">
        <w:tc>
          <w:tcPr>
            <w:tcW w:w="2235" w:type="dxa"/>
            <w:shd w:val="clear" w:color="auto" w:fill="auto"/>
            <w:vAlign w:val="center"/>
          </w:tcPr>
          <w:p w14:paraId="7E70BE32" w14:textId="77777777" w:rsidR="00717890" w:rsidRPr="00F10E64" w:rsidRDefault="00717890" w:rsidP="00AB1A98">
            <w:pPr>
              <w:spacing w:after="60"/>
            </w:pPr>
            <w:proofErr w:type="spellStart"/>
            <w:r w:rsidRPr="00F10E64">
              <w:t>Fook</w:t>
            </w:r>
            <w:proofErr w:type="spellEnd"/>
            <w:r w:rsidRPr="00F10E64">
              <w:t xml:space="preserve"> Kay Lee</w:t>
            </w:r>
          </w:p>
        </w:tc>
        <w:tc>
          <w:tcPr>
            <w:tcW w:w="3969" w:type="dxa"/>
            <w:shd w:val="clear" w:color="auto" w:fill="auto"/>
          </w:tcPr>
          <w:p w14:paraId="463D7515" w14:textId="77777777" w:rsidR="00717890" w:rsidRPr="00F10E64" w:rsidRDefault="00717890" w:rsidP="00AB1A98">
            <w:pPr>
              <w:spacing w:after="60"/>
            </w:pPr>
            <w:r w:rsidRPr="00F10E64">
              <w:t>Singapore</w:t>
            </w:r>
          </w:p>
        </w:tc>
      </w:tr>
      <w:tr w:rsidR="00F10E64" w:rsidRPr="00F10E64" w14:paraId="7EAFE25D" w14:textId="77777777" w:rsidTr="00E36ACD">
        <w:tc>
          <w:tcPr>
            <w:tcW w:w="2235" w:type="dxa"/>
            <w:shd w:val="clear" w:color="auto" w:fill="auto"/>
            <w:vAlign w:val="center"/>
          </w:tcPr>
          <w:p w14:paraId="1EE35EDB" w14:textId="77777777" w:rsidR="00717890" w:rsidRPr="00F10E64" w:rsidRDefault="00717890" w:rsidP="00AB1A98">
            <w:pPr>
              <w:spacing w:after="60"/>
            </w:pPr>
            <w:r w:rsidRPr="00F10E64">
              <w:t>Homma T.</w:t>
            </w:r>
          </w:p>
        </w:tc>
        <w:tc>
          <w:tcPr>
            <w:tcW w:w="3969" w:type="dxa"/>
            <w:shd w:val="clear" w:color="auto" w:fill="auto"/>
          </w:tcPr>
          <w:p w14:paraId="13BAC1F7" w14:textId="77777777" w:rsidR="00717890" w:rsidRPr="00F10E64" w:rsidRDefault="00717890" w:rsidP="00AB1A98">
            <w:pPr>
              <w:spacing w:after="60"/>
            </w:pPr>
            <w:r w:rsidRPr="00F10E64">
              <w:t>Japan</w:t>
            </w:r>
          </w:p>
        </w:tc>
      </w:tr>
      <w:tr w:rsidR="00F10E64" w:rsidRPr="00F10E64" w14:paraId="006EDED5" w14:textId="77777777" w:rsidTr="00E36ACD">
        <w:tc>
          <w:tcPr>
            <w:tcW w:w="2235" w:type="dxa"/>
            <w:shd w:val="clear" w:color="auto" w:fill="auto"/>
            <w:vAlign w:val="center"/>
          </w:tcPr>
          <w:p w14:paraId="3C8C0E7C" w14:textId="77777777" w:rsidR="00717890" w:rsidRPr="00F10E64" w:rsidRDefault="00717890" w:rsidP="00AB1A98">
            <w:pPr>
              <w:spacing w:after="60"/>
            </w:pPr>
            <w:r w:rsidRPr="00F10E64">
              <w:t>Hubbard L.</w:t>
            </w:r>
          </w:p>
        </w:tc>
        <w:tc>
          <w:tcPr>
            <w:tcW w:w="3969" w:type="dxa"/>
            <w:shd w:val="clear" w:color="auto" w:fill="auto"/>
          </w:tcPr>
          <w:p w14:paraId="641478E5" w14:textId="77777777" w:rsidR="00717890" w:rsidRPr="00F10E64" w:rsidRDefault="00717890" w:rsidP="00AB1A98">
            <w:pPr>
              <w:spacing w:after="60"/>
            </w:pPr>
            <w:r w:rsidRPr="00F10E64">
              <w:t>Sweden</w:t>
            </w:r>
          </w:p>
        </w:tc>
      </w:tr>
      <w:tr w:rsidR="00F10E64" w:rsidRPr="00F10E64" w14:paraId="47E59172" w14:textId="77777777" w:rsidTr="00E36ACD">
        <w:tc>
          <w:tcPr>
            <w:tcW w:w="2235" w:type="dxa"/>
            <w:shd w:val="clear" w:color="auto" w:fill="auto"/>
            <w:vAlign w:val="center"/>
          </w:tcPr>
          <w:p w14:paraId="38674B99" w14:textId="77777777" w:rsidR="00717890" w:rsidRPr="00F10E64" w:rsidRDefault="00717890" w:rsidP="00AB1A98">
            <w:pPr>
              <w:spacing w:after="60"/>
            </w:pPr>
            <w:proofErr w:type="spellStart"/>
            <w:r w:rsidRPr="00F10E64">
              <w:t>Isnard</w:t>
            </w:r>
            <w:proofErr w:type="spellEnd"/>
            <w:r w:rsidRPr="00F10E64">
              <w:t xml:space="preserve"> O.</w:t>
            </w:r>
          </w:p>
        </w:tc>
        <w:tc>
          <w:tcPr>
            <w:tcW w:w="3969" w:type="dxa"/>
            <w:shd w:val="clear" w:color="auto" w:fill="auto"/>
          </w:tcPr>
          <w:p w14:paraId="6DCC0B97" w14:textId="77777777" w:rsidR="00717890" w:rsidRPr="00F10E64" w:rsidRDefault="00717890" w:rsidP="00AB1A98">
            <w:pPr>
              <w:spacing w:after="60"/>
            </w:pPr>
            <w:r w:rsidRPr="00F10E64">
              <w:t>France</w:t>
            </w:r>
          </w:p>
        </w:tc>
      </w:tr>
      <w:tr w:rsidR="00F10E64" w:rsidRPr="00F10E64" w14:paraId="3FF0FC5B" w14:textId="77777777" w:rsidTr="00E36ACD">
        <w:tc>
          <w:tcPr>
            <w:tcW w:w="2235" w:type="dxa"/>
            <w:shd w:val="clear" w:color="auto" w:fill="auto"/>
            <w:vAlign w:val="center"/>
          </w:tcPr>
          <w:p w14:paraId="4D09AA57" w14:textId="71B0131C" w:rsidR="00717890" w:rsidRPr="00F10E64" w:rsidRDefault="00717890" w:rsidP="00B75452">
            <w:pPr>
              <w:spacing w:after="60"/>
            </w:pPr>
            <w:r w:rsidRPr="00F10E64">
              <w:t>Mc</w:t>
            </w:r>
            <w:r w:rsidR="00B75452">
              <w:t>C</w:t>
            </w:r>
            <w:r w:rsidRPr="00F10E64">
              <w:t>lelland V.</w:t>
            </w:r>
          </w:p>
        </w:tc>
        <w:tc>
          <w:tcPr>
            <w:tcW w:w="3969" w:type="dxa"/>
            <w:shd w:val="clear" w:color="auto" w:fill="auto"/>
          </w:tcPr>
          <w:p w14:paraId="06D8A2FA" w14:textId="77777777" w:rsidR="00717890" w:rsidRPr="00F10E64" w:rsidRDefault="00717890" w:rsidP="00AB1A98">
            <w:pPr>
              <w:spacing w:after="60"/>
            </w:pPr>
            <w:r w:rsidRPr="00F10E64">
              <w:t>USA</w:t>
            </w:r>
          </w:p>
        </w:tc>
      </w:tr>
      <w:tr w:rsidR="00F10E64" w:rsidRPr="00F10E64" w14:paraId="1E487B98" w14:textId="77777777" w:rsidTr="00E36ACD">
        <w:tc>
          <w:tcPr>
            <w:tcW w:w="2235" w:type="dxa"/>
            <w:shd w:val="clear" w:color="auto" w:fill="auto"/>
            <w:vAlign w:val="center"/>
          </w:tcPr>
          <w:p w14:paraId="1B0DF6FE" w14:textId="77777777" w:rsidR="00717890" w:rsidRPr="00F10E64" w:rsidRDefault="00717890" w:rsidP="00AB1A98">
            <w:pPr>
              <w:spacing w:after="60"/>
            </w:pPr>
            <w:proofErr w:type="spellStart"/>
            <w:r w:rsidRPr="00F10E64">
              <w:t>Ramerafe</w:t>
            </w:r>
            <w:proofErr w:type="spellEnd"/>
            <w:r w:rsidRPr="00F10E64">
              <w:t xml:space="preserve"> M.</w:t>
            </w:r>
          </w:p>
        </w:tc>
        <w:tc>
          <w:tcPr>
            <w:tcW w:w="3969" w:type="dxa"/>
            <w:shd w:val="clear" w:color="auto" w:fill="auto"/>
          </w:tcPr>
          <w:p w14:paraId="01C93024" w14:textId="77777777" w:rsidR="00717890" w:rsidRPr="00F10E64" w:rsidRDefault="00717890" w:rsidP="00AB1A98">
            <w:pPr>
              <w:spacing w:after="60"/>
            </w:pPr>
            <w:r w:rsidRPr="00F10E64">
              <w:t>South Africa</w:t>
            </w:r>
          </w:p>
        </w:tc>
      </w:tr>
      <w:tr w:rsidR="00F10E64" w:rsidRPr="00F10E64" w14:paraId="16311B98" w14:textId="77777777" w:rsidTr="00E36ACD">
        <w:tc>
          <w:tcPr>
            <w:tcW w:w="2235" w:type="dxa"/>
            <w:shd w:val="clear" w:color="auto" w:fill="auto"/>
            <w:vAlign w:val="center"/>
          </w:tcPr>
          <w:p w14:paraId="5DBA37A2" w14:textId="77777777" w:rsidR="00717890" w:rsidRPr="00F10E64" w:rsidRDefault="00717890" w:rsidP="00AB1A98">
            <w:pPr>
              <w:spacing w:after="60"/>
            </w:pPr>
            <w:r w:rsidRPr="00F10E64">
              <w:t>Salas J.</w:t>
            </w:r>
          </w:p>
        </w:tc>
        <w:tc>
          <w:tcPr>
            <w:tcW w:w="3969" w:type="dxa"/>
            <w:shd w:val="clear" w:color="auto" w:fill="auto"/>
          </w:tcPr>
          <w:p w14:paraId="4BF52249" w14:textId="77777777" w:rsidR="00717890" w:rsidRPr="00F10E64" w:rsidRDefault="00717890" w:rsidP="00AB1A98">
            <w:pPr>
              <w:spacing w:after="60"/>
            </w:pPr>
            <w:r w:rsidRPr="00F10E64">
              <w:t>Chile</w:t>
            </w:r>
          </w:p>
        </w:tc>
      </w:tr>
      <w:tr w:rsidR="00F10E64" w:rsidRPr="00F10E64" w14:paraId="6F7E29AC" w14:textId="77777777" w:rsidTr="00E36ACD">
        <w:tc>
          <w:tcPr>
            <w:tcW w:w="2235" w:type="dxa"/>
            <w:shd w:val="clear" w:color="auto" w:fill="auto"/>
            <w:vAlign w:val="center"/>
          </w:tcPr>
          <w:p w14:paraId="74FC5E39" w14:textId="77777777" w:rsidR="00717890" w:rsidRPr="00F10E64" w:rsidRDefault="00717890" w:rsidP="00AB1A98">
            <w:pPr>
              <w:spacing w:after="60"/>
            </w:pPr>
            <w:proofErr w:type="spellStart"/>
            <w:r w:rsidRPr="00F10E64">
              <w:t>Valverde</w:t>
            </w:r>
            <w:proofErr w:type="spellEnd"/>
            <w:r w:rsidRPr="00F10E64">
              <w:t xml:space="preserve"> N.</w:t>
            </w:r>
          </w:p>
        </w:tc>
        <w:tc>
          <w:tcPr>
            <w:tcW w:w="3969" w:type="dxa"/>
            <w:shd w:val="clear" w:color="auto" w:fill="auto"/>
          </w:tcPr>
          <w:p w14:paraId="10B79FE7" w14:textId="77777777" w:rsidR="00717890" w:rsidRPr="00F10E64" w:rsidRDefault="00717890" w:rsidP="00AB1A98">
            <w:pPr>
              <w:spacing w:after="60"/>
            </w:pPr>
            <w:r w:rsidRPr="00F10E64">
              <w:t>Brazil</w:t>
            </w:r>
          </w:p>
        </w:tc>
      </w:tr>
      <w:tr w:rsidR="00F10E64" w:rsidRPr="00F10E64" w14:paraId="377A8329" w14:textId="77777777" w:rsidTr="00E36ACD">
        <w:tc>
          <w:tcPr>
            <w:tcW w:w="2235" w:type="dxa"/>
            <w:shd w:val="clear" w:color="auto" w:fill="auto"/>
            <w:vAlign w:val="center"/>
          </w:tcPr>
          <w:p w14:paraId="561193A2" w14:textId="77777777" w:rsidR="00717890" w:rsidRPr="00F10E64" w:rsidRDefault="00717890" w:rsidP="00AB1A98">
            <w:pPr>
              <w:spacing w:after="60"/>
            </w:pPr>
            <w:r w:rsidRPr="00F10E64">
              <w:t>Blackburn C. M.</w:t>
            </w:r>
          </w:p>
        </w:tc>
        <w:tc>
          <w:tcPr>
            <w:tcW w:w="3969" w:type="dxa"/>
            <w:shd w:val="clear" w:color="auto" w:fill="auto"/>
          </w:tcPr>
          <w:p w14:paraId="7B599A1F" w14:textId="69BE0ADE" w:rsidR="00717890" w:rsidRPr="00F10E64" w:rsidRDefault="00B75452" w:rsidP="00AB1A98">
            <w:pPr>
              <w:spacing w:after="60"/>
            </w:pPr>
            <w:r>
              <w:t>Food and Agriculture Organization of the United Nations (</w:t>
            </w:r>
            <w:r w:rsidR="00717890" w:rsidRPr="00F10E64">
              <w:t>FAO</w:t>
            </w:r>
            <w:r>
              <w:t>)</w:t>
            </w:r>
          </w:p>
        </w:tc>
      </w:tr>
      <w:tr w:rsidR="00F10E64" w:rsidRPr="00F10E64" w14:paraId="1F3341FA" w14:textId="77777777" w:rsidTr="00E36ACD">
        <w:tc>
          <w:tcPr>
            <w:tcW w:w="2235" w:type="dxa"/>
            <w:shd w:val="clear" w:color="auto" w:fill="auto"/>
            <w:vAlign w:val="center"/>
          </w:tcPr>
          <w:p w14:paraId="720684F2" w14:textId="77777777" w:rsidR="00717890" w:rsidRPr="00F10E64" w:rsidRDefault="00717890" w:rsidP="00AB1A98">
            <w:pPr>
              <w:spacing w:after="60"/>
            </w:pPr>
            <w:proofErr w:type="spellStart"/>
            <w:r w:rsidRPr="00F10E64">
              <w:t>Buglova</w:t>
            </w:r>
            <w:proofErr w:type="spellEnd"/>
            <w:r w:rsidRPr="00F10E64">
              <w:t xml:space="preserve"> E.</w:t>
            </w:r>
          </w:p>
        </w:tc>
        <w:tc>
          <w:tcPr>
            <w:tcW w:w="3969" w:type="dxa"/>
            <w:shd w:val="clear" w:color="auto" w:fill="auto"/>
          </w:tcPr>
          <w:p w14:paraId="7F273BEF" w14:textId="309E794A" w:rsidR="00717890" w:rsidRPr="00F10E64" w:rsidRDefault="00717890" w:rsidP="00B75452">
            <w:pPr>
              <w:spacing w:after="60"/>
            </w:pPr>
            <w:r w:rsidRPr="00F10E64">
              <w:t xml:space="preserve">IAEA/IEC </w:t>
            </w:r>
            <w:r w:rsidR="00B75452">
              <w:t>—</w:t>
            </w:r>
            <w:r w:rsidRPr="00F10E64">
              <w:t xml:space="preserve"> Chair</w:t>
            </w:r>
            <w:r w:rsidR="000D3E7F">
              <w:t xml:space="preserve"> ICPC</w:t>
            </w:r>
            <w:r w:rsidRPr="00F10E64">
              <w:t xml:space="preserve"> </w:t>
            </w:r>
          </w:p>
        </w:tc>
      </w:tr>
      <w:tr w:rsidR="00F10E64" w:rsidRPr="00F10E64" w14:paraId="59FE82E6" w14:textId="77777777" w:rsidTr="00E36ACD">
        <w:tc>
          <w:tcPr>
            <w:tcW w:w="2235" w:type="dxa"/>
            <w:shd w:val="clear" w:color="auto" w:fill="auto"/>
            <w:vAlign w:val="center"/>
          </w:tcPr>
          <w:p w14:paraId="0C76DAEE" w14:textId="77777777" w:rsidR="00717890" w:rsidRPr="00F10E64" w:rsidRDefault="00717890" w:rsidP="00AB1A98">
            <w:pPr>
              <w:spacing w:after="60"/>
            </w:pPr>
            <w:r w:rsidRPr="00F10E64">
              <w:t>Carr Z.</w:t>
            </w:r>
          </w:p>
        </w:tc>
        <w:tc>
          <w:tcPr>
            <w:tcW w:w="3969" w:type="dxa"/>
            <w:shd w:val="clear" w:color="auto" w:fill="auto"/>
          </w:tcPr>
          <w:p w14:paraId="46B99E66" w14:textId="6E68BF61" w:rsidR="00717890" w:rsidRPr="00F10E64" w:rsidRDefault="00B75452" w:rsidP="00AB1A98">
            <w:pPr>
              <w:spacing w:after="60"/>
            </w:pPr>
            <w:r>
              <w:t>World Health Organization (</w:t>
            </w:r>
            <w:r w:rsidR="00717890" w:rsidRPr="00F10E64">
              <w:t>WHO</w:t>
            </w:r>
            <w:r w:rsidR="00D36ACF">
              <w:t>)</w:t>
            </w:r>
          </w:p>
        </w:tc>
      </w:tr>
      <w:tr w:rsidR="00F10E64" w:rsidRPr="00F10E64" w14:paraId="7BFEBFD9" w14:textId="77777777" w:rsidTr="00E36ACD">
        <w:tc>
          <w:tcPr>
            <w:tcW w:w="2235" w:type="dxa"/>
            <w:shd w:val="clear" w:color="auto" w:fill="auto"/>
            <w:vAlign w:val="center"/>
          </w:tcPr>
          <w:p w14:paraId="13F09536" w14:textId="77777777" w:rsidR="00717890" w:rsidRPr="00F10E64" w:rsidRDefault="00717890" w:rsidP="00AB1A98">
            <w:pPr>
              <w:spacing w:after="60"/>
            </w:pPr>
            <w:r w:rsidRPr="00F10E64">
              <w:t>Jackson K.</w:t>
            </w:r>
          </w:p>
        </w:tc>
        <w:tc>
          <w:tcPr>
            <w:tcW w:w="3969" w:type="dxa"/>
            <w:shd w:val="clear" w:color="auto" w:fill="auto"/>
          </w:tcPr>
          <w:p w14:paraId="0F99026D" w14:textId="406B36D7" w:rsidR="00717890" w:rsidRPr="00F10E64" w:rsidRDefault="00B75452" w:rsidP="00AB1A98">
            <w:pPr>
              <w:spacing w:after="60"/>
            </w:pPr>
            <w:r>
              <w:t>European Commission (</w:t>
            </w:r>
            <w:r w:rsidR="00717890" w:rsidRPr="00F10E64">
              <w:t>EC</w:t>
            </w:r>
            <w:r>
              <w:t>)</w:t>
            </w:r>
          </w:p>
        </w:tc>
      </w:tr>
      <w:tr w:rsidR="00F10E64" w:rsidRPr="00F10E64" w14:paraId="69684A32" w14:textId="77777777" w:rsidTr="00E36ACD">
        <w:tc>
          <w:tcPr>
            <w:tcW w:w="2235" w:type="dxa"/>
            <w:shd w:val="clear" w:color="auto" w:fill="auto"/>
            <w:vAlign w:val="center"/>
          </w:tcPr>
          <w:p w14:paraId="7712E722" w14:textId="77777777" w:rsidR="00717890" w:rsidRPr="00F10E64" w:rsidRDefault="00717890" w:rsidP="00AB1A98">
            <w:pPr>
              <w:spacing w:after="60"/>
            </w:pPr>
            <w:r w:rsidRPr="00F10E64">
              <w:t>King A.</w:t>
            </w:r>
          </w:p>
        </w:tc>
        <w:tc>
          <w:tcPr>
            <w:tcW w:w="3969" w:type="dxa"/>
            <w:shd w:val="clear" w:color="auto" w:fill="auto"/>
          </w:tcPr>
          <w:p w14:paraId="2B39F492" w14:textId="48534725" w:rsidR="00717890" w:rsidRPr="00F10E64" w:rsidRDefault="00124B1C" w:rsidP="00AB1A98">
            <w:pPr>
              <w:spacing w:after="60"/>
            </w:pPr>
            <w:r>
              <w:t>INTERPOL</w:t>
            </w:r>
          </w:p>
        </w:tc>
      </w:tr>
      <w:tr w:rsidR="00F10E64" w:rsidRPr="00F10E64" w14:paraId="20836609" w14:textId="77777777" w:rsidTr="00E36ACD">
        <w:tc>
          <w:tcPr>
            <w:tcW w:w="2235" w:type="dxa"/>
            <w:shd w:val="clear" w:color="auto" w:fill="auto"/>
            <w:vAlign w:val="center"/>
          </w:tcPr>
          <w:p w14:paraId="60F3531A" w14:textId="77777777" w:rsidR="00717890" w:rsidRPr="00F10E64" w:rsidRDefault="00717890" w:rsidP="00AB1A98">
            <w:pPr>
              <w:spacing w:after="60"/>
            </w:pPr>
            <w:proofErr w:type="spellStart"/>
            <w:r w:rsidRPr="00F10E64">
              <w:t>Lazo</w:t>
            </w:r>
            <w:proofErr w:type="spellEnd"/>
            <w:r w:rsidRPr="00F10E64">
              <w:t xml:space="preserve"> E.</w:t>
            </w:r>
          </w:p>
        </w:tc>
        <w:tc>
          <w:tcPr>
            <w:tcW w:w="3969" w:type="dxa"/>
            <w:shd w:val="clear" w:color="auto" w:fill="auto"/>
          </w:tcPr>
          <w:p w14:paraId="71C7FEB5" w14:textId="7E578689" w:rsidR="00717890" w:rsidRPr="00F10E64" w:rsidRDefault="00B75452" w:rsidP="00AB1A98">
            <w:pPr>
              <w:spacing w:after="60"/>
            </w:pPr>
            <w:r>
              <w:t>Nuclear Energy Agency (</w:t>
            </w:r>
            <w:r w:rsidR="006B3C7D">
              <w:t xml:space="preserve">OECD </w:t>
            </w:r>
            <w:r w:rsidR="00717890" w:rsidRPr="00F10E64">
              <w:t>NEA</w:t>
            </w:r>
            <w:r>
              <w:t>)</w:t>
            </w:r>
          </w:p>
        </w:tc>
      </w:tr>
      <w:tr w:rsidR="00F10E64" w:rsidRPr="00F10E64" w14:paraId="28A0F197" w14:textId="77777777" w:rsidTr="00E36ACD">
        <w:tc>
          <w:tcPr>
            <w:tcW w:w="2235" w:type="dxa"/>
            <w:shd w:val="clear" w:color="auto" w:fill="auto"/>
            <w:vAlign w:val="center"/>
          </w:tcPr>
          <w:p w14:paraId="6BEE198B" w14:textId="77777777" w:rsidR="00717890" w:rsidRPr="00F10E64" w:rsidRDefault="00717890" w:rsidP="00AB1A98">
            <w:pPr>
              <w:spacing w:after="60"/>
            </w:pPr>
            <w:proofErr w:type="spellStart"/>
            <w:r w:rsidRPr="00F10E64">
              <w:t>Nogueira</w:t>
            </w:r>
            <w:proofErr w:type="spellEnd"/>
            <w:r w:rsidRPr="00F10E64">
              <w:t xml:space="preserve"> Oliveira C.</w:t>
            </w:r>
          </w:p>
        </w:tc>
        <w:tc>
          <w:tcPr>
            <w:tcW w:w="3969" w:type="dxa"/>
            <w:shd w:val="clear" w:color="auto" w:fill="auto"/>
          </w:tcPr>
          <w:p w14:paraId="2856E521" w14:textId="74ECE06F" w:rsidR="00717890" w:rsidRPr="00F10E64" w:rsidRDefault="00717890" w:rsidP="00B75452">
            <w:pPr>
              <w:spacing w:after="60"/>
            </w:pPr>
            <w:r w:rsidRPr="00F10E64">
              <w:t>IAEA</w:t>
            </w:r>
            <w:r w:rsidR="00B75452">
              <w:t xml:space="preserve"> Division of Nuclear Security</w:t>
            </w:r>
          </w:p>
        </w:tc>
      </w:tr>
    </w:tbl>
    <w:bookmarkEnd w:id="2"/>
    <w:p w14:paraId="791D71CE" w14:textId="1CF361C8" w:rsidR="00657734" w:rsidRPr="00657734" w:rsidRDefault="00717890" w:rsidP="000E4286">
      <w:pPr>
        <w:pStyle w:val="Heading1"/>
        <w:rPr>
          <w:lang w:eastAsia="en-GB"/>
        </w:rPr>
      </w:pPr>
      <w:r>
        <w:rPr>
          <w:lang w:eastAsia="en-GB"/>
        </w:rPr>
        <w:t>Conference Secretariat</w:t>
      </w:r>
    </w:p>
    <w:p w14:paraId="420BCB88" w14:textId="77777777" w:rsidR="00717890" w:rsidRPr="00717890" w:rsidRDefault="00717890" w:rsidP="00717890">
      <w:pPr>
        <w:pStyle w:val="BodyText"/>
        <w:keepNext/>
        <w:rPr>
          <w:b/>
          <w:bCs/>
        </w:rPr>
      </w:pPr>
      <w:bookmarkStart w:id="4" w:name="_Ref372051245"/>
      <w:r w:rsidRPr="00717890">
        <w:rPr>
          <w:b/>
          <w:bCs/>
        </w:rPr>
        <w:t>General contact details of the Conference Secretariat:</w:t>
      </w:r>
    </w:p>
    <w:p w14:paraId="598BF97F" w14:textId="77777777" w:rsidR="00717890" w:rsidRPr="00717890" w:rsidRDefault="00717890" w:rsidP="00717890">
      <w:pPr>
        <w:tabs>
          <w:tab w:val="left" w:pos="1418"/>
        </w:tabs>
        <w:spacing w:after="170" w:line="280" w:lineRule="atLeast"/>
        <w:contextualSpacing/>
        <w:rPr>
          <w:szCs w:val="22"/>
        </w:rPr>
      </w:pPr>
      <w:r w:rsidRPr="00717890">
        <w:rPr>
          <w:szCs w:val="22"/>
        </w:rPr>
        <w:t>International Atomic Energy Agency</w:t>
      </w:r>
    </w:p>
    <w:p w14:paraId="69EF55D9" w14:textId="77777777" w:rsidR="00717890" w:rsidRPr="00717890" w:rsidRDefault="00717890" w:rsidP="00717890">
      <w:pPr>
        <w:tabs>
          <w:tab w:val="left" w:pos="1418"/>
        </w:tabs>
        <w:spacing w:after="170" w:line="280" w:lineRule="atLeast"/>
        <w:contextualSpacing/>
        <w:rPr>
          <w:szCs w:val="22"/>
        </w:rPr>
      </w:pPr>
      <w:r w:rsidRPr="00717890">
        <w:rPr>
          <w:szCs w:val="22"/>
        </w:rPr>
        <w:t>Vienna International Centre</w:t>
      </w:r>
    </w:p>
    <w:p w14:paraId="1DBD686F" w14:textId="77777777" w:rsidR="00717890" w:rsidRPr="00717890" w:rsidRDefault="00717890" w:rsidP="00717890">
      <w:pPr>
        <w:tabs>
          <w:tab w:val="left" w:pos="1418"/>
        </w:tabs>
        <w:spacing w:after="170" w:line="280" w:lineRule="atLeast"/>
        <w:contextualSpacing/>
        <w:rPr>
          <w:szCs w:val="22"/>
        </w:rPr>
      </w:pPr>
      <w:r w:rsidRPr="00717890">
        <w:rPr>
          <w:szCs w:val="22"/>
        </w:rPr>
        <w:t>PO Box 100</w:t>
      </w:r>
    </w:p>
    <w:p w14:paraId="065C34CF" w14:textId="77777777" w:rsidR="00717890" w:rsidRPr="00717890" w:rsidRDefault="00717890" w:rsidP="00717890">
      <w:pPr>
        <w:tabs>
          <w:tab w:val="left" w:pos="1418"/>
        </w:tabs>
        <w:spacing w:after="170" w:line="280" w:lineRule="atLeast"/>
        <w:contextualSpacing/>
        <w:rPr>
          <w:szCs w:val="22"/>
        </w:rPr>
      </w:pPr>
      <w:r w:rsidRPr="00717890">
        <w:rPr>
          <w:szCs w:val="22"/>
        </w:rPr>
        <w:t>1400 VIENNA</w:t>
      </w:r>
    </w:p>
    <w:p w14:paraId="1A628B72" w14:textId="77777777" w:rsidR="00717890" w:rsidRPr="00717890" w:rsidRDefault="00717890" w:rsidP="00717890">
      <w:pPr>
        <w:tabs>
          <w:tab w:val="left" w:pos="1418"/>
        </w:tabs>
        <w:spacing w:after="170" w:line="280" w:lineRule="atLeast"/>
        <w:contextualSpacing/>
        <w:rPr>
          <w:szCs w:val="22"/>
        </w:rPr>
      </w:pPr>
      <w:r w:rsidRPr="00717890">
        <w:rPr>
          <w:szCs w:val="22"/>
        </w:rPr>
        <w:t>AUSTRIA</w:t>
      </w:r>
    </w:p>
    <w:p w14:paraId="518C4844" w14:textId="193FF5AB" w:rsidR="00717890" w:rsidRPr="00717890" w:rsidRDefault="00717890" w:rsidP="00717890">
      <w:pPr>
        <w:tabs>
          <w:tab w:val="left" w:pos="1418"/>
        </w:tabs>
        <w:spacing w:after="170" w:line="280" w:lineRule="atLeast"/>
        <w:contextualSpacing/>
        <w:rPr>
          <w:szCs w:val="22"/>
          <w:lang w:val="it-IT"/>
        </w:rPr>
      </w:pPr>
      <w:r w:rsidRPr="00717890">
        <w:rPr>
          <w:szCs w:val="22"/>
          <w:lang w:val="it-IT"/>
        </w:rPr>
        <w:t>Tel.: + 43 1 2600</w:t>
      </w:r>
      <w:r w:rsidR="00BF0101">
        <w:rPr>
          <w:szCs w:val="22"/>
          <w:lang w:val="it-IT"/>
        </w:rPr>
        <w:t>-0</w:t>
      </w:r>
    </w:p>
    <w:p w14:paraId="0DBD26DB" w14:textId="45C0605C" w:rsidR="00717890" w:rsidRPr="00717890" w:rsidRDefault="00717890" w:rsidP="00B75452">
      <w:pPr>
        <w:tabs>
          <w:tab w:val="left" w:pos="1418"/>
        </w:tabs>
        <w:spacing w:after="170" w:line="280" w:lineRule="atLeast"/>
        <w:contextualSpacing/>
        <w:rPr>
          <w:szCs w:val="22"/>
          <w:lang w:val="it-IT"/>
        </w:rPr>
      </w:pPr>
      <w:r w:rsidRPr="00717890">
        <w:rPr>
          <w:szCs w:val="22"/>
          <w:lang w:val="it-IT"/>
        </w:rPr>
        <w:t>Fax: +43 1 2600</w:t>
      </w:r>
      <w:r w:rsidR="00BF0101">
        <w:rPr>
          <w:szCs w:val="22"/>
          <w:lang w:val="it-IT"/>
        </w:rPr>
        <w:t>-</w:t>
      </w:r>
      <w:r w:rsidR="00B75452">
        <w:rPr>
          <w:szCs w:val="22"/>
          <w:lang w:val="it-IT"/>
        </w:rPr>
        <w:t>7</w:t>
      </w:r>
    </w:p>
    <w:p w14:paraId="2C886458" w14:textId="77777777" w:rsidR="00717890" w:rsidRPr="00717890" w:rsidRDefault="00717890" w:rsidP="00717890">
      <w:pPr>
        <w:tabs>
          <w:tab w:val="left" w:pos="1418"/>
        </w:tabs>
        <w:spacing w:after="170" w:line="280" w:lineRule="atLeast"/>
        <w:contextualSpacing/>
        <w:rPr>
          <w:szCs w:val="22"/>
          <w:lang w:val="it-IT"/>
        </w:rPr>
      </w:pPr>
      <w:r w:rsidRPr="00717890">
        <w:rPr>
          <w:szCs w:val="22"/>
          <w:lang w:val="it-IT"/>
        </w:rPr>
        <w:t xml:space="preserve">Email: </w:t>
      </w:r>
      <w:hyperlink r:id="rId11" w:history="1">
        <w:r w:rsidRPr="00717890">
          <w:rPr>
            <w:rStyle w:val="Hyperlink"/>
            <w:szCs w:val="22"/>
            <w:lang w:val="it-IT"/>
          </w:rPr>
          <w:t>Official.Mail@iaea.org</w:t>
        </w:r>
      </w:hyperlink>
    </w:p>
    <w:p w14:paraId="077E5412" w14:textId="77777777" w:rsidR="00717890" w:rsidRPr="00717890" w:rsidRDefault="00717890" w:rsidP="00717890">
      <w:pPr>
        <w:pStyle w:val="BodyText"/>
        <w:keepNext/>
        <w:rPr>
          <w:b/>
          <w:bCs/>
        </w:rPr>
      </w:pPr>
      <w:r w:rsidRPr="00717890">
        <w:rPr>
          <w:b/>
          <w:bCs/>
        </w:rPr>
        <w:t>Scientific Secretary:</w:t>
      </w:r>
    </w:p>
    <w:p w14:paraId="146BF0B0" w14:textId="77777777" w:rsidR="00717890" w:rsidRPr="00717890" w:rsidRDefault="00717890" w:rsidP="00717890">
      <w:pPr>
        <w:spacing w:after="170" w:line="280" w:lineRule="atLeast"/>
        <w:contextualSpacing/>
        <w:rPr>
          <w:b/>
          <w:bCs/>
          <w:szCs w:val="22"/>
        </w:rPr>
      </w:pPr>
      <w:r w:rsidRPr="00717890">
        <w:rPr>
          <w:b/>
          <w:bCs/>
          <w:szCs w:val="22"/>
        </w:rPr>
        <w:t xml:space="preserve">Ms Elena </w:t>
      </w:r>
      <w:proofErr w:type="spellStart"/>
      <w:r w:rsidRPr="00717890">
        <w:rPr>
          <w:b/>
          <w:bCs/>
          <w:szCs w:val="22"/>
        </w:rPr>
        <w:t>Buglova</w:t>
      </w:r>
      <w:proofErr w:type="spellEnd"/>
    </w:p>
    <w:p w14:paraId="0BFD419E" w14:textId="77777777" w:rsidR="00717890" w:rsidRPr="00717890" w:rsidRDefault="00717890" w:rsidP="00717890">
      <w:pPr>
        <w:spacing w:after="170" w:line="280" w:lineRule="atLeast"/>
        <w:contextualSpacing/>
        <w:rPr>
          <w:szCs w:val="22"/>
        </w:rPr>
      </w:pPr>
      <w:r w:rsidRPr="00717890">
        <w:rPr>
          <w:szCs w:val="22"/>
        </w:rPr>
        <w:t>Head, Incident and Emergency Centre (IEC)</w:t>
      </w:r>
    </w:p>
    <w:p w14:paraId="0DCB0E49" w14:textId="77777777" w:rsidR="00717890" w:rsidRPr="00717890" w:rsidRDefault="00717890" w:rsidP="00717890">
      <w:pPr>
        <w:spacing w:after="170" w:line="280" w:lineRule="atLeast"/>
        <w:contextualSpacing/>
        <w:rPr>
          <w:szCs w:val="22"/>
        </w:rPr>
      </w:pPr>
      <w:r w:rsidRPr="00717890">
        <w:rPr>
          <w:szCs w:val="22"/>
        </w:rPr>
        <w:t>Department of Nuclear Safety and Security</w:t>
      </w:r>
    </w:p>
    <w:p w14:paraId="41EFCFBA" w14:textId="77777777" w:rsidR="00717890" w:rsidRPr="00717890" w:rsidRDefault="00717890" w:rsidP="00717890">
      <w:pPr>
        <w:tabs>
          <w:tab w:val="left" w:pos="1418"/>
        </w:tabs>
        <w:spacing w:after="170" w:line="280" w:lineRule="atLeast"/>
        <w:contextualSpacing/>
        <w:rPr>
          <w:szCs w:val="22"/>
          <w:lang w:val="it-IT"/>
        </w:rPr>
      </w:pPr>
      <w:r w:rsidRPr="00717890">
        <w:rPr>
          <w:szCs w:val="22"/>
          <w:lang w:val="it-IT"/>
        </w:rPr>
        <w:t>Tel.: + 43 1 2600 22738</w:t>
      </w:r>
    </w:p>
    <w:p w14:paraId="2800D7CE" w14:textId="27924625" w:rsidR="00717890" w:rsidRPr="00717890" w:rsidRDefault="00717890" w:rsidP="00717890">
      <w:pPr>
        <w:tabs>
          <w:tab w:val="left" w:pos="1418"/>
        </w:tabs>
        <w:spacing w:after="170" w:line="280" w:lineRule="atLeast"/>
        <w:contextualSpacing/>
        <w:rPr>
          <w:rStyle w:val="Hyperlink"/>
          <w:iCs/>
          <w:szCs w:val="22"/>
          <w:lang w:val="it-IT"/>
        </w:rPr>
      </w:pPr>
      <w:r w:rsidRPr="00717890">
        <w:rPr>
          <w:szCs w:val="22"/>
          <w:lang w:val="it-IT"/>
        </w:rPr>
        <w:t>E</w:t>
      </w:r>
      <w:r w:rsidRPr="00717890">
        <w:rPr>
          <w:iCs/>
          <w:szCs w:val="22"/>
          <w:lang w:val="it-IT"/>
        </w:rPr>
        <w:t>mail:</w:t>
      </w:r>
      <w:r w:rsidRPr="00717890">
        <w:rPr>
          <w:i/>
          <w:szCs w:val="22"/>
          <w:lang w:val="it-IT"/>
        </w:rPr>
        <w:t xml:space="preserve"> </w:t>
      </w:r>
      <w:hyperlink r:id="rId12" w:history="1">
        <w:r w:rsidR="00B75452">
          <w:rPr>
            <w:rStyle w:val="Hyperlink"/>
            <w:iCs/>
            <w:szCs w:val="22"/>
            <w:lang w:val="it-IT"/>
          </w:rPr>
          <w:t>E.Buglova@iaea.org</w:t>
        </w:r>
      </w:hyperlink>
    </w:p>
    <w:p w14:paraId="4363CD62" w14:textId="77777777" w:rsidR="00717890" w:rsidRPr="00717890" w:rsidRDefault="00717890" w:rsidP="00717890">
      <w:pPr>
        <w:pStyle w:val="BodyText"/>
        <w:keepNext/>
        <w:rPr>
          <w:b/>
          <w:bCs/>
        </w:rPr>
      </w:pPr>
      <w:r w:rsidRPr="00717890">
        <w:rPr>
          <w:b/>
          <w:bCs/>
        </w:rPr>
        <w:t>Administration and organization:</w:t>
      </w:r>
    </w:p>
    <w:p w14:paraId="4DED3D0D" w14:textId="77777777" w:rsidR="00717890" w:rsidRDefault="00717890" w:rsidP="00717890">
      <w:pPr>
        <w:overflowPunct/>
        <w:autoSpaceDE/>
        <w:autoSpaceDN/>
        <w:adjustRightInd/>
        <w:spacing w:after="170" w:line="280" w:lineRule="atLeast"/>
        <w:contextualSpacing/>
        <w:textAlignment w:val="auto"/>
        <w:rPr>
          <w:szCs w:val="22"/>
        </w:rPr>
      </w:pPr>
      <w:r w:rsidRPr="00717890">
        <w:rPr>
          <w:b/>
          <w:bCs/>
          <w:szCs w:val="22"/>
        </w:rPr>
        <w:t xml:space="preserve">Ms Julie </w:t>
      </w:r>
      <w:proofErr w:type="spellStart"/>
      <w:r w:rsidRPr="00717890">
        <w:rPr>
          <w:b/>
          <w:bCs/>
          <w:szCs w:val="22"/>
        </w:rPr>
        <w:t>Zellinger</w:t>
      </w:r>
      <w:proofErr w:type="spellEnd"/>
    </w:p>
    <w:p w14:paraId="46354DD1" w14:textId="77777777" w:rsidR="00717890" w:rsidRDefault="00717890" w:rsidP="00717890">
      <w:pPr>
        <w:overflowPunct/>
        <w:autoSpaceDE/>
        <w:autoSpaceDN/>
        <w:adjustRightInd/>
        <w:spacing w:after="170" w:line="280" w:lineRule="atLeast"/>
        <w:contextualSpacing/>
        <w:textAlignment w:val="auto"/>
        <w:rPr>
          <w:szCs w:val="22"/>
        </w:rPr>
      </w:pPr>
      <w:r w:rsidRPr="00717890">
        <w:rPr>
          <w:szCs w:val="22"/>
        </w:rPr>
        <w:t>Conference Services Section</w:t>
      </w:r>
    </w:p>
    <w:p w14:paraId="4F19D1FB" w14:textId="77777777" w:rsidR="00717890" w:rsidRDefault="00717890" w:rsidP="00717890">
      <w:pPr>
        <w:overflowPunct/>
        <w:autoSpaceDE/>
        <w:autoSpaceDN/>
        <w:adjustRightInd/>
        <w:spacing w:after="170" w:line="280" w:lineRule="atLeast"/>
        <w:contextualSpacing/>
        <w:textAlignment w:val="auto"/>
        <w:rPr>
          <w:szCs w:val="22"/>
        </w:rPr>
      </w:pPr>
      <w:r w:rsidRPr="00717890">
        <w:rPr>
          <w:szCs w:val="22"/>
        </w:rPr>
        <w:t>Division of Conference and Document Services</w:t>
      </w:r>
    </w:p>
    <w:p w14:paraId="674A1885" w14:textId="77777777" w:rsidR="00717890" w:rsidRDefault="00717890" w:rsidP="00717890">
      <w:pPr>
        <w:overflowPunct/>
        <w:autoSpaceDE/>
        <w:autoSpaceDN/>
        <w:adjustRightInd/>
        <w:spacing w:after="170" w:line="280" w:lineRule="atLeast"/>
        <w:contextualSpacing/>
        <w:textAlignment w:val="auto"/>
        <w:rPr>
          <w:szCs w:val="22"/>
        </w:rPr>
      </w:pPr>
      <w:r w:rsidRPr="00717890">
        <w:rPr>
          <w:szCs w:val="22"/>
        </w:rPr>
        <w:t>Department of Management</w:t>
      </w:r>
    </w:p>
    <w:p w14:paraId="3A1547F1" w14:textId="1F9F72A1" w:rsidR="00717890" w:rsidRDefault="00717890" w:rsidP="00717890">
      <w:pPr>
        <w:overflowPunct/>
        <w:autoSpaceDE/>
        <w:autoSpaceDN/>
        <w:adjustRightInd/>
        <w:spacing w:after="170" w:line="280" w:lineRule="atLeast"/>
        <w:contextualSpacing/>
        <w:textAlignment w:val="auto"/>
        <w:rPr>
          <w:szCs w:val="22"/>
        </w:rPr>
      </w:pPr>
      <w:r w:rsidRPr="00717890">
        <w:rPr>
          <w:szCs w:val="22"/>
        </w:rPr>
        <w:t>CN-213</w:t>
      </w:r>
    </w:p>
    <w:p w14:paraId="1126DE8A" w14:textId="77777777" w:rsidR="00717890" w:rsidRPr="000706C9" w:rsidRDefault="00717890" w:rsidP="00717890">
      <w:pPr>
        <w:overflowPunct/>
        <w:autoSpaceDE/>
        <w:autoSpaceDN/>
        <w:adjustRightInd/>
        <w:spacing w:after="170" w:line="280" w:lineRule="atLeast"/>
        <w:contextualSpacing/>
        <w:textAlignment w:val="auto"/>
        <w:rPr>
          <w:szCs w:val="22"/>
          <w:lang w:val="fr-FR"/>
        </w:rPr>
      </w:pPr>
      <w:r w:rsidRPr="000706C9">
        <w:rPr>
          <w:szCs w:val="22"/>
          <w:lang w:val="fr-FR"/>
        </w:rPr>
        <w:t>Tel.: +43 1 2600 21321</w:t>
      </w:r>
    </w:p>
    <w:p w14:paraId="66CAF061" w14:textId="1B3418EB" w:rsidR="00717890" w:rsidRPr="000706C9" w:rsidRDefault="00717890" w:rsidP="00717890">
      <w:pPr>
        <w:overflowPunct/>
        <w:autoSpaceDE/>
        <w:autoSpaceDN/>
        <w:adjustRightInd/>
        <w:spacing w:after="170" w:line="280" w:lineRule="atLeast"/>
        <w:textAlignment w:val="auto"/>
        <w:rPr>
          <w:szCs w:val="22"/>
          <w:lang w:val="fr-FR"/>
        </w:rPr>
      </w:pPr>
      <w:r w:rsidRPr="000706C9">
        <w:rPr>
          <w:szCs w:val="22"/>
          <w:lang w:val="fr-FR"/>
        </w:rPr>
        <w:t xml:space="preserve">Email: </w:t>
      </w:r>
      <w:hyperlink r:id="rId13" w:history="1">
        <w:r w:rsidRPr="000706C9">
          <w:rPr>
            <w:color w:val="0000FF"/>
            <w:szCs w:val="22"/>
            <w:u w:val="single"/>
            <w:lang w:val="fr-FR"/>
          </w:rPr>
          <w:t>J.Zellinger@iaea.org</w:t>
        </w:r>
      </w:hyperlink>
    </w:p>
    <w:p w14:paraId="1274B9E5" w14:textId="77777777" w:rsidR="00717890" w:rsidRPr="00717890" w:rsidRDefault="00717890" w:rsidP="00717890">
      <w:pPr>
        <w:overflowPunct/>
        <w:autoSpaceDE/>
        <w:autoSpaceDN/>
        <w:adjustRightInd/>
        <w:spacing w:after="170" w:line="280" w:lineRule="atLeast"/>
        <w:textAlignment w:val="auto"/>
        <w:rPr>
          <w:szCs w:val="22"/>
        </w:rPr>
      </w:pPr>
      <w:r w:rsidRPr="00717890">
        <w:rPr>
          <w:szCs w:val="22"/>
        </w:rPr>
        <w:t>Subsequent correspondence on scientific matters should be sent to the Scientific Secretary and correspondence on administrative matters to the IAEA Conference Services Section.</w:t>
      </w:r>
    </w:p>
    <w:p w14:paraId="5BF9FC7C" w14:textId="7B9BD732" w:rsidR="00CC6750" w:rsidRDefault="00717890" w:rsidP="000E4286">
      <w:pPr>
        <w:pStyle w:val="Heading1"/>
        <w:rPr>
          <w:lang w:eastAsia="en-GB"/>
        </w:rPr>
      </w:pPr>
      <w:bookmarkStart w:id="5" w:name="_Ref400609547"/>
      <w:r>
        <w:rPr>
          <w:lang w:eastAsia="en-GB"/>
        </w:rPr>
        <w:t>Conference</w:t>
      </w:r>
      <w:r w:rsidR="00CC6750">
        <w:rPr>
          <w:lang w:eastAsia="en-GB"/>
        </w:rPr>
        <w:t xml:space="preserve"> Web Page</w:t>
      </w:r>
      <w:bookmarkEnd w:id="4"/>
      <w:bookmarkEnd w:id="5"/>
    </w:p>
    <w:p w14:paraId="4D27C051" w14:textId="01F8EDB9" w:rsidR="00717890" w:rsidRPr="0013516E" w:rsidRDefault="00717890" w:rsidP="00B75452">
      <w:pPr>
        <w:overflowPunct/>
        <w:autoSpaceDE/>
        <w:autoSpaceDN/>
        <w:adjustRightInd/>
        <w:spacing w:after="170" w:line="280" w:lineRule="atLeast"/>
        <w:textAlignment w:val="auto"/>
      </w:pPr>
      <w:r w:rsidRPr="0013516E">
        <w:t xml:space="preserve">Please visit the </w:t>
      </w:r>
      <w:r w:rsidR="00B75452">
        <w:t xml:space="preserve">following </w:t>
      </w:r>
      <w:r w:rsidRPr="0013516E">
        <w:t xml:space="preserve">web page regularly for new information regarding this </w:t>
      </w:r>
      <w:r>
        <w:t>conference</w:t>
      </w:r>
      <w:r w:rsidRPr="0013516E">
        <w:t>:</w:t>
      </w:r>
    </w:p>
    <w:p w14:paraId="676493B0" w14:textId="0909C7A5" w:rsidR="00CC6750" w:rsidRPr="00CC6750" w:rsidRDefault="00F44AF8" w:rsidP="00717890">
      <w:pPr>
        <w:overflowPunct/>
        <w:spacing w:after="170" w:line="280" w:lineRule="atLeast"/>
        <w:jc w:val="both"/>
        <w:textAlignment w:val="auto"/>
        <w:rPr>
          <w:color w:val="FF0000"/>
        </w:rPr>
      </w:pPr>
      <w:hyperlink r:id="rId14" w:history="1">
        <w:r w:rsidR="00717890" w:rsidRPr="00D50074">
          <w:rPr>
            <w:rStyle w:val="Hyperlink"/>
            <w:lang w:val="it-IT"/>
          </w:rPr>
          <w:t>http://www-pub.iaea.org/iaeameetings/45986/International-Conference-on-Global-Emergency-Preparedness-and-Response</w:t>
        </w:r>
      </w:hyperlink>
    </w:p>
    <w:sectPr w:rsidR="00CC6750" w:rsidRPr="00CC6750" w:rsidSect="006B3C7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531" w:right="1275" w:bottom="1134" w:left="1134"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1A961" w14:textId="77777777" w:rsidR="002D50D5" w:rsidRDefault="002D50D5">
      <w:r>
        <w:separator/>
      </w:r>
    </w:p>
  </w:endnote>
  <w:endnote w:type="continuationSeparator" w:id="0">
    <w:p w14:paraId="40DBF34E" w14:textId="77777777" w:rsidR="002D50D5" w:rsidRDefault="002D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AE262E" w:rsidRDefault="00AE262E">
    <w:pPr>
      <w:pStyle w:val="zyxClassification1"/>
    </w:pPr>
    <w:r>
      <w:fldChar w:fldCharType="begin"/>
    </w:r>
    <w:r>
      <w:instrText xml:space="preserve"> DOCPROPERTY "IaeaClassification"  \* MERGEFORMAT </w:instrText>
    </w:r>
    <w:r>
      <w:fldChar w:fldCharType="end"/>
    </w:r>
  </w:p>
  <w:p w14:paraId="020E85AD" w14:textId="374CD9D8" w:rsidR="00AE262E" w:rsidRDefault="00AE262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0A12" w14:textId="77777777" w:rsidR="0011636E" w:rsidRDefault="0011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1D89" w14:textId="29F5E609" w:rsidR="00AE262E" w:rsidRDefault="00AE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7D8B" w14:textId="77777777" w:rsidR="002D50D5" w:rsidRDefault="002D50D5">
      <w:r>
        <w:t>___________________________________________________________________________</w:t>
      </w:r>
    </w:p>
  </w:footnote>
  <w:footnote w:type="continuationSeparator" w:id="0">
    <w:p w14:paraId="5E2A7EC9" w14:textId="77777777" w:rsidR="002D50D5" w:rsidRDefault="002D50D5">
      <w:r>
        <w:t>___________________________________________________________________________</w:t>
      </w:r>
    </w:p>
  </w:footnote>
  <w:footnote w:type="continuationNotice" w:id="1">
    <w:p w14:paraId="2CF3D8F7" w14:textId="77777777" w:rsidR="002D50D5" w:rsidRDefault="002D5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AE262E" w:rsidRDefault="00AE262E">
    <w:pPr>
      <w:pStyle w:val="Header"/>
      <w:spacing w:after="0"/>
      <w:rPr>
        <w:sz w:val="8"/>
      </w:rPr>
    </w:pPr>
    <w:r>
      <w:br/>
      <w:t xml:space="preserve">Page </w:t>
    </w:r>
    <w:r>
      <w:fldChar w:fldCharType="begin"/>
    </w:r>
    <w:r>
      <w:instrText xml:space="preserve"> PAGE </w:instrText>
    </w:r>
    <w:r>
      <w:fldChar w:fldCharType="separate"/>
    </w:r>
    <w:r w:rsidR="00F44AF8">
      <w:rPr>
        <w:noProof/>
      </w:rPr>
      <w:t>8</w:t>
    </w:r>
    <w:r>
      <w:fldChar w:fldCharType="end"/>
    </w:r>
    <w:r>
      <w:br/>
    </w:r>
  </w:p>
  <w:p w14:paraId="6ACCBE17" w14:textId="62C988E1" w:rsidR="00AE262E" w:rsidRDefault="00191DBD">
    <w:pPr>
      <w:pStyle w:val="zyxClassification1"/>
    </w:pPr>
    <w:r>
      <w:fldChar w:fldCharType="begin"/>
    </w:r>
    <w:r>
      <w:instrText xml:space="preserve"> DOCPROPERTY "IaeaClassification"  \* MERGEFORMAT </w:instrText>
    </w:r>
    <w:r>
      <w:fldChar w:fldCharType="end"/>
    </w:r>
  </w:p>
  <w:p w14:paraId="4BA556FD" w14:textId="6895008B"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5B475278"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F44AF8">
      <w:rPr>
        <w:noProof/>
      </w:rPr>
      <w:t>9</w:t>
    </w:r>
    <w: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6" w:name="DOC_bkmClassification1"/>
        </w:p>
        <w:bookmarkEnd w:id="6"/>
        <w:p w14:paraId="2E9A7E44" w14:textId="1A4E0152" w:rsidR="00AE262E" w:rsidRDefault="00AE262E">
          <w:pPr>
            <w:pStyle w:val="zyxConfid2Red"/>
          </w:pPr>
          <w:r>
            <w:fldChar w:fldCharType="begin"/>
          </w:r>
          <w:r>
            <w:instrText>DOCPROPERTY "IaeaClassification2"  \* MERGEFORMAT</w:instrText>
          </w:r>
          <w:r>
            <w:fldChar w:fldCharType="end"/>
          </w: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94B"/>
    <w:multiLevelType w:val="hybridMultilevel"/>
    <w:tmpl w:val="A7225B68"/>
    <w:lvl w:ilvl="0" w:tplc="104A3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31F4A15"/>
    <w:multiLevelType w:val="hybridMultilevel"/>
    <w:tmpl w:val="8A8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8A7D0B"/>
    <w:multiLevelType w:val="hybridMultilevel"/>
    <w:tmpl w:val="EAA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56249"/>
    <w:multiLevelType w:val="hybridMultilevel"/>
    <w:tmpl w:val="95600A04"/>
    <w:lvl w:ilvl="0" w:tplc="7FEC011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572008"/>
    <w:multiLevelType w:val="hybridMultilevel"/>
    <w:tmpl w:val="3314F44A"/>
    <w:lvl w:ilvl="0" w:tplc="104A3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1E1AAE"/>
    <w:multiLevelType w:val="hybridMultilevel"/>
    <w:tmpl w:val="63AE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4D7D6E"/>
    <w:multiLevelType w:val="hybridMultilevel"/>
    <w:tmpl w:val="90BAC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45C91"/>
    <w:multiLevelType w:val="hybridMultilevel"/>
    <w:tmpl w:val="C038CEF4"/>
    <w:lvl w:ilvl="0" w:tplc="0809000F">
      <w:start w:val="1"/>
      <w:numFmt w:val="decimal"/>
      <w:lvlText w:val="%1."/>
      <w:lvlJc w:val="left"/>
      <w:pPr>
        <w:ind w:left="720" w:hanging="360"/>
      </w:pPr>
    </w:lvl>
    <w:lvl w:ilvl="1" w:tplc="104A347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14389E"/>
    <w:multiLevelType w:val="hybridMultilevel"/>
    <w:tmpl w:val="3C422C3E"/>
    <w:lvl w:ilvl="0" w:tplc="8B98D1A2">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692E0D"/>
    <w:multiLevelType w:val="hybridMultilevel"/>
    <w:tmpl w:val="CB227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2"/>
  </w:num>
  <w:num w:numId="5">
    <w:abstractNumId w:val="12"/>
  </w:num>
  <w:num w:numId="6">
    <w:abstractNumId w:val="5"/>
  </w:num>
  <w:num w:numId="7">
    <w:abstractNumId w:val="10"/>
  </w:num>
  <w:num w:numId="8">
    <w:abstractNumId w:val="13"/>
  </w:num>
  <w:num w:numId="9">
    <w:abstractNumId w:val="1"/>
  </w:num>
  <w:num w:numId="10">
    <w:abstractNumId w:val="6"/>
  </w:num>
  <w:num w:numId="11">
    <w:abstractNumId w:val="14"/>
  </w:num>
  <w:num w:numId="12">
    <w:abstractNumId w:val="3"/>
  </w:num>
  <w:num w:numId="13">
    <w:abstractNumId w:val="9"/>
  </w:num>
  <w:num w:numId="14">
    <w:abstractNumId w:val="9"/>
  </w:num>
  <w:num w:numId="15">
    <w:abstractNumId w:val="9"/>
  </w:num>
  <w:num w:numId="16">
    <w:abstractNumId w:val="14"/>
  </w:num>
  <w:num w:numId="17">
    <w:abstractNumId w:val="18"/>
  </w:num>
  <w:num w:numId="18">
    <w:abstractNumId w:val="0"/>
  </w:num>
  <w:num w:numId="19">
    <w:abstractNumId w:val="15"/>
  </w:num>
  <w:num w:numId="20">
    <w:abstractNumId w:val="17"/>
  </w:num>
  <w:num w:numId="21">
    <w:abstractNumId w:val="7"/>
  </w:num>
  <w:num w:numId="22">
    <w:abstractNumId w:val="8"/>
  </w:num>
  <w:num w:numId="23">
    <w:abstractNumId w:val="11"/>
  </w:num>
  <w:num w:numId="24">
    <w:abstractNumId w:val="2"/>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706C9"/>
    <w:rsid w:val="00076B61"/>
    <w:rsid w:val="00096838"/>
    <w:rsid w:val="000D3E7F"/>
    <w:rsid w:val="000D4173"/>
    <w:rsid w:val="000E4286"/>
    <w:rsid w:val="000F033E"/>
    <w:rsid w:val="000F0519"/>
    <w:rsid w:val="000F3EDC"/>
    <w:rsid w:val="000F7E94"/>
    <w:rsid w:val="001114C8"/>
    <w:rsid w:val="0011636E"/>
    <w:rsid w:val="0012305B"/>
    <w:rsid w:val="00124B1C"/>
    <w:rsid w:val="0013076F"/>
    <w:rsid w:val="00143429"/>
    <w:rsid w:val="001524D5"/>
    <w:rsid w:val="001541E9"/>
    <w:rsid w:val="0015429A"/>
    <w:rsid w:val="00165B45"/>
    <w:rsid w:val="00191DBD"/>
    <w:rsid w:val="001A14C1"/>
    <w:rsid w:val="001B20E0"/>
    <w:rsid w:val="001C1AEB"/>
    <w:rsid w:val="001D266D"/>
    <w:rsid w:val="001D4A42"/>
    <w:rsid w:val="001F3F28"/>
    <w:rsid w:val="00210F2D"/>
    <w:rsid w:val="00243701"/>
    <w:rsid w:val="00260293"/>
    <w:rsid w:val="0026679E"/>
    <w:rsid w:val="00274790"/>
    <w:rsid w:val="00276559"/>
    <w:rsid w:val="002944CA"/>
    <w:rsid w:val="002C3F6D"/>
    <w:rsid w:val="002C7DBF"/>
    <w:rsid w:val="002D50D5"/>
    <w:rsid w:val="002E120D"/>
    <w:rsid w:val="0031580D"/>
    <w:rsid w:val="003332DA"/>
    <w:rsid w:val="00333966"/>
    <w:rsid w:val="00337B52"/>
    <w:rsid w:val="0034739F"/>
    <w:rsid w:val="0035420A"/>
    <w:rsid w:val="00362111"/>
    <w:rsid w:val="00385647"/>
    <w:rsid w:val="00387460"/>
    <w:rsid w:val="003A4CFD"/>
    <w:rsid w:val="003A7DEA"/>
    <w:rsid w:val="003B1DED"/>
    <w:rsid w:val="003D255A"/>
    <w:rsid w:val="003F29DB"/>
    <w:rsid w:val="003F51F4"/>
    <w:rsid w:val="003F6537"/>
    <w:rsid w:val="0040319F"/>
    <w:rsid w:val="00434779"/>
    <w:rsid w:val="00435F04"/>
    <w:rsid w:val="0044457E"/>
    <w:rsid w:val="00455430"/>
    <w:rsid w:val="004E663A"/>
    <w:rsid w:val="00506807"/>
    <w:rsid w:val="005250F7"/>
    <w:rsid w:val="00536D1A"/>
    <w:rsid w:val="00544156"/>
    <w:rsid w:val="0054739B"/>
    <w:rsid w:val="00573C87"/>
    <w:rsid w:val="00580C57"/>
    <w:rsid w:val="00595DCB"/>
    <w:rsid w:val="00597860"/>
    <w:rsid w:val="005A0F09"/>
    <w:rsid w:val="005B5BD1"/>
    <w:rsid w:val="005B6E72"/>
    <w:rsid w:val="005C2869"/>
    <w:rsid w:val="005C641A"/>
    <w:rsid w:val="005D6BF1"/>
    <w:rsid w:val="005E28D8"/>
    <w:rsid w:val="005E4066"/>
    <w:rsid w:val="005E4431"/>
    <w:rsid w:val="006117D0"/>
    <w:rsid w:val="0062541E"/>
    <w:rsid w:val="0063750C"/>
    <w:rsid w:val="00657734"/>
    <w:rsid w:val="006617F7"/>
    <w:rsid w:val="00671A79"/>
    <w:rsid w:val="006727C1"/>
    <w:rsid w:val="006B3C7D"/>
    <w:rsid w:val="006D4CF2"/>
    <w:rsid w:val="006F4FE7"/>
    <w:rsid w:val="00717890"/>
    <w:rsid w:val="0072426F"/>
    <w:rsid w:val="00740220"/>
    <w:rsid w:val="00741925"/>
    <w:rsid w:val="007445DA"/>
    <w:rsid w:val="007507A4"/>
    <w:rsid w:val="00750DF0"/>
    <w:rsid w:val="007E59E8"/>
    <w:rsid w:val="007F18F8"/>
    <w:rsid w:val="00802EC4"/>
    <w:rsid w:val="008046E5"/>
    <w:rsid w:val="00817D0A"/>
    <w:rsid w:val="00842620"/>
    <w:rsid w:val="008529C1"/>
    <w:rsid w:val="00897F1A"/>
    <w:rsid w:val="008D3425"/>
    <w:rsid w:val="008F3152"/>
    <w:rsid w:val="00905746"/>
    <w:rsid w:val="00966101"/>
    <w:rsid w:val="00970077"/>
    <w:rsid w:val="009943FA"/>
    <w:rsid w:val="009D0295"/>
    <w:rsid w:val="009D0B86"/>
    <w:rsid w:val="00A044BB"/>
    <w:rsid w:val="00A163F7"/>
    <w:rsid w:val="00A27505"/>
    <w:rsid w:val="00A4103B"/>
    <w:rsid w:val="00A756D2"/>
    <w:rsid w:val="00AB1A98"/>
    <w:rsid w:val="00AB6C9C"/>
    <w:rsid w:val="00AE262E"/>
    <w:rsid w:val="00AE3BC2"/>
    <w:rsid w:val="00AF442E"/>
    <w:rsid w:val="00AF76A8"/>
    <w:rsid w:val="00B330C0"/>
    <w:rsid w:val="00B41854"/>
    <w:rsid w:val="00B521CB"/>
    <w:rsid w:val="00B633E5"/>
    <w:rsid w:val="00B64059"/>
    <w:rsid w:val="00B75452"/>
    <w:rsid w:val="00B77990"/>
    <w:rsid w:val="00B81415"/>
    <w:rsid w:val="00B85526"/>
    <w:rsid w:val="00BA4EE9"/>
    <w:rsid w:val="00BB3E3D"/>
    <w:rsid w:val="00BC3718"/>
    <w:rsid w:val="00BD1400"/>
    <w:rsid w:val="00BE2A76"/>
    <w:rsid w:val="00BF0101"/>
    <w:rsid w:val="00BF037B"/>
    <w:rsid w:val="00BF68CA"/>
    <w:rsid w:val="00C06C52"/>
    <w:rsid w:val="00C21AC1"/>
    <w:rsid w:val="00C7512B"/>
    <w:rsid w:val="00C81CCB"/>
    <w:rsid w:val="00CA05E6"/>
    <w:rsid w:val="00CA4203"/>
    <w:rsid w:val="00CA5882"/>
    <w:rsid w:val="00CC6750"/>
    <w:rsid w:val="00CE5A52"/>
    <w:rsid w:val="00D36ACF"/>
    <w:rsid w:val="00D60E7A"/>
    <w:rsid w:val="00D626A1"/>
    <w:rsid w:val="00DA46CA"/>
    <w:rsid w:val="00DC4155"/>
    <w:rsid w:val="00DD0331"/>
    <w:rsid w:val="00DD5F8C"/>
    <w:rsid w:val="00E048DD"/>
    <w:rsid w:val="00E12FF2"/>
    <w:rsid w:val="00E20E70"/>
    <w:rsid w:val="00E23813"/>
    <w:rsid w:val="00E24E0A"/>
    <w:rsid w:val="00E36ACD"/>
    <w:rsid w:val="00E379C7"/>
    <w:rsid w:val="00E54B23"/>
    <w:rsid w:val="00E65547"/>
    <w:rsid w:val="00E7421C"/>
    <w:rsid w:val="00E77634"/>
    <w:rsid w:val="00EB0852"/>
    <w:rsid w:val="00EC2981"/>
    <w:rsid w:val="00EE75B5"/>
    <w:rsid w:val="00EF0C42"/>
    <w:rsid w:val="00F102E5"/>
    <w:rsid w:val="00F107F2"/>
    <w:rsid w:val="00F10E64"/>
    <w:rsid w:val="00F1752C"/>
    <w:rsid w:val="00F1761D"/>
    <w:rsid w:val="00F23066"/>
    <w:rsid w:val="00F342E2"/>
    <w:rsid w:val="00F44AF8"/>
    <w:rsid w:val="00F4545E"/>
    <w:rsid w:val="00F61D08"/>
    <w:rsid w:val="00F952CC"/>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6385"/>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Body Text 2" w:uiPriority="0"/>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link w:val="Heading2Char"/>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BodyText2">
    <w:name w:val="Body Text 2"/>
    <w:basedOn w:val="Normal"/>
    <w:link w:val="BodyText2Char"/>
    <w:rsid w:val="00717890"/>
    <w:pPr>
      <w:spacing w:after="120" w:line="480" w:lineRule="auto"/>
    </w:pPr>
  </w:style>
  <w:style w:type="character" w:customStyle="1" w:styleId="BodyText2Char">
    <w:name w:val="Body Text 2 Char"/>
    <w:basedOn w:val="DefaultParagraphFont"/>
    <w:link w:val="BodyText2"/>
    <w:uiPriority w:val="49"/>
    <w:rsid w:val="00717890"/>
    <w:rPr>
      <w:sz w:val="22"/>
      <w:lang w:eastAsia="en-US"/>
    </w:rPr>
  </w:style>
  <w:style w:type="character" w:customStyle="1" w:styleId="Heading2Char">
    <w:name w:val="Heading 2 Char"/>
    <w:basedOn w:val="DefaultParagraphFont"/>
    <w:link w:val="Heading2"/>
    <w:rsid w:val="00717890"/>
    <w:rPr>
      <w:b/>
      <w:sz w:val="28"/>
      <w:lang w:eastAsia="en-US"/>
    </w:rPr>
  </w:style>
  <w:style w:type="character" w:customStyle="1" w:styleId="LETT2">
    <w:name w:val="LETT2"/>
    <w:basedOn w:val="DefaultParagraphFont"/>
    <w:rsid w:val="00717890"/>
  </w:style>
  <w:style w:type="table" w:styleId="TableGrid">
    <w:name w:val="Table Grid"/>
    <w:basedOn w:val="TableNormal"/>
    <w:rsid w:val="0071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Body Text 2" w:uiPriority="0"/>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link w:val="Heading2Char"/>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BodyText2">
    <w:name w:val="Body Text 2"/>
    <w:basedOn w:val="Normal"/>
    <w:link w:val="BodyText2Char"/>
    <w:rsid w:val="00717890"/>
    <w:pPr>
      <w:spacing w:after="120" w:line="480" w:lineRule="auto"/>
    </w:pPr>
  </w:style>
  <w:style w:type="character" w:customStyle="1" w:styleId="BodyText2Char">
    <w:name w:val="Body Text 2 Char"/>
    <w:basedOn w:val="DefaultParagraphFont"/>
    <w:link w:val="BodyText2"/>
    <w:uiPriority w:val="49"/>
    <w:rsid w:val="00717890"/>
    <w:rPr>
      <w:sz w:val="22"/>
      <w:lang w:eastAsia="en-US"/>
    </w:rPr>
  </w:style>
  <w:style w:type="character" w:customStyle="1" w:styleId="Heading2Char">
    <w:name w:val="Heading 2 Char"/>
    <w:basedOn w:val="DefaultParagraphFont"/>
    <w:link w:val="Heading2"/>
    <w:rsid w:val="00717890"/>
    <w:rPr>
      <w:b/>
      <w:sz w:val="28"/>
      <w:lang w:eastAsia="en-US"/>
    </w:rPr>
  </w:style>
  <w:style w:type="character" w:customStyle="1" w:styleId="LETT2">
    <w:name w:val="LETT2"/>
    <w:basedOn w:val="DefaultParagraphFont"/>
    <w:rsid w:val="00717890"/>
  </w:style>
  <w:style w:type="table" w:styleId="TableGrid">
    <w:name w:val="Table Grid"/>
    <w:basedOn w:val="TableNormal"/>
    <w:rsid w:val="0071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499934303">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Zellinger@iae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buglova@iae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PR-Conference-2015.Contact-Point@iaea.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ub.iaea.org/iaeameetings/45986/International-Conference-on-Global-Emergency-Preparedness-and-Respons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F197-6AEA-4477-8436-DE6BB61A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9</Pages>
  <Words>2310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3</cp:revision>
  <cp:lastPrinted>2015-02-26T16:03:00Z</cp:lastPrinted>
  <dcterms:created xsi:type="dcterms:W3CDTF">2015-02-26T16:03:00Z</dcterms:created>
  <dcterms:modified xsi:type="dcterms:W3CDTF">2015-02-26T16:03:00Z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