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F7" w:rsidRPr="0080633C" w:rsidRDefault="0001021E">
      <w:pPr>
        <w:rPr>
          <w:lang w:val="fr-FR"/>
        </w:rPr>
      </w:pPr>
      <w:bookmarkStart w:id="0" w:name="_GoBack"/>
      <w:bookmarkEnd w:id="0"/>
      <w:r w:rsidRPr="0080633C">
        <w:rPr>
          <w:noProof/>
          <w:lang w:eastAsia="en-GB"/>
        </w:rPr>
        <w:drawing>
          <wp:anchor distT="0" distB="0" distL="114300" distR="114300" simplePos="0" relativeHeight="251659264" behindDoc="0" locked="0" layoutInCell="1" allowOverlap="1" wp14:anchorId="7D5195CA" wp14:editId="3DEC4F5C">
            <wp:simplePos x="0" y="0"/>
            <wp:positionH relativeFrom="column">
              <wp:posOffset>2392045</wp:posOffset>
            </wp:positionH>
            <wp:positionV relativeFrom="paragraph">
              <wp:posOffset>-678815</wp:posOffset>
            </wp:positionV>
            <wp:extent cx="1285875" cy="1116330"/>
            <wp:effectExtent l="0" t="0" r="9525" b="7620"/>
            <wp:wrapNone/>
            <wp:docPr id="1" name="Picture 1" descr="http://oasis.iaea.org/OASIS/OASIS/MTCD/References/VID/IAEA_LOGO_NEW_JPG/With_slogan_vertical/IAEA-Logo-E_vertical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s.iaea.org/OASIS/OASIS/MTCD/References/VID/IAEA_LOGO_NEW_JPG/With_slogan_vertical/IAEA-Logo-E_vertical_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21E" w:rsidRPr="0080633C" w:rsidRDefault="0001021E">
      <w:pPr>
        <w:rPr>
          <w:lang w:val="fr-FR"/>
        </w:rPr>
      </w:pPr>
    </w:p>
    <w:p w:rsidR="0001021E" w:rsidRPr="0080633C" w:rsidRDefault="0001021E">
      <w:pPr>
        <w:rPr>
          <w:lang w:val="fr-FR"/>
        </w:rPr>
      </w:pPr>
    </w:p>
    <w:p w:rsidR="005F4BC0" w:rsidRPr="0080633C" w:rsidRDefault="005F4BC0">
      <w:pPr>
        <w:rPr>
          <w:lang w:val="fr-FR"/>
        </w:rPr>
      </w:pPr>
    </w:p>
    <w:p w:rsidR="0001021E" w:rsidRPr="0080633C" w:rsidRDefault="0001021E" w:rsidP="0001021E">
      <w:pPr>
        <w:autoSpaceDE w:val="0"/>
        <w:autoSpaceDN w:val="0"/>
        <w:adjustRightInd w:val="0"/>
        <w:jc w:val="center"/>
        <w:rPr>
          <w:rFonts w:eastAsiaTheme="minorHAnsi"/>
          <w:color w:val="000000"/>
          <w:sz w:val="28"/>
          <w:szCs w:val="28"/>
        </w:rPr>
      </w:pPr>
      <w:r w:rsidRPr="0080633C">
        <w:rPr>
          <w:rFonts w:eastAsiaTheme="minorHAnsi"/>
          <w:color w:val="000000"/>
          <w:sz w:val="28"/>
          <w:szCs w:val="28"/>
        </w:rPr>
        <w:t>Department of Nuclear Sciences and Applications</w:t>
      </w:r>
    </w:p>
    <w:p w:rsidR="0001021E" w:rsidRPr="0080633C" w:rsidRDefault="0001021E" w:rsidP="0001021E">
      <w:pPr>
        <w:autoSpaceDE w:val="0"/>
        <w:autoSpaceDN w:val="0"/>
        <w:adjustRightInd w:val="0"/>
        <w:jc w:val="center"/>
        <w:rPr>
          <w:rFonts w:eastAsiaTheme="minorHAnsi"/>
          <w:color w:val="000000"/>
          <w:sz w:val="28"/>
          <w:szCs w:val="28"/>
        </w:rPr>
      </w:pPr>
      <w:r w:rsidRPr="0080633C">
        <w:rPr>
          <w:rFonts w:eastAsiaTheme="minorHAnsi"/>
          <w:color w:val="000000"/>
          <w:sz w:val="28"/>
          <w:szCs w:val="28"/>
        </w:rPr>
        <w:t>IAEA Environment Laboratories, Monaco</w:t>
      </w:r>
    </w:p>
    <w:p w:rsidR="0001021E" w:rsidRPr="0080633C" w:rsidRDefault="0001021E" w:rsidP="0001021E">
      <w:pPr>
        <w:autoSpaceDE w:val="0"/>
        <w:autoSpaceDN w:val="0"/>
        <w:adjustRightInd w:val="0"/>
        <w:jc w:val="center"/>
        <w:rPr>
          <w:rFonts w:eastAsiaTheme="minorHAnsi"/>
          <w:b/>
          <w:bCs/>
          <w:color w:val="000000"/>
          <w:sz w:val="28"/>
          <w:szCs w:val="28"/>
        </w:rPr>
      </w:pPr>
    </w:p>
    <w:p w:rsidR="00171A45" w:rsidRPr="0080633C" w:rsidRDefault="0001021E" w:rsidP="003826F7">
      <w:pPr>
        <w:autoSpaceDE w:val="0"/>
        <w:autoSpaceDN w:val="0"/>
        <w:adjustRightInd w:val="0"/>
        <w:jc w:val="center"/>
        <w:rPr>
          <w:rFonts w:eastAsiaTheme="minorHAnsi"/>
          <w:b/>
          <w:bCs/>
          <w:color w:val="000000"/>
          <w:sz w:val="28"/>
          <w:szCs w:val="28"/>
        </w:rPr>
      </w:pPr>
      <w:r w:rsidRPr="0080633C">
        <w:rPr>
          <w:rFonts w:eastAsiaTheme="minorHAnsi"/>
          <w:b/>
          <w:bCs/>
          <w:color w:val="000000"/>
          <w:sz w:val="28"/>
          <w:szCs w:val="28"/>
        </w:rPr>
        <w:t>Training Course on</w:t>
      </w:r>
    </w:p>
    <w:p w:rsidR="003826F7" w:rsidRDefault="00171A45" w:rsidP="003826F7">
      <w:pPr>
        <w:autoSpaceDE w:val="0"/>
        <w:autoSpaceDN w:val="0"/>
        <w:adjustRightInd w:val="0"/>
        <w:jc w:val="center"/>
        <w:rPr>
          <w:rFonts w:eastAsiaTheme="minorHAnsi"/>
          <w:b/>
          <w:bCs/>
          <w:color w:val="000000"/>
          <w:sz w:val="28"/>
          <w:szCs w:val="28"/>
        </w:rPr>
      </w:pPr>
      <w:r w:rsidRPr="005B6E0C">
        <w:rPr>
          <w:rFonts w:eastAsiaTheme="minorHAnsi"/>
          <w:b/>
          <w:bCs/>
          <w:color w:val="000000"/>
          <w:sz w:val="28"/>
          <w:szCs w:val="28"/>
        </w:rPr>
        <w:t>Marine Ecosystems and Industries at Risk</w:t>
      </w:r>
      <w:r w:rsidR="003826F7" w:rsidRPr="005B6E0C">
        <w:rPr>
          <w:rFonts w:eastAsiaTheme="minorHAnsi"/>
          <w:b/>
          <w:bCs/>
          <w:color w:val="000000"/>
          <w:sz w:val="28"/>
          <w:szCs w:val="28"/>
        </w:rPr>
        <w:t>:</w:t>
      </w:r>
    </w:p>
    <w:p w:rsidR="0001021E" w:rsidRPr="0080633C" w:rsidRDefault="00171A45" w:rsidP="003826F7">
      <w:pPr>
        <w:autoSpaceDE w:val="0"/>
        <w:autoSpaceDN w:val="0"/>
        <w:adjustRightInd w:val="0"/>
        <w:jc w:val="center"/>
        <w:rPr>
          <w:rFonts w:eastAsiaTheme="minorHAnsi"/>
          <w:b/>
          <w:bCs/>
          <w:color w:val="000000"/>
          <w:sz w:val="28"/>
          <w:szCs w:val="28"/>
        </w:rPr>
      </w:pPr>
      <w:r w:rsidRPr="005B6E0C">
        <w:rPr>
          <w:rFonts w:eastAsiaTheme="minorHAnsi"/>
          <w:b/>
          <w:bCs/>
          <w:color w:val="000000"/>
          <w:sz w:val="28"/>
          <w:szCs w:val="28"/>
        </w:rPr>
        <w:t>Impact of Multiple Stressors</w:t>
      </w:r>
    </w:p>
    <w:p w:rsidR="0001021E" w:rsidRPr="0080633C" w:rsidRDefault="0001021E" w:rsidP="00171A45">
      <w:pPr>
        <w:tabs>
          <w:tab w:val="left" w:pos="5312"/>
        </w:tabs>
        <w:autoSpaceDE w:val="0"/>
        <w:autoSpaceDN w:val="0"/>
        <w:adjustRightInd w:val="0"/>
        <w:rPr>
          <w:rFonts w:eastAsiaTheme="minorHAnsi"/>
          <w:b/>
          <w:bCs/>
          <w:color w:val="000000"/>
          <w:sz w:val="28"/>
          <w:szCs w:val="28"/>
        </w:rPr>
      </w:pPr>
    </w:p>
    <w:p w:rsidR="0001021E" w:rsidRPr="0080633C" w:rsidRDefault="00171A45" w:rsidP="0001021E">
      <w:pPr>
        <w:autoSpaceDE w:val="0"/>
        <w:autoSpaceDN w:val="0"/>
        <w:adjustRightInd w:val="0"/>
        <w:jc w:val="center"/>
        <w:rPr>
          <w:rFonts w:eastAsiaTheme="minorHAnsi"/>
          <w:b/>
          <w:bCs/>
          <w:color w:val="000000"/>
        </w:rPr>
      </w:pPr>
      <w:r w:rsidRPr="0080633C">
        <w:rPr>
          <w:rFonts w:eastAsiaTheme="minorHAnsi"/>
          <w:b/>
          <w:bCs/>
          <w:color w:val="000000"/>
        </w:rPr>
        <w:t>Ref</w:t>
      </w:r>
      <w:r w:rsidR="003826F7">
        <w:rPr>
          <w:rFonts w:eastAsiaTheme="minorHAnsi"/>
          <w:b/>
          <w:bCs/>
          <w:color w:val="000000"/>
        </w:rPr>
        <w:t>. No.</w:t>
      </w:r>
      <w:r w:rsidRPr="0080633C">
        <w:rPr>
          <w:rFonts w:eastAsiaTheme="minorHAnsi"/>
          <w:b/>
          <w:bCs/>
          <w:color w:val="000000"/>
        </w:rPr>
        <w:t>: K4-TR-50137</w:t>
      </w:r>
    </w:p>
    <w:p w:rsidR="0001021E" w:rsidRPr="0080633C" w:rsidRDefault="0001021E" w:rsidP="0001021E">
      <w:pPr>
        <w:jc w:val="center"/>
        <w:rPr>
          <w:lang w:val="fr-FR"/>
        </w:rPr>
      </w:pPr>
    </w:p>
    <w:p w:rsidR="0001021E" w:rsidRPr="0080633C" w:rsidRDefault="0001021E">
      <w:pPr>
        <w:rPr>
          <w:lang w:val="fr-FR"/>
        </w:rPr>
      </w:pPr>
    </w:p>
    <w:tbl>
      <w:tblPr>
        <w:tblW w:w="9464" w:type="dxa"/>
        <w:tblLook w:val="00A0" w:firstRow="1" w:lastRow="0" w:firstColumn="1" w:lastColumn="0" w:noHBand="0" w:noVBand="0"/>
      </w:tblPr>
      <w:tblGrid>
        <w:gridCol w:w="2518"/>
        <w:gridCol w:w="6946"/>
      </w:tblGrid>
      <w:tr w:rsidR="0001021E" w:rsidRPr="008D7836" w:rsidTr="008D7836">
        <w:trPr>
          <w:trHeight w:val="720"/>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Title:</w:t>
            </w:r>
          </w:p>
        </w:tc>
        <w:tc>
          <w:tcPr>
            <w:tcW w:w="6946" w:type="dxa"/>
          </w:tcPr>
          <w:p w:rsidR="0001021E" w:rsidRPr="005B6E0C" w:rsidRDefault="0001021E" w:rsidP="005B6E0C">
            <w:pPr>
              <w:widowControl w:val="0"/>
              <w:tabs>
                <w:tab w:val="left" w:pos="2400"/>
                <w:tab w:val="left" w:pos="6413"/>
              </w:tabs>
              <w:spacing w:after="170" w:line="280" w:lineRule="atLeast"/>
              <w:jc w:val="both"/>
              <w:rPr>
                <w:b/>
                <w:bCs/>
                <w:sz w:val="22"/>
                <w:szCs w:val="22"/>
              </w:rPr>
            </w:pPr>
            <w:r w:rsidRPr="005B6E0C">
              <w:rPr>
                <w:b/>
                <w:bCs/>
                <w:sz w:val="22"/>
                <w:szCs w:val="22"/>
              </w:rPr>
              <w:t xml:space="preserve">Training Course on </w:t>
            </w:r>
            <w:r w:rsidR="00171A45" w:rsidRPr="005B6E0C">
              <w:rPr>
                <w:b/>
                <w:bCs/>
                <w:sz w:val="22"/>
                <w:szCs w:val="22"/>
              </w:rPr>
              <w:t xml:space="preserve">Marine Ecosystems and Industries at Risk: </w:t>
            </w:r>
            <w:r w:rsidR="003826F7" w:rsidRPr="005B6E0C">
              <w:rPr>
                <w:b/>
                <w:bCs/>
                <w:sz w:val="22"/>
                <w:szCs w:val="22"/>
              </w:rPr>
              <w:t>Impact</w:t>
            </w:r>
            <w:r w:rsidR="003826F7">
              <w:rPr>
                <w:b/>
                <w:bCs/>
                <w:sz w:val="22"/>
                <w:szCs w:val="22"/>
              </w:rPr>
              <w:t> </w:t>
            </w:r>
            <w:r w:rsidR="003826F7" w:rsidRPr="005B6E0C">
              <w:rPr>
                <w:b/>
                <w:bCs/>
                <w:sz w:val="22"/>
                <w:szCs w:val="22"/>
              </w:rPr>
              <w:t>of</w:t>
            </w:r>
            <w:r w:rsidR="003826F7">
              <w:rPr>
                <w:b/>
                <w:bCs/>
                <w:sz w:val="22"/>
                <w:szCs w:val="22"/>
              </w:rPr>
              <w:t> </w:t>
            </w:r>
            <w:r w:rsidR="003826F7" w:rsidRPr="005B6E0C">
              <w:rPr>
                <w:b/>
                <w:bCs/>
                <w:sz w:val="22"/>
                <w:szCs w:val="22"/>
              </w:rPr>
              <w:t>Multiple</w:t>
            </w:r>
            <w:r w:rsidR="003826F7">
              <w:rPr>
                <w:b/>
                <w:bCs/>
                <w:sz w:val="22"/>
                <w:szCs w:val="22"/>
              </w:rPr>
              <w:t> </w:t>
            </w:r>
            <w:r w:rsidR="00171A45" w:rsidRPr="005B6E0C">
              <w:rPr>
                <w:b/>
                <w:bCs/>
                <w:sz w:val="22"/>
                <w:szCs w:val="22"/>
              </w:rPr>
              <w:t>Stressors</w:t>
            </w:r>
          </w:p>
        </w:tc>
      </w:tr>
      <w:tr w:rsidR="0001021E" w:rsidRPr="008D7836" w:rsidTr="008D7836">
        <w:trPr>
          <w:trHeight w:val="560"/>
        </w:trPr>
        <w:tc>
          <w:tcPr>
            <w:tcW w:w="2518" w:type="dxa"/>
            <w:hideMark/>
          </w:tcPr>
          <w:p w:rsidR="0001021E" w:rsidRPr="008D7836" w:rsidRDefault="003826F7" w:rsidP="005B6E0C">
            <w:pPr>
              <w:widowControl w:val="0"/>
              <w:tabs>
                <w:tab w:val="left" w:pos="-142"/>
                <w:tab w:val="left" w:pos="6840"/>
              </w:tabs>
              <w:spacing w:after="170" w:line="280" w:lineRule="atLeast"/>
              <w:rPr>
                <w:b/>
                <w:sz w:val="22"/>
                <w:szCs w:val="22"/>
              </w:rPr>
            </w:pPr>
            <w:r>
              <w:rPr>
                <w:b/>
                <w:sz w:val="22"/>
                <w:szCs w:val="22"/>
              </w:rPr>
              <w:t>Venue</w:t>
            </w:r>
            <w:r w:rsidR="0001021E" w:rsidRPr="008D7836">
              <w:rPr>
                <w:b/>
                <w:sz w:val="22"/>
                <w:szCs w:val="22"/>
              </w:rPr>
              <w:t>:</w:t>
            </w:r>
          </w:p>
        </w:tc>
        <w:tc>
          <w:tcPr>
            <w:tcW w:w="6946" w:type="dxa"/>
          </w:tcPr>
          <w:p w:rsidR="0001021E" w:rsidRPr="008D7836" w:rsidRDefault="00171A45" w:rsidP="005B6E0C">
            <w:pPr>
              <w:widowControl w:val="0"/>
              <w:tabs>
                <w:tab w:val="left" w:pos="2400"/>
                <w:tab w:val="left" w:pos="6413"/>
              </w:tabs>
              <w:spacing w:after="170" w:line="280" w:lineRule="atLeast"/>
              <w:jc w:val="both"/>
              <w:rPr>
                <w:sz w:val="22"/>
                <w:szCs w:val="22"/>
              </w:rPr>
            </w:pPr>
            <w:r w:rsidRPr="008D7836">
              <w:rPr>
                <w:sz w:val="22"/>
                <w:szCs w:val="22"/>
              </w:rPr>
              <w:t>IAEA Environment Laboratories, Monaco</w:t>
            </w:r>
          </w:p>
        </w:tc>
      </w:tr>
      <w:tr w:rsidR="0001021E" w:rsidRPr="008D7836" w:rsidTr="008D7836">
        <w:trPr>
          <w:trHeight w:val="568"/>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Dates:</w:t>
            </w:r>
          </w:p>
        </w:tc>
        <w:tc>
          <w:tcPr>
            <w:tcW w:w="6946" w:type="dxa"/>
          </w:tcPr>
          <w:p w:rsidR="0001021E" w:rsidRPr="008D7836" w:rsidRDefault="00171A45" w:rsidP="005B6E0C">
            <w:pPr>
              <w:widowControl w:val="0"/>
              <w:tabs>
                <w:tab w:val="left" w:pos="2400"/>
                <w:tab w:val="left" w:pos="6413"/>
              </w:tabs>
              <w:spacing w:after="170" w:line="280" w:lineRule="atLeast"/>
              <w:jc w:val="both"/>
              <w:rPr>
                <w:sz w:val="22"/>
                <w:szCs w:val="22"/>
              </w:rPr>
            </w:pPr>
            <w:r w:rsidRPr="008D7836">
              <w:rPr>
                <w:b/>
                <w:bCs/>
                <w:color w:val="000000"/>
                <w:sz w:val="22"/>
                <w:szCs w:val="22"/>
              </w:rPr>
              <w:t>9</w:t>
            </w:r>
            <w:r w:rsidR="003826F7">
              <w:rPr>
                <w:b/>
                <w:bCs/>
                <w:color w:val="000000"/>
                <w:sz w:val="22"/>
                <w:szCs w:val="22"/>
              </w:rPr>
              <w:t>–</w:t>
            </w:r>
            <w:r w:rsidRPr="008D7836">
              <w:rPr>
                <w:b/>
                <w:bCs/>
                <w:color w:val="000000"/>
                <w:sz w:val="22"/>
                <w:szCs w:val="22"/>
              </w:rPr>
              <w:t>27</w:t>
            </w:r>
            <w:r w:rsidR="0001021E" w:rsidRPr="008D7836">
              <w:rPr>
                <w:b/>
                <w:bCs/>
                <w:color w:val="000000"/>
                <w:sz w:val="22"/>
                <w:szCs w:val="22"/>
              </w:rPr>
              <w:t xml:space="preserve"> November 2015</w:t>
            </w:r>
          </w:p>
        </w:tc>
      </w:tr>
      <w:tr w:rsidR="0001021E" w:rsidRPr="008D7836" w:rsidTr="008D7836">
        <w:trPr>
          <w:trHeight w:val="734"/>
        </w:trPr>
        <w:tc>
          <w:tcPr>
            <w:tcW w:w="2518" w:type="dxa"/>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Deadline for</w:t>
            </w:r>
            <w:r w:rsidR="00F31984">
              <w:rPr>
                <w:b/>
                <w:sz w:val="22"/>
                <w:szCs w:val="22"/>
              </w:rPr>
              <w:t xml:space="preserve"> </w:t>
            </w:r>
            <w:r w:rsidRPr="008D7836">
              <w:rPr>
                <w:b/>
                <w:sz w:val="22"/>
                <w:szCs w:val="22"/>
              </w:rPr>
              <w:t>Nominations:</w:t>
            </w:r>
          </w:p>
        </w:tc>
        <w:tc>
          <w:tcPr>
            <w:tcW w:w="6946" w:type="dxa"/>
            <w:hideMark/>
          </w:tcPr>
          <w:p w:rsidR="0001021E" w:rsidRPr="008D7836" w:rsidRDefault="003826F7" w:rsidP="005B6E0C">
            <w:pPr>
              <w:widowControl w:val="0"/>
              <w:tabs>
                <w:tab w:val="left" w:pos="2400"/>
                <w:tab w:val="left" w:pos="6413"/>
              </w:tabs>
              <w:spacing w:after="170" w:line="280" w:lineRule="atLeast"/>
              <w:jc w:val="both"/>
              <w:rPr>
                <w:b/>
                <w:sz w:val="22"/>
                <w:szCs w:val="22"/>
              </w:rPr>
            </w:pPr>
            <w:r>
              <w:rPr>
                <w:b/>
                <w:sz w:val="22"/>
                <w:szCs w:val="22"/>
              </w:rPr>
              <w:br/>
            </w:r>
            <w:r w:rsidR="00393950" w:rsidRPr="008D7836">
              <w:rPr>
                <w:b/>
                <w:sz w:val="22"/>
                <w:szCs w:val="22"/>
              </w:rPr>
              <w:t>20</w:t>
            </w:r>
            <w:r w:rsidR="005E12A5" w:rsidRPr="008D7836">
              <w:rPr>
                <w:b/>
                <w:sz w:val="22"/>
                <w:szCs w:val="22"/>
              </w:rPr>
              <w:t xml:space="preserve"> </w:t>
            </w:r>
            <w:r w:rsidR="00171A45" w:rsidRPr="008D7836">
              <w:rPr>
                <w:b/>
                <w:sz w:val="22"/>
                <w:szCs w:val="22"/>
              </w:rPr>
              <w:t>September</w:t>
            </w:r>
            <w:r w:rsidR="0001021E" w:rsidRPr="008D7836">
              <w:rPr>
                <w:b/>
                <w:sz w:val="22"/>
                <w:szCs w:val="22"/>
              </w:rPr>
              <w:t xml:space="preserve"> 2015</w:t>
            </w:r>
          </w:p>
        </w:tc>
      </w:tr>
      <w:tr w:rsidR="0001021E" w:rsidRPr="008D7836" w:rsidTr="008D7836">
        <w:trPr>
          <w:trHeight w:val="969"/>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Organizers:</w:t>
            </w:r>
          </w:p>
        </w:tc>
        <w:tc>
          <w:tcPr>
            <w:tcW w:w="6946" w:type="dxa"/>
          </w:tcPr>
          <w:p w:rsidR="003826F7" w:rsidRDefault="0080633C" w:rsidP="005B6E0C">
            <w:pPr>
              <w:autoSpaceDE w:val="0"/>
              <w:autoSpaceDN w:val="0"/>
              <w:adjustRightInd w:val="0"/>
              <w:spacing w:after="170" w:line="280" w:lineRule="atLeast"/>
              <w:jc w:val="both"/>
              <w:rPr>
                <w:rFonts w:eastAsiaTheme="minorHAnsi"/>
                <w:color w:val="000000"/>
                <w:sz w:val="22"/>
                <w:szCs w:val="22"/>
              </w:rPr>
            </w:pPr>
            <w:r w:rsidRPr="005B6E0C">
              <w:rPr>
                <w:rFonts w:eastAsiaTheme="minorHAnsi"/>
                <w:color w:val="000000"/>
                <w:sz w:val="22"/>
                <w:szCs w:val="22"/>
              </w:rPr>
              <w:t>Argonne National Laboratory</w:t>
            </w:r>
            <w:r w:rsidR="003826F7" w:rsidRPr="005B6E0C">
              <w:rPr>
                <w:rFonts w:eastAsiaTheme="minorHAnsi"/>
                <w:color w:val="000000"/>
                <w:sz w:val="22"/>
                <w:szCs w:val="22"/>
              </w:rPr>
              <w:t xml:space="preserve"> (ANL) and </w:t>
            </w:r>
          </w:p>
          <w:p w:rsidR="0080633C" w:rsidRPr="005B6E0C" w:rsidRDefault="003826F7" w:rsidP="005B6E0C">
            <w:pPr>
              <w:autoSpaceDE w:val="0"/>
              <w:autoSpaceDN w:val="0"/>
              <w:adjustRightInd w:val="0"/>
              <w:spacing w:after="170" w:line="280" w:lineRule="atLeast"/>
              <w:jc w:val="both"/>
              <w:rPr>
                <w:rFonts w:eastAsiaTheme="minorHAnsi"/>
                <w:color w:val="000000"/>
                <w:sz w:val="22"/>
                <w:szCs w:val="22"/>
              </w:rPr>
            </w:pPr>
            <w:r w:rsidRPr="005B6E0C">
              <w:rPr>
                <w:rFonts w:eastAsiaTheme="minorHAnsi"/>
                <w:color w:val="000000"/>
                <w:sz w:val="22"/>
                <w:szCs w:val="22"/>
              </w:rPr>
              <w:t>International Atomic Energy Agency (</w:t>
            </w:r>
            <w:r w:rsidR="0080633C" w:rsidRPr="005B6E0C">
              <w:rPr>
                <w:rFonts w:eastAsiaTheme="minorHAnsi"/>
                <w:color w:val="000000"/>
                <w:sz w:val="22"/>
                <w:szCs w:val="22"/>
              </w:rPr>
              <w:t>IAEA</w:t>
            </w:r>
            <w:r w:rsidRPr="005B6E0C">
              <w:rPr>
                <w:rFonts w:eastAsiaTheme="minorHAnsi"/>
                <w:color w:val="000000"/>
                <w:sz w:val="22"/>
                <w:szCs w:val="22"/>
              </w:rPr>
              <w:t>)</w:t>
            </w:r>
          </w:p>
        </w:tc>
      </w:tr>
      <w:tr w:rsidR="0001021E" w:rsidRPr="008D7836" w:rsidTr="0099571A">
        <w:trPr>
          <w:trHeight w:val="572"/>
        </w:trPr>
        <w:tc>
          <w:tcPr>
            <w:tcW w:w="2518" w:type="dxa"/>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Host Organizer</w:t>
            </w:r>
            <w:r w:rsidR="00F8619F" w:rsidRPr="008D7836">
              <w:rPr>
                <w:b/>
                <w:sz w:val="22"/>
                <w:szCs w:val="22"/>
              </w:rPr>
              <w:t>s</w:t>
            </w:r>
            <w:r w:rsidR="003826F7">
              <w:rPr>
                <w:b/>
                <w:sz w:val="22"/>
                <w:szCs w:val="22"/>
              </w:rPr>
              <w:t>:</w:t>
            </w:r>
          </w:p>
        </w:tc>
        <w:tc>
          <w:tcPr>
            <w:tcW w:w="6946" w:type="dxa"/>
          </w:tcPr>
          <w:p w:rsidR="0001021E" w:rsidRPr="008D7836" w:rsidRDefault="00724E6E" w:rsidP="005B6E0C">
            <w:pPr>
              <w:autoSpaceDE w:val="0"/>
              <w:autoSpaceDN w:val="0"/>
              <w:adjustRightInd w:val="0"/>
              <w:spacing w:after="170" w:line="280" w:lineRule="atLeast"/>
              <w:jc w:val="both"/>
              <w:rPr>
                <w:rFonts w:eastAsiaTheme="minorHAnsi"/>
                <w:color w:val="000000"/>
                <w:sz w:val="22"/>
                <w:szCs w:val="22"/>
              </w:rPr>
            </w:pPr>
            <w:r w:rsidRPr="008D7836">
              <w:rPr>
                <w:rFonts w:eastAsiaTheme="minorHAnsi"/>
                <w:color w:val="000000"/>
                <w:sz w:val="22"/>
                <w:szCs w:val="22"/>
              </w:rPr>
              <w:t>IAEA Environment Laboratories, Monaco</w:t>
            </w:r>
          </w:p>
        </w:tc>
      </w:tr>
      <w:tr w:rsidR="0001021E" w:rsidRPr="008D7836" w:rsidTr="008D7836">
        <w:trPr>
          <w:trHeight w:val="573"/>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Language:</w:t>
            </w:r>
          </w:p>
        </w:tc>
        <w:tc>
          <w:tcPr>
            <w:tcW w:w="6946" w:type="dxa"/>
          </w:tcPr>
          <w:p w:rsidR="0001021E" w:rsidRPr="008D7836" w:rsidRDefault="002234A0" w:rsidP="005B6E0C">
            <w:pPr>
              <w:widowControl w:val="0"/>
              <w:tabs>
                <w:tab w:val="left" w:pos="2400"/>
                <w:tab w:val="left" w:pos="6413"/>
              </w:tabs>
              <w:spacing w:after="170" w:line="280" w:lineRule="atLeast"/>
              <w:jc w:val="both"/>
              <w:rPr>
                <w:sz w:val="22"/>
                <w:szCs w:val="22"/>
              </w:rPr>
            </w:pPr>
            <w:r>
              <w:rPr>
                <w:sz w:val="22"/>
                <w:szCs w:val="22"/>
              </w:rPr>
              <w:t>English</w:t>
            </w:r>
          </w:p>
        </w:tc>
      </w:tr>
      <w:tr w:rsidR="0001021E" w:rsidRPr="008D7836" w:rsidTr="008D7836">
        <w:trPr>
          <w:trHeight w:val="1144"/>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bCs/>
                <w:sz w:val="22"/>
                <w:szCs w:val="22"/>
              </w:rPr>
              <w:t>Background Information:</w:t>
            </w:r>
          </w:p>
        </w:tc>
        <w:tc>
          <w:tcPr>
            <w:tcW w:w="6946" w:type="dxa"/>
          </w:tcPr>
          <w:p w:rsidR="0001021E" w:rsidRPr="008D7836" w:rsidRDefault="00CE6DD2" w:rsidP="005B6E0C">
            <w:pPr>
              <w:autoSpaceDE w:val="0"/>
              <w:autoSpaceDN w:val="0"/>
              <w:adjustRightInd w:val="0"/>
              <w:spacing w:after="170" w:line="280" w:lineRule="atLeast"/>
              <w:jc w:val="both"/>
              <w:rPr>
                <w:sz w:val="22"/>
                <w:szCs w:val="22"/>
              </w:rPr>
            </w:pPr>
            <w:r w:rsidRPr="005B6E0C">
              <w:rPr>
                <w:rFonts w:eastAsiaTheme="minorHAnsi"/>
                <w:color w:val="000000"/>
                <w:sz w:val="22"/>
                <w:szCs w:val="22"/>
              </w:rPr>
              <w:t xml:space="preserve">The current fragmented approach </w:t>
            </w:r>
            <w:r w:rsidR="00F31984">
              <w:rPr>
                <w:rFonts w:eastAsiaTheme="minorHAnsi"/>
                <w:color w:val="000000"/>
                <w:sz w:val="22"/>
                <w:szCs w:val="22"/>
              </w:rPr>
              <w:t>— relying on</w:t>
            </w:r>
            <w:r w:rsidR="00F31984" w:rsidRPr="005B6E0C">
              <w:rPr>
                <w:rFonts w:eastAsiaTheme="minorHAnsi"/>
                <w:color w:val="000000"/>
                <w:sz w:val="22"/>
                <w:szCs w:val="22"/>
              </w:rPr>
              <w:t xml:space="preserve"> </w:t>
            </w:r>
            <w:r w:rsidRPr="005B6E0C">
              <w:rPr>
                <w:rFonts w:eastAsiaTheme="minorHAnsi"/>
                <w:color w:val="000000"/>
                <w:sz w:val="22"/>
                <w:szCs w:val="22"/>
              </w:rPr>
              <w:t xml:space="preserve">the knowledge and tools </w:t>
            </w:r>
            <w:r w:rsidR="00F31984">
              <w:rPr>
                <w:rFonts w:eastAsiaTheme="minorHAnsi"/>
                <w:color w:val="000000"/>
                <w:sz w:val="22"/>
                <w:szCs w:val="22"/>
              </w:rPr>
              <w:t>from</w:t>
            </w:r>
            <w:r w:rsidR="00F31984" w:rsidRPr="005B6E0C">
              <w:rPr>
                <w:rFonts w:eastAsiaTheme="minorHAnsi"/>
                <w:color w:val="000000"/>
                <w:sz w:val="22"/>
                <w:szCs w:val="22"/>
              </w:rPr>
              <w:t xml:space="preserve"> </w:t>
            </w:r>
            <w:r w:rsidRPr="005B6E0C">
              <w:rPr>
                <w:rFonts w:eastAsiaTheme="minorHAnsi"/>
                <w:color w:val="000000"/>
                <w:sz w:val="22"/>
                <w:szCs w:val="22"/>
              </w:rPr>
              <w:t>different disciplines</w:t>
            </w:r>
            <w:r w:rsidR="00F31984">
              <w:rPr>
                <w:rFonts w:eastAsiaTheme="minorHAnsi"/>
                <w:color w:val="000000"/>
                <w:sz w:val="22"/>
                <w:szCs w:val="22"/>
              </w:rPr>
              <w:t xml:space="preserve"> —</w:t>
            </w:r>
            <w:r w:rsidRPr="005B6E0C">
              <w:rPr>
                <w:rFonts w:eastAsiaTheme="minorHAnsi"/>
                <w:color w:val="000000"/>
                <w:sz w:val="22"/>
                <w:szCs w:val="22"/>
              </w:rPr>
              <w:t xml:space="preserve"> to</w:t>
            </w:r>
            <w:r w:rsidR="00F31984">
              <w:rPr>
                <w:rFonts w:eastAsiaTheme="minorHAnsi"/>
                <w:color w:val="000000"/>
                <w:sz w:val="22"/>
                <w:szCs w:val="22"/>
              </w:rPr>
              <w:t>wards</w:t>
            </w:r>
            <w:r w:rsidRPr="005B6E0C">
              <w:rPr>
                <w:rFonts w:eastAsiaTheme="minorHAnsi"/>
                <w:color w:val="000000"/>
                <w:sz w:val="22"/>
                <w:szCs w:val="22"/>
              </w:rPr>
              <w:t xml:space="preserve"> understanding the effects of different stressors on marine ecosystems and their services limits </w:t>
            </w:r>
            <w:r w:rsidR="00F31984">
              <w:rPr>
                <w:rFonts w:eastAsiaTheme="minorHAnsi"/>
                <w:color w:val="000000"/>
                <w:sz w:val="22"/>
                <w:szCs w:val="22"/>
              </w:rPr>
              <w:t xml:space="preserve">the </w:t>
            </w:r>
            <w:r w:rsidRPr="005B6E0C">
              <w:rPr>
                <w:rFonts w:eastAsiaTheme="minorHAnsi"/>
                <w:color w:val="000000"/>
                <w:sz w:val="22"/>
                <w:szCs w:val="22"/>
              </w:rPr>
              <w:t xml:space="preserve">possibilities </w:t>
            </w:r>
            <w:r w:rsidR="00F31984">
              <w:rPr>
                <w:rFonts w:eastAsiaTheme="minorHAnsi"/>
                <w:color w:val="000000"/>
                <w:sz w:val="22"/>
                <w:szCs w:val="22"/>
              </w:rPr>
              <w:t>of</w:t>
            </w:r>
            <w:r w:rsidR="00F31984" w:rsidRPr="005B6E0C">
              <w:rPr>
                <w:rFonts w:eastAsiaTheme="minorHAnsi"/>
                <w:color w:val="000000"/>
                <w:sz w:val="22"/>
                <w:szCs w:val="22"/>
              </w:rPr>
              <w:t xml:space="preserve"> </w:t>
            </w:r>
            <w:r w:rsidRPr="005B6E0C">
              <w:rPr>
                <w:rFonts w:eastAsiaTheme="minorHAnsi"/>
                <w:color w:val="000000"/>
                <w:sz w:val="22"/>
                <w:szCs w:val="22"/>
              </w:rPr>
              <w:t>find</w:t>
            </w:r>
            <w:r w:rsidR="00F31984">
              <w:rPr>
                <w:rFonts w:eastAsiaTheme="minorHAnsi"/>
                <w:color w:val="000000"/>
                <w:sz w:val="22"/>
                <w:szCs w:val="22"/>
              </w:rPr>
              <w:t>ing</w:t>
            </w:r>
            <w:r w:rsidRPr="005B6E0C">
              <w:rPr>
                <w:rFonts w:eastAsiaTheme="minorHAnsi"/>
                <w:color w:val="000000"/>
                <w:sz w:val="22"/>
                <w:szCs w:val="22"/>
              </w:rPr>
              <w:t xml:space="preserve"> effective mitigation strategies. The analysis of possible synergistic effects of a combination of stressors acting on a marine ecosystem requires a comprehensive, integrated approach. Therefore, this course has an interdisciplinary profile in reviewing the effects of global and local stressors on marine ecosystems from</w:t>
            </w:r>
            <w:r w:rsidR="00F31984">
              <w:rPr>
                <w:rFonts w:eastAsiaTheme="minorHAnsi"/>
                <w:color w:val="000000"/>
                <w:sz w:val="22"/>
                <w:szCs w:val="22"/>
              </w:rPr>
              <w:t xml:space="preserve"> a</w:t>
            </w:r>
            <w:r w:rsidRPr="005B6E0C">
              <w:rPr>
                <w:rFonts w:eastAsiaTheme="minorHAnsi"/>
                <w:color w:val="000000"/>
                <w:sz w:val="22"/>
                <w:szCs w:val="22"/>
              </w:rPr>
              <w:t xml:space="preserve"> physico-chemical, biological and economic point of view. Such an approach is necessary for understanding ultimately how the combined effect of multiple stressors can affect the functioning and the resilience of marine ecosystems</w:t>
            </w:r>
            <w:r w:rsidR="00506552" w:rsidRPr="005B6E0C">
              <w:rPr>
                <w:rFonts w:eastAsiaTheme="minorHAnsi"/>
                <w:color w:val="000000"/>
                <w:sz w:val="22"/>
                <w:szCs w:val="22"/>
              </w:rPr>
              <w:t>,</w:t>
            </w:r>
            <w:r w:rsidRPr="005B6E0C">
              <w:rPr>
                <w:rFonts w:eastAsiaTheme="minorHAnsi"/>
                <w:color w:val="000000"/>
                <w:sz w:val="22"/>
                <w:szCs w:val="22"/>
              </w:rPr>
              <w:t xml:space="preserve"> and what </w:t>
            </w:r>
            <w:r w:rsidR="00F31984" w:rsidRPr="000A1C76">
              <w:rPr>
                <w:rFonts w:eastAsiaTheme="minorHAnsi"/>
                <w:color w:val="000000"/>
                <w:sz w:val="22"/>
                <w:szCs w:val="22"/>
              </w:rPr>
              <w:t xml:space="preserve">the implications </w:t>
            </w:r>
            <w:r w:rsidRPr="005B6E0C">
              <w:rPr>
                <w:rFonts w:eastAsiaTheme="minorHAnsi"/>
                <w:color w:val="000000"/>
                <w:sz w:val="22"/>
                <w:szCs w:val="22"/>
              </w:rPr>
              <w:t>are for marine policy and governance.</w:t>
            </w:r>
          </w:p>
        </w:tc>
      </w:tr>
      <w:tr w:rsidR="0001021E" w:rsidRPr="008D7836" w:rsidTr="008D7836">
        <w:trPr>
          <w:trHeight w:val="1135"/>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bCs/>
                <w:color w:val="000000"/>
                <w:sz w:val="22"/>
                <w:szCs w:val="22"/>
              </w:rPr>
              <w:t>Purpose</w:t>
            </w:r>
            <w:r w:rsidRPr="008D7836">
              <w:rPr>
                <w:b/>
                <w:sz w:val="22"/>
                <w:szCs w:val="22"/>
              </w:rPr>
              <w:t>:</w:t>
            </w:r>
          </w:p>
        </w:tc>
        <w:tc>
          <w:tcPr>
            <w:tcW w:w="6946" w:type="dxa"/>
          </w:tcPr>
          <w:p w:rsidR="0001021E" w:rsidRPr="008D7836" w:rsidRDefault="000302F1" w:rsidP="005B6E0C">
            <w:pPr>
              <w:widowControl w:val="0"/>
              <w:tabs>
                <w:tab w:val="left" w:pos="2400"/>
                <w:tab w:val="left" w:pos="6413"/>
              </w:tabs>
              <w:spacing w:after="170" w:line="280" w:lineRule="atLeast"/>
              <w:jc w:val="both"/>
              <w:rPr>
                <w:sz w:val="22"/>
                <w:szCs w:val="22"/>
              </w:rPr>
            </w:pPr>
            <w:r w:rsidRPr="008D7836">
              <w:rPr>
                <w:sz w:val="22"/>
                <w:szCs w:val="22"/>
              </w:rPr>
              <w:t>The course aims to</w:t>
            </w:r>
            <w:r w:rsidR="00F01775" w:rsidRPr="008D7836">
              <w:rPr>
                <w:sz w:val="22"/>
                <w:szCs w:val="22"/>
              </w:rPr>
              <w:t xml:space="preserve"> provide trainees with hands-on laboratory training, practical training and lectures supporting an integrated approach to understanding, </w:t>
            </w:r>
            <w:r w:rsidR="008D7836" w:rsidRPr="008D7836">
              <w:rPr>
                <w:sz w:val="22"/>
                <w:szCs w:val="22"/>
              </w:rPr>
              <w:t>analysing</w:t>
            </w:r>
            <w:r w:rsidR="00F01775" w:rsidRPr="008D7836">
              <w:rPr>
                <w:sz w:val="22"/>
                <w:szCs w:val="22"/>
              </w:rPr>
              <w:t xml:space="preserve"> and assessing the </w:t>
            </w:r>
            <w:r w:rsidRPr="008D7836">
              <w:rPr>
                <w:sz w:val="22"/>
                <w:szCs w:val="22"/>
              </w:rPr>
              <w:t xml:space="preserve">synergistic </w:t>
            </w:r>
            <w:r w:rsidR="00F01775" w:rsidRPr="008D7836">
              <w:rPr>
                <w:sz w:val="22"/>
                <w:szCs w:val="22"/>
              </w:rPr>
              <w:t>impact of stres</w:t>
            </w:r>
            <w:r w:rsidR="002234A0">
              <w:rPr>
                <w:sz w:val="22"/>
                <w:szCs w:val="22"/>
              </w:rPr>
              <w:t>s</w:t>
            </w:r>
            <w:r w:rsidR="00F31984">
              <w:rPr>
                <w:sz w:val="22"/>
                <w:szCs w:val="22"/>
              </w:rPr>
              <w:t>or</w:t>
            </w:r>
            <w:r w:rsidR="002234A0">
              <w:rPr>
                <w:sz w:val="22"/>
                <w:szCs w:val="22"/>
              </w:rPr>
              <w:t>s affecting marine ecosystems</w:t>
            </w:r>
            <w:r w:rsidR="00F01775" w:rsidRPr="008D7836">
              <w:rPr>
                <w:sz w:val="22"/>
                <w:szCs w:val="22"/>
              </w:rPr>
              <w:t xml:space="preserve"> including</w:t>
            </w:r>
            <w:r w:rsidR="002234A0">
              <w:rPr>
                <w:sz w:val="22"/>
                <w:szCs w:val="22"/>
              </w:rPr>
              <w:t>, inter alia, ocean acidification.</w:t>
            </w:r>
          </w:p>
        </w:tc>
      </w:tr>
      <w:tr w:rsidR="0001021E" w:rsidRPr="008D7836" w:rsidTr="008D7836">
        <w:trPr>
          <w:trHeight w:val="1134"/>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lastRenderedPageBreak/>
              <w:t>Expected Outputs:</w:t>
            </w:r>
          </w:p>
        </w:tc>
        <w:tc>
          <w:tcPr>
            <w:tcW w:w="6946" w:type="dxa"/>
          </w:tcPr>
          <w:p w:rsidR="0001021E" w:rsidRPr="008D7836" w:rsidRDefault="0034275F" w:rsidP="005B6E0C">
            <w:pPr>
              <w:spacing w:after="170" w:line="280" w:lineRule="atLeast"/>
              <w:jc w:val="both"/>
              <w:rPr>
                <w:sz w:val="22"/>
                <w:szCs w:val="22"/>
              </w:rPr>
            </w:pPr>
            <w:r w:rsidRPr="008D7836">
              <w:rPr>
                <w:sz w:val="22"/>
                <w:szCs w:val="22"/>
              </w:rPr>
              <w:t>The course is expected to result in an enhance</w:t>
            </w:r>
            <w:r w:rsidR="003436DF">
              <w:rPr>
                <w:sz w:val="22"/>
                <w:szCs w:val="22"/>
              </w:rPr>
              <w:t>d</w:t>
            </w:r>
            <w:r w:rsidRPr="008D7836">
              <w:rPr>
                <w:sz w:val="22"/>
                <w:szCs w:val="22"/>
              </w:rPr>
              <w:t xml:space="preserve"> understanding of multiple stressors acting on marine ecosystems and an increased capacity to assess their environmental and economic impact.</w:t>
            </w:r>
          </w:p>
        </w:tc>
      </w:tr>
      <w:tr w:rsidR="0001021E" w:rsidRPr="008D7836" w:rsidTr="008D7836">
        <w:trPr>
          <w:trHeight w:val="1843"/>
        </w:trPr>
        <w:tc>
          <w:tcPr>
            <w:tcW w:w="2518" w:type="dxa"/>
            <w:hideMark/>
          </w:tcPr>
          <w:p w:rsidR="0001021E" w:rsidRPr="008D7836" w:rsidRDefault="0001021E" w:rsidP="005B6E0C">
            <w:pPr>
              <w:widowControl w:val="0"/>
              <w:tabs>
                <w:tab w:val="left" w:pos="-142"/>
                <w:tab w:val="left" w:pos="6840"/>
              </w:tabs>
              <w:spacing w:after="170" w:line="280" w:lineRule="atLeast"/>
              <w:rPr>
                <w:b/>
                <w:sz w:val="22"/>
                <w:szCs w:val="22"/>
              </w:rPr>
            </w:pPr>
            <w:r w:rsidRPr="008D7836">
              <w:rPr>
                <w:b/>
                <w:sz w:val="22"/>
                <w:szCs w:val="22"/>
              </w:rPr>
              <w:t>Scope and Nature:</w:t>
            </w:r>
          </w:p>
        </w:tc>
        <w:tc>
          <w:tcPr>
            <w:tcW w:w="6946" w:type="dxa"/>
          </w:tcPr>
          <w:p w:rsidR="0001021E" w:rsidRPr="008D7836" w:rsidRDefault="005F4BC0" w:rsidP="005B6E0C">
            <w:pPr>
              <w:widowControl w:val="0"/>
              <w:tabs>
                <w:tab w:val="left" w:pos="2400"/>
                <w:tab w:val="left" w:pos="6413"/>
              </w:tabs>
              <w:spacing w:after="170" w:line="280" w:lineRule="atLeast"/>
              <w:ind w:left="34"/>
              <w:jc w:val="both"/>
              <w:rPr>
                <w:sz w:val="22"/>
                <w:szCs w:val="22"/>
              </w:rPr>
            </w:pPr>
            <w:r w:rsidRPr="008D7836">
              <w:rPr>
                <w:sz w:val="22"/>
                <w:szCs w:val="22"/>
              </w:rPr>
              <w:t xml:space="preserve">The training will include lectures </w:t>
            </w:r>
            <w:r w:rsidR="00F8619F" w:rsidRPr="008D7836">
              <w:rPr>
                <w:sz w:val="22"/>
                <w:szCs w:val="22"/>
              </w:rPr>
              <w:t xml:space="preserve">and presentations </w:t>
            </w:r>
            <w:r w:rsidR="00395800">
              <w:rPr>
                <w:sz w:val="22"/>
                <w:szCs w:val="22"/>
              </w:rPr>
              <w:t>in plenary</w:t>
            </w:r>
            <w:r w:rsidR="00F31984">
              <w:rPr>
                <w:sz w:val="22"/>
                <w:szCs w:val="22"/>
              </w:rPr>
              <w:t xml:space="preserve"> sessions,</w:t>
            </w:r>
            <w:r w:rsidR="00395800">
              <w:rPr>
                <w:sz w:val="22"/>
                <w:szCs w:val="22"/>
              </w:rPr>
              <w:t xml:space="preserve"> </w:t>
            </w:r>
            <w:r w:rsidR="00F31984">
              <w:rPr>
                <w:sz w:val="22"/>
                <w:szCs w:val="22"/>
              </w:rPr>
              <w:t xml:space="preserve">as well as </w:t>
            </w:r>
            <w:r w:rsidRPr="008D7836">
              <w:rPr>
                <w:sz w:val="22"/>
                <w:szCs w:val="22"/>
              </w:rPr>
              <w:t xml:space="preserve">hands-on </w:t>
            </w:r>
            <w:r w:rsidR="00F8619F" w:rsidRPr="008D7836">
              <w:rPr>
                <w:sz w:val="22"/>
                <w:szCs w:val="22"/>
              </w:rPr>
              <w:t xml:space="preserve">laboratory </w:t>
            </w:r>
            <w:r w:rsidRPr="008D7836">
              <w:rPr>
                <w:sz w:val="22"/>
                <w:szCs w:val="22"/>
              </w:rPr>
              <w:t>experiments</w:t>
            </w:r>
            <w:r w:rsidR="0034275F" w:rsidRPr="008D7836">
              <w:rPr>
                <w:sz w:val="22"/>
                <w:szCs w:val="22"/>
              </w:rPr>
              <w:t xml:space="preserve"> and practical work in smaller groups. The experimental core of the course </w:t>
            </w:r>
            <w:r w:rsidR="00F31984">
              <w:rPr>
                <w:sz w:val="22"/>
                <w:szCs w:val="22"/>
              </w:rPr>
              <w:t xml:space="preserve">will </w:t>
            </w:r>
            <w:r w:rsidR="0034275F" w:rsidRPr="008D7836">
              <w:rPr>
                <w:sz w:val="22"/>
                <w:szCs w:val="22"/>
              </w:rPr>
              <w:t xml:space="preserve">provide training in the use of radiotracers to measure the response of a representative marine bioindicator species to various stressors and in selected radioanalytical techniques for </w:t>
            </w:r>
            <w:r w:rsidR="00373488" w:rsidRPr="008D7836">
              <w:rPr>
                <w:sz w:val="22"/>
                <w:szCs w:val="22"/>
              </w:rPr>
              <w:t>alpha</w:t>
            </w:r>
            <w:r w:rsidR="0034275F" w:rsidRPr="008D7836">
              <w:rPr>
                <w:sz w:val="22"/>
                <w:szCs w:val="22"/>
              </w:rPr>
              <w:t>, beta gamma emitting radionuclides.</w:t>
            </w:r>
            <w:r w:rsidR="004D0537">
              <w:rPr>
                <w:sz w:val="22"/>
                <w:szCs w:val="22"/>
              </w:rPr>
              <w:t xml:space="preserve"> </w:t>
            </w:r>
            <w:r w:rsidR="00F31984">
              <w:rPr>
                <w:sz w:val="22"/>
                <w:szCs w:val="22"/>
              </w:rPr>
              <w:t>The e</w:t>
            </w:r>
            <w:r w:rsidR="004D0537" w:rsidRPr="00C45977">
              <w:rPr>
                <w:sz w:val="22"/>
                <w:szCs w:val="22"/>
              </w:rPr>
              <w:t>mphasis during practical sessions will be on synergistic effect</w:t>
            </w:r>
            <w:r w:rsidR="00395800">
              <w:rPr>
                <w:sz w:val="22"/>
                <w:szCs w:val="22"/>
              </w:rPr>
              <w:t>s</w:t>
            </w:r>
            <w:r w:rsidR="004D0537" w:rsidRPr="00C45977">
              <w:rPr>
                <w:sz w:val="22"/>
                <w:szCs w:val="22"/>
              </w:rPr>
              <w:t xml:space="preserve"> of ocean acidification and </w:t>
            </w:r>
            <w:r w:rsidR="00C522E6">
              <w:rPr>
                <w:sz w:val="22"/>
                <w:szCs w:val="22"/>
              </w:rPr>
              <w:t xml:space="preserve">trace </w:t>
            </w:r>
            <w:r w:rsidR="004D0537" w:rsidRPr="00C45977">
              <w:rPr>
                <w:sz w:val="22"/>
                <w:szCs w:val="22"/>
              </w:rPr>
              <w:t>metal</w:t>
            </w:r>
            <w:r w:rsidR="00F31984">
              <w:rPr>
                <w:sz w:val="22"/>
                <w:szCs w:val="22"/>
              </w:rPr>
              <w:t xml:space="preserve"> pollutant</w:t>
            </w:r>
            <w:r w:rsidR="004D0537" w:rsidRPr="00C45977">
              <w:rPr>
                <w:sz w:val="22"/>
                <w:szCs w:val="22"/>
              </w:rPr>
              <w:t>s, whereas other stressors will be discussed during lectures.</w:t>
            </w:r>
          </w:p>
          <w:p w:rsidR="0034275F" w:rsidRPr="008D7836" w:rsidRDefault="0034275F" w:rsidP="005B6E0C">
            <w:pPr>
              <w:widowControl w:val="0"/>
              <w:tabs>
                <w:tab w:val="left" w:pos="2400"/>
                <w:tab w:val="left" w:pos="6413"/>
              </w:tabs>
              <w:spacing w:after="170" w:line="280" w:lineRule="atLeast"/>
              <w:ind w:left="34"/>
              <w:jc w:val="both"/>
              <w:rPr>
                <w:sz w:val="22"/>
                <w:szCs w:val="22"/>
              </w:rPr>
            </w:pPr>
            <w:r w:rsidRPr="008D7836">
              <w:rPr>
                <w:sz w:val="22"/>
                <w:szCs w:val="22"/>
              </w:rPr>
              <w:t>Experimental data will be processed, interpreted and explained</w:t>
            </w:r>
            <w:r w:rsidR="002A11C8" w:rsidRPr="008D7836">
              <w:rPr>
                <w:sz w:val="22"/>
                <w:szCs w:val="22"/>
              </w:rPr>
              <w:t xml:space="preserve"> in the context of multiple stressors. Lectures will provide </w:t>
            </w:r>
            <w:r w:rsidR="00F31984" w:rsidRPr="008D7836">
              <w:rPr>
                <w:sz w:val="22"/>
                <w:szCs w:val="22"/>
              </w:rPr>
              <w:t xml:space="preserve">participants </w:t>
            </w:r>
            <w:r w:rsidR="00F31984">
              <w:rPr>
                <w:sz w:val="22"/>
                <w:szCs w:val="22"/>
              </w:rPr>
              <w:t xml:space="preserve">with </w:t>
            </w:r>
            <w:r w:rsidR="002A11C8" w:rsidRPr="008D7836">
              <w:rPr>
                <w:sz w:val="22"/>
                <w:szCs w:val="22"/>
              </w:rPr>
              <w:t>an introduction to the subject of multiple stressors in marine ecosystems, an overview of the tools available to study this subject, and presentations on environmental and economic risk assessment.</w:t>
            </w:r>
          </w:p>
        </w:tc>
      </w:tr>
      <w:tr w:rsidR="0001021E" w:rsidRPr="008D7836" w:rsidTr="008D7836">
        <w:trPr>
          <w:trHeight w:val="994"/>
        </w:trPr>
        <w:tc>
          <w:tcPr>
            <w:tcW w:w="2518" w:type="dxa"/>
            <w:hideMark/>
          </w:tcPr>
          <w:p w:rsidR="0001021E" w:rsidRPr="008D7836" w:rsidRDefault="0001021E" w:rsidP="005B6E0C">
            <w:pPr>
              <w:widowControl w:val="0"/>
              <w:tabs>
                <w:tab w:val="left" w:pos="2400"/>
                <w:tab w:val="left" w:pos="6840"/>
              </w:tabs>
              <w:spacing w:after="170" w:line="280" w:lineRule="atLeast"/>
              <w:rPr>
                <w:b/>
                <w:sz w:val="22"/>
                <w:szCs w:val="22"/>
              </w:rPr>
            </w:pPr>
            <w:r w:rsidRPr="008D7836">
              <w:rPr>
                <w:b/>
                <w:sz w:val="22"/>
                <w:szCs w:val="22"/>
              </w:rPr>
              <w:t>Participation:</w:t>
            </w:r>
          </w:p>
        </w:tc>
        <w:tc>
          <w:tcPr>
            <w:tcW w:w="6946" w:type="dxa"/>
          </w:tcPr>
          <w:p w:rsidR="0001021E" w:rsidRPr="008D7836" w:rsidRDefault="005F4BC0" w:rsidP="005B6E0C">
            <w:pPr>
              <w:spacing w:after="170" w:line="280" w:lineRule="atLeast"/>
              <w:jc w:val="both"/>
              <w:rPr>
                <w:sz w:val="22"/>
                <w:szCs w:val="22"/>
              </w:rPr>
            </w:pPr>
            <w:r w:rsidRPr="008D7836">
              <w:rPr>
                <w:sz w:val="22"/>
                <w:szCs w:val="22"/>
              </w:rPr>
              <w:t xml:space="preserve">The course is open to </w:t>
            </w:r>
            <w:r w:rsidR="00610CF5" w:rsidRPr="008D7836">
              <w:rPr>
                <w:sz w:val="22"/>
                <w:szCs w:val="22"/>
              </w:rPr>
              <w:t>16</w:t>
            </w:r>
            <w:r w:rsidRPr="008D7836">
              <w:rPr>
                <w:sz w:val="22"/>
                <w:szCs w:val="22"/>
              </w:rPr>
              <w:t xml:space="preserve"> trainees from IAEA Member States. Priority will be g</w:t>
            </w:r>
            <w:r w:rsidR="004D0537">
              <w:rPr>
                <w:sz w:val="22"/>
                <w:szCs w:val="22"/>
              </w:rPr>
              <w:t>iven to early-career scientists.</w:t>
            </w:r>
          </w:p>
        </w:tc>
      </w:tr>
      <w:tr w:rsidR="0001021E" w:rsidRPr="008D7836" w:rsidTr="008D7836">
        <w:trPr>
          <w:trHeight w:val="1138"/>
        </w:trPr>
        <w:tc>
          <w:tcPr>
            <w:tcW w:w="2518" w:type="dxa"/>
          </w:tcPr>
          <w:p w:rsidR="0001021E" w:rsidRPr="008D7836" w:rsidRDefault="0001021E" w:rsidP="005B6E0C">
            <w:pPr>
              <w:widowControl w:val="0"/>
              <w:tabs>
                <w:tab w:val="left" w:pos="2400"/>
                <w:tab w:val="left" w:pos="6840"/>
              </w:tabs>
              <w:spacing w:after="170" w:line="280" w:lineRule="atLeast"/>
              <w:rPr>
                <w:b/>
                <w:sz w:val="22"/>
                <w:szCs w:val="22"/>
              </w:rPr>
            </w:pPr>
            <w:r w:rsidRPr="008D7836">
              <w:rPr>
                <w:b/>
                <w:bCs/>
                <w:sz w:val="22"/>
                <w:szCs w:val="22"/>
              </w:rPr>
              <w:t>Participants’ Qualification</w:t>
            </w:r>
            <w:r w:rsidR="00F31984">
              <w:rPr>
                <w:b/>
                <w:bCs/>
                <w:sz w:val="22"/>
                <w:szCs w:val="22"/>
              </w:rPr>
              <w:t>s</w:t>
            </w:r>
            <w:r w:rsidRPr="008D7836">
              <w:rPr>
                <w:b/>
                <w:bCs/>
                <w:sz w:val="22"/>
                <w:szCs w:val="22"/>
              </w:rPr>
              <w:t>:</w:t>
            </w:r>
          </w:p>
        </w:tc>
        <w:tc>
          <w:tcPr>
            <w:tcW w:w="6946" w:type="dxa"/>
          </w:tcPr>
          <w:p w:rsidR="0001021E" w:rsidRPr="008D7836" w:rsidRDefault="00F44DEE" w:rsidP="005B6E0C">
            <w:pPr>
              <w:widowControl w:val="0"/>
              <w:spacing w:after="170" w:line="280" w:lineRule="atLeast"/>
              <w:ind w:left="34"/>
              <w:jc w:val="both"/>
              <w:rPr>
                <w:sz w:val="22"/>
                <w:szCs w:val="22"/>
                <w:u w:val="single"/>
              </w:rPr>
            </w:pPr>
            <w:r w:rsidRPr="008D7836">
              <w:rPr>
                <w:bCs/>
                <w:sz w:val="22"/>
                <w:szCs w:val="22"/>
              </w:rPr>
              <w:t xml:space="preserve">The participants should have a university degree in </w:t>
            </w:r>
            <w:r w:rsidR="00A71DC4" w:rsidRPr="008D7836">
              <w:rPr>
                <w:bCs/>
                <w:sz w:val="22"/>
                <w:szCs w:val="22"/>
              </w:rPr>
              <w:t>marine sciences</w:t>
            </w:r>
            <w:r w:rsidR="00610CF5" w:rsidRPr="008D7836">
              <w:rPr>
                <w:bCs/>
                <w:sz w:val="22"/>
                <w:szCs w:val="22"/>
              </w:rPr>
              <w:t xml:space="preserve"> </w:t>
            </w:r>
            <w:r w:rsidRPr="008D7836">
              <w:rPr>
                <w:bCs/>
                <w:sz w:val="22"/>
                <w:szCs w:val="22"/>
              </w:rPr>
              <w:t>or a related field</w:t>
            </w:r>
            <w:r w:rsidR="00A71DC4" w:rsidRPr="008D7836">
              <w:rPr>
                <w:bCs/>
                <w:sz w:val="22"/>
                <w:szCs w:val="22"/>
              </w:rPr>
              <w:t xml:space="preserve"> such as oceanography, </w:t>
            </w:r>
            <w:r w:rsidR="00373488">
              <w:rPr>
                <w:bCs/>
                <w:sz w:val="22"/>
                <w:szCs w:val="22"/>
              </w:rPr>
              <w:t xml:space="preserve">marine biology, </w:t>
            </w:r>
            <w:r w:rsidR="00A71DC4" w:rsidRPr="008D7836">
              <w:rPr>
                <w:bCs/>
                <w:sz w:val="22"/>
                <w:szCs w:val="22"/>
              </w:rPr>
              <w:t xml:space="preserve">environmental chemistry, physics, </w:t>
            </w:r>
            <w:r w:rsidR="00EE704D">
              <w:rPr>
                <w:bCs/>
                <w:sz w:val="22"/>
                <w:szCs w:val="22"/>
              </w:rPr>
              <w:t xml:space="preserve">and </w:t>
            </w:r>
            <w:r w:rsidR="00A71DC4" w:rsidRPr="008D7836">
              <w:rPr>
                <w:bCs/>
                <w:sz w:val="22"/>
                <w:szCs w:val="22"/>
              </w:rPr>
              <w:t>ecology. They should be</w:t>
            </w:r>
            <w:r w:rsidRPr="008D7836">
              <w:rPr>
                <w:bCs/>
                <w:sz w:val="22"/>
                <w:szCs w:val="22"/>
              </w:rPr>
              <w:t xml:space="preserve"> currently involved in </w:t>
            </w:r>
            <w:r w:rsidR="00AF4463" w:rsidRPr="008D7836">
              <w:rPr>
                <w:bCs/>
                <w:sz w:val="22"/>
                <w:szCs w:val="22"/>
              </w:rPr>
              <w:t xml:space="preserve">scientific research, </w:t>
            </w:r>
            <w:r w:rsidR="00395800">
              <w:rPr>
                <w:bCs/>
                <w:sz w:val="22"/>
                <w:szCs w:val="22"/>
              </w:rPr>
              <w:t>including</w:t>
            </w:r>
            <w:r w:rsidR="00AF4463" w:rsidRPr="008D7836">
              <w:rPr>
                <w:bCs/>
                <w:sz w:val="22"/>
                <w:szCs w:val="22"/>
              </w:rPr>
              <w:t xml:space="preserve"> laboratory experimental activities, environmental or ecosystem modelling work, climate studies, etc.</w:t>
            </w:r>
          </w:p>
        </w:tc>
      </w:tr>
      <w:tr w:rsidR="0001021E" w:rsidRPr="008D7836" w:rsidTr="008D7836">
        <w:trPr>
          <w:trHeight w:val="3687"/>
        </w:trPr>
        <w:tc>
          <w:tcPr>
            <w:tcW w:w="2518" w:type="dxa"/>
            <w:hideMark/>
          </w:tcPr>
          <w:p w:rsidR="0001021E" w:rsidRPr="008D7836" w:rsidRDefault="0001021E" w:rsidP="005B6E0C">
            <w:pPr>
              <w:widowControl w:val="0"/>
              <w:tabs>
                <w:tab w:val="left" w:pos="2400"/>
                <w:tab w:val="left" w:pos="6840"/>
              </w:tabs>
              <w:spacing w:after="170" w:line="280" w:lineRule="atLeast"/>
              <w:rPr>
                <w:b/>
                <w:bCs/>
                <w:sz w:val="22"/>
                <w:szCs w:val="22"/>
              </w:rPr>
            </w:pPr>
            <w:r w:rsidRPr="008D7836">
              <w:rPr>
                <w:b/>
                <w:sz w:val="22"/>
                <w:szCs w:val="22"/>
              </w:rPr>
              <w:t>Nomination Procedure:</w:t>
            </w:r>
          </w:p>
        </w:tc>
        <w:tc>
          <w:tcPr>
            <w:tcW w:w="6946" w:type="dxa"/>
          </w:tcPr>
          <w:p w:rsidR="005B6E0C" w:rsidRDefault="00281F68" w:rsidP="005B6E0C">
            <w:pPr>
              <w:widowControl w:val="0"/>
              <w:tabs>
                <w:tab w:val="left" w:pos="0"/>
              </w:tabs>
              <w:spacing w:after="170" w:line="280" w:lineRule="atLeast"/>
              <w:ind w:left="34" w:hanging="34"/>
              <w:jc w:val="both"/>
              <w:rPr>
                <w:sz w:val="22"/>
                <w:szCs w:val="22"/>
              </w:rPr>
            </w:pPr>
            <w:r w:rsidRPr="008D7836">
              <w:rPr>
                <w:sz w:val="22"/>
                <w:szCs w:val="22"/>
              </w:rPr>
              <w:t>Applications</w:t>
            </w:r>
            <w:r w:rsidR="00F44DEE" w:rsidRPr="008D7836">
              <w:rPr>
                <w:sz w:val="22"/>
                <w:szCs w:val="22"/>
              </w:rPr>
              <w:t xml:space="preserve"> should be submitted using the attached </w:t>
            </w:r>
            <w:r w:rsidRPr="008D7836">
              <w:rPr>
                <w:sz w:val="22"/>
                <w:szCs w:val="22"/>
              </w:rPr>
              <w:t>Participation</w:t>
            </w:r>
            <w:r w:rsidR="00F44DEE" w:rsidRPr="008D7836">
              <w:rPr>
                <w:sz w:val="22"/>
                <w:szCs w:val="22"/>
              </w:rPr>
              <w:t xml:space="preserve"> Form</w:t>
            </w:r>
            <w:r w:rsidRPr="008D7836">
              <w:rPr>
                <w:sz w:val="22"/>
                <w:szCs w:val="22"/>
              </w:rPr>
              <w:t xml:space="preserve"> (</w:t>
            </w:r>
            <w:r w:rsidRPr="008D7836">
              <w:rPr>
                <w:b/>
                <w:sz w:val="22"/>
                <w:szCs w:val="22"/>
              </w:rPr>
              <w:t>Form A</w:t>
            </w:r>
            <w:r w:rsidRPr="008D7836">
              <w:rPr>
                <w:sz w:val="22"/>
                <w:szCs w:val="22"/>
              </w:rPr>
              <w:t>)</w:t>
            </w:r>
            <w:r w:rsidR="00F44DEE" w:rsidRPr="008D7836">
              <w:rPr>
                <w:sz w:val="22"/>
                <w:szCs w:val="22"/>
              </w:rPr>
              <w:t>. The completed form should be endorsed by relevant national authorities and returned to the IAEA through the established official channels, i.e. the designated Na</w:t>
            </w:r>
            <w:r w:rsidR="00F51C2E" w:rsidRPr="008D7836">
              <w:rPr>
                <w:sz w:val="22"/>
                <w:szCs w:val="22"/>
              </w:rPr>
              <w:t>tional Liaison Office for IAEA m</w:t>
            </w:r>
            <w:r w:rsidR="00F44DEE" w:rsidRPr="008D7836">
              <w:rPr>
                <w:sz w:val="22"/>
                <w:szCs w:val="22"/>
              </w:rPr>
              <w:t xml:space="preserve">atters. Applications must be received by the IAEA not later than </w:t>
            </w:r>
            <w:r w:rsidR="00F31984" w:rsidRPr="00E249CB">
              <w:rPr>
                <w:b/>
                <w:sz w:val="22"/>
                <w:szCs w:val="22"/>
              </w:rPr>
              <w:t>20</w:t>
            </w:r>
            <w:r w:rsidR="00F31984">
              <w:rPr>
                <w:b/>
                <w:sz w:val="22"/>
                <w:szCs w:val="22"/>
              </w:rPr>
              <w:t> </w:t>
            </w:r>
            <w:r w:rsidR="00F31984" w:rsidRPr="00E249CB">
              <w:rPr>
                <w:b/>
                <w:sz w:val="22"/>
                <w:szCs w:val="22"/>
              </w:rPr>
              <w:t>September</w:t>
            </w:r>
            <w:r w:rsidR="00F31984">
              <w:rPr>
                <w:b/>
                <w:sz w:val="22"/>
                <w:szCs w:val="22"/>
              </w:rPr>
              <w:t> </w:t>
            </w:r>
            <w:r w:rsidR="005E12A5" w:rsidRPr="00E249CB">
              <w:rPr>
                <w:b/>
                <w:sz w:val="22"/>
                <w:szCs w:val="22"/>
              </w:rPr>
              <w:t>2015</w:t>
            </w:r>
            <w:r w:rsidR="005E12A5" w:rsidRPr="008D7836">
              <w:rPr>
                <w:sz w:val="22"/>
                <w:szCs w:val="22"/>
              </w:rPr>
              <w:t xml:space="preserve"> for the attention of the Scientific Secretary of the course, Ms </w:t>
            </w:r>
            <w:r w:rsidR="00880769" w:rsidRPr="008D7836">
              <w:rPr>
                <w:sz w:val="22"/>
                <w:szCs w:val="22"/>
              </w:rPr>
              <w:t>Iolanda Osvath</w:t>
            </w:r>
            <w:r w:rsidR="005E12A5" w:rsidRPr="008D7836">
              <w:rPr>
                <w:sz w:val="22"/>
                <w:szCs w:val="22"/>
              </w:rPr>
              <w:t xml:space="preserve">, </w:t>
            </w:r>
            <w:r w:rsidR="00F31984">
              <w:rPr>
                <w:sz w:val="22"/>
                <w:szCs w:val="22"/>
              </w:rPr>
              <w:t>IAEA</w:t>
            </w:r>
            <w:r w:rsidR="005E12A5" w:rsidRPr="008D7836">
              <w:rPr>
                <w:sz w:val="22"/>
                <w:szCs w:val="22"/>
              </w:rPr>
              <w:t xml:space="preserve"> Environment Laboratories, Department of Nuclear Sciences and Applications, IAEA, 4a Quai Antoine 1er, 98000 Monaco</w:t>
            </w:r>
            <w:r w:rsidR="00F31984">
              <w:rPr>
                <w:sz w:val="22"/>
                <w:szCs w:val="22"/>
              </w:rPr>
              <w:t>, Principality of Monaco</w:t>
            </w:r>
            <w:r w:rsidR="005E12A5" w:rsidRPr="008D7836">
              <w:rPr>
                <w:sz w:val="22"/>
                <w:szCs w:val="22"/>
              </w:rPr>
              <w:t xml:space="preserve"> (Tel.: +377 97 97 </w:t>
            </w:r>
            <w:r w:rsidR="00880769" w:rsidRPr="008D7836">
              <w:rPr>
                <w:sz w:val="22"/>
                <w:szCs w:val="22"/>
              </w:rPr>
              <w:t>72 72</w:t>
            </w:r>
            <w:r w:rsidR="005E12A5" w:rsidRPr="008D7836">
              <w:rPr>
                <w:sz w:val="22"/>
                <w:szCs w:val="22"/>
              </w:rPr>
              <w:t xml:space="preserve">; Fax: +377 97 97 72 73 Email: </w:t>
            </w:r>
            <w:hyperlink r:id="rId9" w:history="1">
              <w:r w:rsidR="00880769" w:rsidRPr="008D7836">
                <w:rPr>
                  <w:rStyle w:val="Hyperlink"/>
                </w:rPr>
                <w:t>I.Osvath@iaea.org</w:t>
              </w:r>
            </w:hyperlink>
            <w:r w:rsidR="005E12A5" w:rsidRPr="008D7836">
              <w:rPr>
                <w:sz w:val="22"/>
                <w:szCs w:val="22"/>
              </w:rPr>
              <w:t>).</w:t>
            </w:r>
          </w:p>
          <w:p w:rsidR="005B6E0C" w:rsidRDefault="005E12A5" w:rsidP="005B6E0C">
            <w:pPr>
              <w:widowControl w:val="0"/>
              <w:tabs>
                <w:tab w:val="left" w:pos="0"/>
              </w:tabs>
              <w:spacing w:after="170" w:line="280" w:lineRule="atLeast"/>
              <w:ind w:left="34"/>
              <w:jc w:val="both"/>
              <w:rPr>
                <w:sz w:val="22"/>
                <w:szCs w:val="22"/>
              </w:rPr>
            </w:pPr>
            <w:r w:rsidRPr="008D7836">
              <w:rPr>
                <w:sz w:val="22"/>
                <w:szCs w:val="22"/>
              </w:rPr>
              <w:t xml:space="preserve">Nominations should also be copied to </w:t>
            </w:r>
            <w:r w:rsidR="00D3484D">
              <w:rPr>
                <w:sz w:val="22"/>
                <w:szCs w:val="22"/>
              </w:rPr>
              <w:t xml:space="preserve">the </w:t>
            </w:r>
            <w:r w:rsidR="005B6E0C">
              <w:rPr>
                <w:sz w:val="22"/>
                <w:szCs w:val="22"/>
              </w:rPr>
              <w:t>c</w:t>
            </w:r>
            <w:r w:rsidR="00D3484D">
              <w:rPr>
                <w:sz w:val="22"/>
                <w:szCs w:val="22"/>
              </w:rPr>
              <w:t>o-Scientific</w:t>
            </w:r>
            <w:r w:rsidR="005B6E0C">
              <w:rPr>
                <w:sz w:val="22"/>
                <w:szCs w:val="22"/>
              </w:rPr>
              <w:t xml:space="preserve"> </w:t>
            </w:r>
            <w:r w:rsidR="00D3484D">
              <w:rPr>
                <w:sz w:val="22"/>
                <w:szCs w:val="22"/>
              </w:rPr>
              <w:t>Secretary of the course, Mr</w:t>
            </w:r>
            <w:r w:rsidR="005B6E0C">
              <w:rPr>
                <w:sz w:val="22"/>
                <w:szCs w:val="22"/>
              </w:rPr>
              <w:t xml:space="preserve"> </w:t>
            </w:r>
            <w:r w:rsidR="00D3484D">
              <w:rPr>
                <w:sz w:val="22"/>
                <w:szCs w:val="22"/>
              </w:rPr>
              <w:t>Marc</w:t>
            </w:r>
            <w:r w:rsidR="005B6E0C">
              <w:rPr>
                <w:sz w:val="22"/>
                <w:szCs w:val="22"/>
              </w:rPr>
              <w:t xml:space="preserve"> </w:t>
            </w:r>
            <w:r w:rsidR="00D3484D">
              <w:rPr>
                <w:sz w:val="22"/>
                <w:szCs w:val="22"/>
              </w:rPr>
              <w:t>Metian (Email:</w:t>
            </w:r>
            <w:r w:rsidR="005B6E0C">
              <w:rPr>
                <w:sz w:val="22"/>
                <w:szCs w:val="22"/>
              </w:rPr>
              <w:t xml:space="preserve"> </w:t>
            </w:r>
            <w:hyperlink r:id="rId10" w:history="1">
              <w:r w:rsidR="005B6E0C" w:rsidRPr="00DD171A">
                <w:rPr>
                  <w:rStyle w:val="Hyperlink"/>
                  <w:rFonts w:eastAsia="Times New Roman"/>
                  <w:lang w:val="en-GB"/>
                </w:rPr>
                <w:t>M.Metian@iaea.org</w:t>
              </w:r>
            </w:hyperlink>
            <w:r w:rsidR="00D3484D">
              <w:rPr>
                <w:sz w:val="22"/>
                <w:szCs w:val="22"/>
              </w:rPr>
              <w:t>)</w:t>
            </w:r>
            <w:r w:rsidR="005B6E0C">
              <w:rPr>
                <w:sz w:val="22"/>
                <w:szCs w:val="22"/>
              </w:rPr>
              <w:t>,</w:t>
            </w:r>
            <w:r w:rsidR="00D3484D">
              <w:rPr>
                <w:sz w:val="22"/>
                <w:szCs w:val="22"/>
              </w:rPr>
              <w:t xml:space="preserve"> and to </w:t>
            </w:r>
            <w:r w:rsidRPr="008D7836">
              <w:rPr>
                <w:sz w:val="22"/>
                <w:szCs w:val="22"/>
              </w:rPr>
              <w:t>the Administrative Secre</w:t>
            </w:r>
            <w:r w:rsidR="00880769" w:rsidRPr="008D7836">
              <w:rPr>
                <w:sz w:val="22"/>
                <w:szCs w:val="22"/>
              </w:rPr>
              <w:t>tary for the course, Mr</w:t>
            </w:r>
            <w:r w:rsidR="005B6E0C">
              <w:rPr>
                <w:sz w:val="22"/>
                <w:szCs w:val="22"/>
              </w:rPr>
              <w:t xml:space="preserve"> </w:t>
            </w:r>
            <w:r w:rsidR="00880769" w:rsidRPr="008D7836">
              <w:rPr>
                <w:sz w:val="22"/>
                <w:szCs w:val="22"/>
              </w:rPr>
              <w:t>Emmanuel</w:t>
            </w:r>
            <w:r w:rsidR="005B6E0C">
              <w:rPr>
                <w:sz w:val="22"/>
                <w:szCs w:val="22"/>
              </w:rPr>
              <w:t xml:space="preserve"> </w:t>
            </w:r>
            <w:r w:rsidR="00880769" w:rsidRPr="008D7836">
              <w:rPr>
                <w:sz w:val="22"/>
                <w:szCs w:val="22"/>
              </w:rPr>
              <w:t>Tiam</w:t>
            </w:r>
            <w:r w:rsidR="005B6E0C">
              <w:rPr>
                <w:sz w:val="22"/>
                <w:szCs w:val="22"/>
              </w:rPr>
              <w:t xml:space="preserve"> </w:t>
            </w:r>
            <w:r w:rsidR="00880769" w:rsidRPr="008D7836">
              <w:rPr>
                <w:sz w:val="22"/>
                <w:szCs w:val="22"/>
              </w:rPr>
              <w:t>Fondop</w:t>
            </w:r>
            <w:r w:rsidRPr="008D7836">
              <w:rPr>
                <w:sz w:val="22"/>
                <w:szCs w:val="22"/>
              </w:rPr>
              <w:t xml:space="preserve"> (Email: </w:t>
            </w:r>
            <w:hyperlink r:id="rId11" w:history="1">
              <w:r w:rsidR="00880769" w:rsidRPr="008D7836">
                <w:rPr>
                  <w:rStyle w:val="Hyperlink"/>
                </w:rPr>
                <w:t>E.Tiam-Fondop@iaea.org</w:t>
              </w:r>
            </w:hyperlink>
            <w:r w:rsidRPr="008D7836">
              <w:rPr>
                <w:sz w:val="22"/>
                <w:szCs w:val="22"/>
              </w:rPr>
              <w:t>).</w:t>
            </w:r>
          </w:p>
          <w:p w:rsidR="0001021E" w:rsidRPr="008D7836" w:rsidRDefault="00F44DEE" w:rsidP="005B6E0C">
            <w:pPr>
              <w:widowControl w:val="0"/>
              <w:tabs>
                <w:tab w:val="left" w:pos="0"/>
              </w:tabs>
              <w:spacing w:after="170" w:line="280" w:lineRule="atLeast"/>
              <w:ind w:left="34"/>
              <w:jc w:val="both"/>
              <w:rPr>
                <w:sz w:val="22"/>
                <w:szCs w:val="22"/>
              </w:rPr>
            </w:pPr>
            <w:r w:rsidRPr="008D7836">
              <w:rPr>
                <w:sz w:val="22"/>
                <w:szCs w:val="22"/>
              </w:rPr>
              <w:t xml:space="preserve">Nominations received after this date or </w:t>
            </w:r>
            <w:r w:rsidR="00CD5002" w:rsidRPr="008D7836">
              <w:rPr>
                <w:sz w:val="22"/>
                <w:szCs w:val="22"/>
              </w:rPr>
              <w:t>outside</w:t>
            </w:r>
            <w:r w:rsidRPr="008D7836">
              <w:rPr>
                <w:sz w:val="22"/>
                <w:szCs w:val="22"/>
              </w:rPr>
              <w:t xml:space="preserve"> the established official</w:t>
            </w:r>
            <w:r w:rsidR="005E12A5" w:rsidRPr="008D7836">
              <w:rPr>
                <w:sz w:val="22"/>
                <w:szCs w:val="22"/>
              </w:rPr>
              <w:t xml:space="preserve"> channels </w:t>
            </w:r>
            <w:r w:rsidR="00880769" w:rsidRPr="008D7836">
              <w:rPr>
                <w:sz w:val="22"/>
                <w:szCs w:val="22"/>
              </w:rPr>
              <w:t>will</w:t>
            </w:r>
            <w:r w:rsidR="005E12A5" w:rsidRPr="008D7836">
              <w:rPr>
                <w:sz w:val="22"/>
                <w:szCs w:val="22"/>
              </w:rPr>
              <w:t xml:space="preserve"> </w:t>
            </w:r>
            <w:r w:rsidR="00CD5002" w:rsidRPr="008D7836">
              <w:rPr>
                <w:sz w:val="22"/>
                <w:szCs w:val="22"/>
              </w:rPr>
              <w:t xml:space="preserve">not </w:t>
            </w:r>
            <w:r w:rsidR="005E12A5" w:rsidRPr="008D7836">
              <w:rPr>
                <w:sz w:val="22"/>
                <w:szCs w:val="22"/>
              </w:rPr>
              <w:t>be considered.</w:t>
            </w:r>
          </w:p>
        </w:tc>
      </w:tr>
      <w:tr w:rsidR="0001021E" w:rsidRPr="008D7836" w:rsidTr="002E34F3">
        <w:trPr>
          <w:trHeight w:val="5245"/>
        </w:trPr>
        <w:tc>
          <w:tcPr>
            <w:tcW w:w="2518" w:type="dxa"/>
            <w:hideMark/>
          </w:tcPr>
          <w:p w:rsidR="0001021E" w:rsidRPr="008D7836" w:rsidRDefault="00A457AD" w:rsidP="005B6E0C">
            <w:pPr>
              <w:widowControl w:val="0"/>
              <w:tabs>
                <w:tab w:val="left" w:pos="2400"/>
                <w:tab w:val="left" w:pos="6840"/>
              </w:tabs>
              <w:spacing w:after="170" w:line="280" w:lineRule="atLeast"/>
              <w:rPr>
                <w:b/>
                <w:bCs/>
                <w:sz w:val="22"/>
                <w:szCs w:val="22"/>
              </w:rPr>
            </w:pPr>
            <w:r w:rsidRPr="008D7836">
              <w:rPr>
                <w:b/>
                <w:sz w:val="22"/>
                <w:szCs w:val="22"/>
              </w:rPr>
              <w:lastRenderedPageBreak/>
              <w:t>Administrative and Financial Arrangements</w:t>
            </w:r>
            <w:r w:rsidR="0001021E" w:rsidRPr="008D7836">
              <w:rPr>
                <w:b/>
                <w:sz w:val="22"/>
                <w:szCs w:val="22"/>
              </w:rPr>
              <w:t>:</w:t>
            </w:r>
          </w:p>
        </w:tc>
        <w:tc>
          <w:tcPr>
            <w:tcW w:w="6946" w:type="dxa"/>
          </w:tcPr>
          <w:p w:rsidR="00B55B5B" w:rsidRPr="008D7836" w:rsidRDefault="00B018F0" w:rsidP="005B6E0C">
            <w:pPr>
              <w:widowControl w:val="0"/>
              <w:tabs>
                <w:tab w:val="left" w:pos="-108"/>
                <w:tab w:val="left" w:pos="6554"/>
              </w:tabs>
              <w:spacing w:after="170" w:line="280" w:lineRule="atLeast"/>
              <w:ind w:left="34" w:right="34"/>
              <w:jc w:val="both"/>
              <w:rPr>
                <w:sz w:val="22"/>
                <w:szCs w:val="22"/>
              </w:rPr>
            </w:pPr>
            <w:r w:rsidRPr="00B018F0">
              <w:rPr>
                <w:sz w:val="22"/>
                <w:szCs w:val="22"/>
              </w:rPr>
              <w:t>It should be noted that the IAEA is generally not in a position to bear the travel and other costs of participants in the course</w:t>
            </w:r>
            <w:r>
              <w:rPr>
                <w:sz w:val="22"/>
                <w:szCs w:val="22"/>
              </w:rPr>
              <w:t xml:space="preserve">. However, </w:t>
            </w:r>
            <w:r w:rsidRPr="002E34F3">
              <w:rPr>
                <w:sz w:val="22"/>
                <w:szCs w:val="22"/>
              </w:rPr>
              <w:t>a</w:t>
            </w:r>
            <w:r w:rsidR="00B55B5B" w:rsidRPr="002E34F3">
              <w:rPr>
                <w:sz w:val="22"/>
                <w:szCs w:val="22"/>
              </w:rPr>
              <w:t xml:space="preserve"> number of grants will be made available by </w:t>
            </w:r>
            <w:r w:rsidR="00B5159F" w:rsidRPr="002E34F3">
              <w:rPr>
                <w:sz w:val="22"/>
                <w:szCs w:val="22"/>
              </w:rPr>
              <w:t xml:space="preserve">the </w:t>
            </w:r>
            <w:r w:rsidR="00F01775" w:rsidRPr="002E34F3">
              <w:rPr>
                <w:sz w:val="22"/>
                <w:szCs w:val="22"/>
              </w:rPr>
              <w:t xml:space="preserve">Government of the United States of America, through the Argonne National Laboratory, </w:t>
            </w:r>
            <w:r w:rsidR="00B55B5B" w:rsidRPr="002E34F3">
              <w:rPr>
                <w:sz w:val="22"/>
                <w:szCs w:val="22"/>
              </w:rPr>
              <w:t>to participants from developing countries.</w:t>
            </w:r>
            <w:r w:rsidR="00B55B5B" w:rsidRPr="008D7836">
              <w:rPr>
                <w:sz w:val="22"/>
                <w:szCs w:val="22"/>
              </w:rPr>
              <w:t xml:space="preserve"> The grant application </w:t>
            </w:r>
            <w:r w:rsidR="0013558D" w:rsidRPr="008D7836">
              <w:rPr>
                <w:sz w:val="22"/>
                <w:szCs w:val="22"/>
              </w:rPr>
              <w:t xml:space="preserve">(using </w:t>
            </w:r>
            <w:r w:rsidR="0013558D" w:rsidRPr="008D7836">
              <w:rPr>
                <w:b/>
                <w:sz w:val="22"/>
                <w:szCs w:val="22"/>
              </w:rPr>
              <w:t>Form C</w:t>
            </w:r>
            <w:r w:rsidR="0013558D" w:rsidRPr="008D7836">
              <w:rPr>
                <w:sz w:val="22"/>
                <w:szCs w:val="22"/>
              </w:rPr>
              <w:t xml:space="preserve">) </w:t>
            </w:r>
            <w:r w:rsidR="00B55B5B" w:rsidRPr="008D7836">
              <w:rPr>
                <w:sz w:val="22"/>
                <w:szCs w:val="22"/>
              </w:rPr>
              <w:t xml:space="preserve">should </w:t>
            </w:r>
            <w:r w:rsidR="00281F68" w:rsidRPr="008D7836">
              <w:rPr>
                <w:sz w:val="22"/>
                <w:szCs w:val="22"/>
              </w:rPr>
              <w:t>be received by the IAEA</w:t>
            </w:r>
            <w:r w:rsidR="00B55B5B" w:rsidRPr="008D7836">
              <w:rPr>
                <w:sz w:val="22"/>
                <w:szCs w:val="22"/>
              </w:rPr>
              <w:t xml:space="preserve"> no later than </w:t>
            </w:r>
            <w:r w:rsidR="00F01775" w:rsidRPr="005B6E0C">
              <w:rPr>
                <w:b/>
                <w:bCs/>
                <w:sz w:val="22"/>
                <w:szCs w:val="22"/>
              </w:rPr>
              <w:t xml:space="preserve">20 </w:t>
            </w:r>
            <w:r w:rsidR="0013558D" w:rsidRPr="005B6E0C">
              <w:rPr>
                <w:b/>
                <w:bCs/>
                <w:sz w:val="22"/>
                <w:szCs w:val="22"/>
              </w:rPr>
              <w:t>September</w:t>
            </w:r>
            <w:r w:rsidR="00B55B5B" w:rsidRPr="005B6E0C">
              <w:rPr>
                <w:b/>
                <w:bCs/>
                <w:sz w:val="22"/>
                <w:szCs w:val="22"/>
              </w:rPr>
              <w:t xml:space="preserve"> 2015</w:t>
            </w:r>
            <w:r w:rsidR="00B55B5B" w:rsidRPr="008D7836">
              <w:rPr>
                <w:sz w:val="22"/>
                <w:szCs w:val="22"/>
              </w:rPr>
              <w:t xml:space="preserve">. </w:t>
            </w:r>
            <w:r w:rsidR="00281F68" w:rsidRPr="008D7836">
              <w:rPr>
                <w:sz w:val="22"/>
                <w:szCs w:val="22"/>
              </w:rPr>
              <w:t>No grant application will be considered after this date.</w:t>
            </w:r>
          </w:p>
          <w:p w:rsidR="0013558D" w:rsidRPr="008D7836" w:rsidRDefault="00281F68" w:rsidP="005B6E0C">
            <w:pPr>
              <w:autoSpaceDE w:val="0"/>
              <w:autoSpaceDN w:val="0"/>
              <w:adjustRightInd w:val="0"/>
              <w:spacing w:after="170" w:line="280" w:lineRule="atLeast"/>
              <w:jc w:val="both"/>
              <w:rPr>
                <w:sz w:val="22"/>
                <w:szCs w:val="22"/>
              </w:rPr>
            </w:pPr>
            <w:r w:rsidRPr="008D7836">
              <w:rPr>
                <w:sz w:val="22"/>
                <w:szCs w:val="22"/>
              </w:rPr>
              <w:t xml:space="preserve">The IAEA does not bear </w:t>
            </w:r>
            <w:r w:rsidR="009842FC" w:rsidRPr="008D7836">
              <w:rPr>
                <w:sz w:val="22"/>
                <w:szCs w:val="22"/>
              </w:rPr>
              <w:t>responsibility</w:t>
            </w:r>
            <w:r w:rsidRPr="008D7836">
              <w:rPr>
                <w:sz w:val="22"/>
                <w:szCs w:val="22"/>
              </w:rPr>
              <w:t xml:space="preserve"> for any damage to or loss of personal property. The IAEA also does not provide health insurance coverage for participants in meetings, workshops or training courses or for consultants. Arrangements for private insurance coverage on an individual basis should therefore be made. The IAEA will, however, provide insurance coverage for accidents and illnesses that clearly result from any work performed for the IAEA.</w:t>
            </w:r>
          </w:p>
          <w:p w:rsidR="00FF5202" w:rsidRPr="008D7836" w:rsidRDefault="0013558D" w:rsidP="005B6E0C">
            <w:pPr>
              <w:autoSpaceDE w:val="0"/>
              <w:autoSpaceDN w:val="0"/>
              <w:adjustRightInd w:val="0"/>
              <w:spacing w:after="170" w:line="280" w:lineRule="atLeast"/>
              <w:jc w:val="both"/>
              <w:rPr>
                <w:sz w:val="22"/>
                <w:szCs w:val="22"/>
              </w:rPr>
            </w:pPr>
            <w:r w:rsidRPr="008D7836">
              <w:rPr>
                <w:sz w:val="22"/>
                <w:szCs w:val="22"/>
              </w:rPr>
              <w:t>Designated participants who require a visa to enter France should submit the necessary application to the nearest diplomatic or consular representative of France well in advance of entry. An official letter of invitation will be issued to all designated participants by the IAEA Scientific Secretary of the course.</w:t>
            </w:r>
          </w:p>
        </w:tc>
      </w:tr>
      <w:tr w:rsidR="00524147" w:rsidRPr="002234A0" w:rsidTr="008D7836">
        <w:trPr>
          <w:trHeight w:val="2828"/>
        </w:trPr>
        <w:tc>
          <w:tcPr>
            <w:tcW w:w="2518" w:type="dxa"/>
          </w:tcPr>
          <w:p w:rsidR="00524147" w:rsidRPr="008D7836" w:rsidRDefault="00113F3D" w:rsidP="005B6E0C">
            <w:pPr>
              <w:autoSpaceDE w:val="0"/>
              <w:autoSpaceDN w:val="0"/>
              <w:adjustRightInd w:val="0"/>
              <w:spacing w:after="170" w:line="280" w:lineRule="atLeast"/>
              <w:rPr>
                <w:b/>
                <w:sz w:val="22"/>
                <w:szCs w:val="22"/>
              </w:rPr>
            </w:pPr>
            <w:r w:rsidRPr="008D7836">
              <w:rPr>
                <w:rFonts w:eastAsiaTheme="minorHAnsi"/>
                <w:b/>
                <w:bCs/>
                <w:color w:val="000000"/>
                <w:sz w:val="22"/>
                <w:szCs w:val="22"/>
              </w:rPr>
              <w:t>IAEA Scientific Secretaries</w:t>
            </w:r>
          </w:p>
        </w:tc>
        <w:tc>
          <w:tcPr>
            <w:tcW w:w="6946" w:type="dxa"/>
          </w:tcPr>
          <w:p w:rsidR="00D17512" w:rsidRPr="008D7836" w:rsidRDefault="00D17512" w:rsidP="005B6E0C">
            <w:pPr>
              <w:autoSpaceDE w:val="0"/>
              <w:autoSpaceDN w:val="0"/>
              <w:adjustRightInd w:val="0"/>
              <w:spacing w:after="170" w:line="280" w:lineRule="atLeast"/>
              <w:contextualSpacing/>
              <w:jc w:val="both"/>
              <w:rPr>
                <w:rFonts w:eastAsiaTheme="minorHAnsi"/>
                <w:b/>
                <w:bCs/>
                <w:color w:val="000000"/>
                <w:sz w:val="22"/>
                <w:szCs w:val="22"/>
              </w:rPr>
            </w:pPr>
            <w:r w:rsidRPr="008D7836">
              <w:rPr>
                <w:rFonts w:eastAsiaTheme="minorHAnsi"/>
                <w:b/>
                <w:bCs/>
                <w:color w:val="000000"/>
                <w:sz w:val="22"/>
                <w:szCs w:val="22"/>
              </w:rPr>
              <w:t>Ms Iolanda Osvath</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Radiometrics Laboratory</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IAEA Environment Laboratories</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Department of Nuclear Sciences and Applications</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International Atomic Energy Agency</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4a, Quai Antoine 1er</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98000 MONACO</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PRINCIPALITY OF MONACO</w:t>
            </w:r>
          </w:p>
          <w:p w:rsidR="00D17512" w:rsidRPr="008D7836"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8D7836">
              <w:rPr>
                <w:rFonts w:eastAsiaTheme="minorHAnsi"/>
                <w:color w:val="000000"/>
                <w:sz w:val="22"/>
                <w:szCs w:val="22"/>
              </w:rPr>
              <w:t>Tel.: +377 97 97 72 72</w:t>
            </w:r>
          </w:p>
          <w:p w:rsidR="00D17512" w:rsidRPr="00373488" w:rsidRDefault="00D17512" w:rsidP="005B6E0C">
            <w:pPr>
              <w:autoSpaceDE w:val="0"/>
              <w:autoSpaceDN w:val="0"/>
              <w:adjustRightInd w:val="0"/>
              <w:spacing w:after="170" w:line="280" w:lineRule="atLeast"/>
              <w:contextualSpacing/>
              <w:jc w:val="both"/>
              <w:rPr>
                <w:rFonts w:eastAsiaTheme="minorHAnsi"/>
                <w:color w:val="000000"/>
                <w:sz w:val="22"/>
                <w:szCs w:val="22"/>
                <w:lang w:val="fr-FR"/>
              </w:rPr>
            </w:pPr>
            <w:r w:rsidRPr="00373488">
              <w:rPr>
                <w:rFonts w:eastAsiaTheme="minorHAnsi"/>
                <w:color w:val="000000"/>
                <w:sz w:val="22"/>
                <w:szCs w:val="22"/>
                <w:lang w:val="fr-FR"/>
              </w:rPr>
              <w:t>Fax: +377 97 97 72 73</w:t>
            </w:r>
          </w:p>
          <w:p w:rsidR="00524147" w:rsidRPr="00373488" w:rsidRDefault="00D17512" w:rsidP="005B6E0C">
            <w:pPr>
              <w:widowControl w:val="0"/>
              <w:tabs>
                <w:tab w:val="left" w:pos="-108"/>
                <w:tab w:val="left" w:pos="6554"/>
              </w:tabs>
              <w:spacing w:after="170" w:line="280" w:lineRule="atLeast"/>
              <w:ind w:right="34"/>
              <w:contextualSpacing/>
              <w:jc w:val="both"/>
              <w:rPr>
                <w:rFonts w:eastAsiaTheme="minorHAnsi"/>
                <w:color w:val="0000FF"/>
                <w:sz w:val="22"/>
                <w:szCs w:val="22"/>
                <w:lang w:val="fr-FR"/>
              </w:rPr>
            </w:pPr>
            <w:r w:rsidRPr="00373488">
              <w:rPr>
                <w:rFonts w:eastAsiaTheme="minorHAnsi"/>
                <w:color w:val="000000"/>
                <w:sz w:val="22"/>
                <w:szCs w:val="22"/>
                <w:lang w:val="fr-FR"/>
              </w:rPr>
              <w:t xml:space="preserve">Email: </w:t>
            </w:r>
            <w:hyperlink r:id="rId12" w:history="1">
              <w:r w:rsidR="00113F3D" w:rsidRPr="00373488">
                <w:rPr>
                  <w:rStyle w:val="Hyperlink"/>
                </w:rPr>
                <w:t>I.Osvath@iaea.org</w:t>
              </w:r>
            </w:hyperlink>
          </w:p>
          <w:p w:rsidR="00113F3D" w:rsidRPr="00373488" w:rsidRDefault="00113F3D" w:rsidP="005B6E0C">
            <w:pPr>
              <w:autoSpaceDE w:val="0"/>
              <w:autoSpaceDN w:val="0"/>
              <w:adjustRightInd w:val="0"/>
              <w:spacing w:after="170" w:line="280" w:lineRule="atLeast"/>
              <w:jc w:val="both"/>
              <w:rPr>
                <w:rFonts w:eastAsiaTheme="minorHAnsi"/>
                <w:color w:val="000000"/>
                <w:sz w:val="22"/>
                <w:szCs w:val="22"/>
                <w:lang w:val="fr-FR"/>
              </w:rPr>
            </w:pPr>
          </w:p>
          <w:p w:rsidR="00113F3D" w:rsidRPr="005B6E0C" w:rsidRDefault="00113F3D" w:rsidP="005B6E0C">
            <w:pPr>
              <w:autoSpaceDE w:val="0"/>
              <w:autoSpaceDN w:val="0"/>
              <w:adjustRightInd w:val="0"/>
              <w:spacing w:after="170" w:line="280" w:lineRule="atLeast"/>
              <w:contextualSpacing/>
              <w:jc w:val="both"/>
              <w:rPr>
                <w:rFonts w:eastAsiaTheme="minorHAnsi"/>
                <w:b/>
                <w:sz w:val="22"/>
                <w:szCs w:val="22"/>
              </w:rPr>
            </w:pPr>
            <w:r w:rsidRPr="005B6E0C">
              <w:rPr>
                <w:rFonts w:eastAsiaTheme="minorHAnsi"/>
                <w:b/>
                <w:sz w:val="22"/>
                <w:szCs w:val="22"/>
              </w:rPr>
              <w:t>Mr Marc Metian</w:t>
            </w:r>
          </w:p>
          <w:p w:rsidR="00113F3D" w:rsidRPr="005B6E0C" w:rsidRDefault="002B7D7F" w:rsidP="005B6E0C">
            <w:pPr>
              <w:autoSpaceDE w:val="0"/>
              <w:autoSpaceDN w:val="0"/>
              <w:adjustRightInd w:val="0"/>
              <w:spacing w:after="170" w:line="280" w:lineRule="atLeast"/>
              <w:contextualSpacing/>
              <w:jc w:val="both"/>
              <w:rPr>
                <w:rFonts w:eastAsiaTheme="minorHAnsi"/>
                <w:sz w:val="22"/>
                <w:szCs w:val="22"/>
              </w:rPr>
            </w:pPr>
            <w:r w:rsidRPr="005B6E0C">
              <w:rPr>
                <w:rFonts w:eastAsiaTheme="minorHAnsi"/>
                <w:sz w:val="22"/>
                <w:szCs w:val="22"/>
              </w:rPr>
              <w:t>Radioecology Laboratory</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IAEA Environment Laboratories</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Department of Nuclear Sciences and Applications</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International Atomic Energy Agency</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4a, Quai Antoine 1er</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98000 MONACO</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PRINCIPALITY OF MONACO</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Tel.: +377 97 97 72 17</w:t>
            </w:r>
          </w:p>
          <w:p w:rsidR="002B7D7F" w:rsidRPr="005B6E0C" w:rsidRDefault="002B7D7F" w:rsidP="005B6E0C">
            <w:pPr>
              <w:autoSpaceDE w:val="0"/>
              <w:autoSpaceDN w:val="0"/>
              <w:adjustRightInd w:val="0"/>
              <w:spacing w:after="170" w:line="280" w:lineRule="atLeast"/>
              <w:contextualSpacing/>
              <w:jc w:val="both"/>
              <w:rPr>
                <w:rFonts w:eastAsiaTheme="minorHAnsi"/>
                <w:color w:val="000000"/>
                <w:sz w:val="22"/>
                <w:szCs w:val="22"/>
                <w:lang w:val="fr-FR"/>
              </w:rPr>
            </w:pPr>
            <w:r w:rsidRPr="005B6E0C">
              <w:rPr>
                <w:rFonts w:eastAsiaTheme="minorHAnsi"/>
                <w:color w:val="000000"/>
                <w:sz w:val="22"/>
                <w:szCs w:val="22"/>
                <w:lang w:val="fr-FR"/>
              </w:rPr>
              <w:t>Fax: +377 97 97 72 76</w:t>
            </w:r>
          </w:p>
          <w:p w:rsidR="002B7D7F" w:rsidRPr="00373488" w:rsidRDefault="002B7D7F" w:rsidP="005B6E0C">
            <w:pPr>
              <w:widowControl w:val="0"/>
              <w:tabs>
                <w:tab w:val="left" w:pos="-108"/>
                <w:tab w:val="left" w:pos="6554"/>
              </w:tabs>
              <w:spacing w:after="170" w:line="280" w:lineRule="atLeast"/>
              <w:ind w:right="34"/>
              <w:contextualSpacing/>
              <w:jc w:val="both"/>
              <w:rPr>
                <w:rFonts w:eastAsiaTheme="minorHAnsi"/>
                <w:color w:val="0000FF"/>
                <w:sz w:val="22"/>
                <w:szCs w:val="22"/>
                <w:lang w:val="fr-FR"/>
              </w:rPr>
            </w:pPr>
            <w:r w:rsidRPr="005B6E0C">
              <w:rPr>
                <w:rFonts w:eastAsiaTheme="minorHAnsi"/>
                <w:color w:val="000000"/>
                <w:sz w:val="22"/>
                <w:szCs w:val="22"/>
                <w:lang w:val="fr-FR"/>
              </w:rPr>
              <w:t xml:space="preserve">Email: </w:t>
            </w:r>
            <w:hyperlink r:id="rId13" w:history="1">
              <w:r w:rsidRPr="005B6E0C">
                <w:rPr>
                  <w:rStyle w:val="Hyperlink"/>
                </w:rPr>
                <w:t>M.Metian@iaea.org</w:t>
              </w:r>
            </w:hyperlink>
          </w:p>
        </w:tc>
      </w:tr>
      <w:tr w:rsidR="00524147" w:rsidRPr="002234A0" w:rsidTr="008D7836">
        <w:trPr>
          <w:trHeight w:val="2828"/>
        </w:trPr>
        <w:tc>
          <w:tcPr>
            <w:tcW w:w="2518" w:type="dxa"/>
          </w:tcPr>
          <w:p w:rsidR="00524147" w:rsidRPr="008D7836" w:rsidRDefault="00D17512" w:rsidP="005B6E0C">
            <w:pPr>
              <w:widowControl w:val="0"/>
              <w:tabs>
                <w:tab w:val="left" w:pos="-108"/>
                <w:tab w:val="left" w:pos="6554"/>
              </w:tabs>
              <w:spacing w:after="170" w:line="280" w:lineRule="atLeast"/>
              <w:ind w:left="34" w:right="34"/>
              <w:rPr>
                <w:b/>
                <w:sz w:val="22"/>
                <w:szCs w:val="22"/>
              </w:rPr>
            </w:pPr>
            <w:r w:rsidRPr="008D7836">
              <w:rPr>
                <w:b/>
                <w:sz w:val="22"/>
                <w:szCs w:val="22"/>
              </w:rPr>
              <w:lastRenderedPageBreak/>
              <w:t>IAEA Administrative Secretary</w:t>
            </w:r>
          </w:p>
        </w:tc>
        <w:tc>
          <w:tcPr>
            <w:tcW w:w="6946" w:type="dxa"/>
          </w:tcPr>
          <w:p w:rsidR="00D17512" w:rsidRPr="008D7836" w:rsidRDefault="00D17512" w:rsidP="005B6E0C">
            <w:pPr>
              <w:tabs>
                <w:tab w:val="left" w:pos="-108"/>
                <w:tab w:val="left" w:pos="6554"/>
              </w:tabs>
              <w:autoSpaceDE w:val="0"/>
              <w:autoSpaceDN w:val="0"/>
              <w:adjustRightInd w:val="0"/>
              <w:spacing w:after="170" w:line="280" w:lineRule="atLeast"/>
              <w:contextualSpacing/>
              <w:jc w:val="both"/>
              <w:rPr>
                <w:b/>
                <w:sz w:val="22"/>
                <w:szCs w:val="22"/>
              </w:rPr>
            </w:pPr>
            <w:r w:rsidRPr="008D7836">
              <w:rPr>
                <w:b/>
                <w:sz w:val="22"/>
                <w:szCs w:val="22"/>
              </w:rPr>
              <w:t>Mr Emmanuel Tiam Fondop</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Radiometrics Laboratory</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IAEA Environment Laboratories</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Department of Nuclear Sciences and Applications</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International Atomic Energy Agency</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4a, Quai Antoine 1er</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98000 MONACO</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PRINCIPALITY OF MONACO</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Tel.: +377 97 97 72 15</w:t>
            </w:r>
          </w:p>
          <w:p w:rsidR="00D17512" w:rsidRPr="005B6E0C" w:rsidRDefault="00D17512" w:rsidP="005B6E0C">
            <w:pPr>
              <w:autoSpaceDE w:val="0"/>
              <w:autoSpaceDN w:val="0"/>
              <w:adjustRightInd w:val="0"/>
              <w:spacing w:after="170" w:line="280" w:lineRule="atLeast"/>
              <w:contextualSpacing/>
              <w:jc w:val="both"/>
              <w:rPr>
                <w:rFonts w:eastAsiaTheme="minorHAnsi"/>
                <w:color w:val="000000"/>
                <w:sz w:val="22"/>
                <w:szCs w:val="22"/>
              </w:rPr>
            </w:pPr>
            <w:r w:rsidRPr="005B6E0C">
              <w:rPr>
                <w:rFonts w:eastAsiaTheme="minorHAnsi"/>
                <w:color w:val="000000"/>
                <w:sz w:val="22"/>
                <w:szCs w:val="22"/>
              </w:rPr>
              <w:t>Fax: +377 97 97 72 73</w:t>
            </w:r>
          </w:p>
          <w:p w:rsidR="00524147" w:rsidRPr="00373488" w:rsidRDefault="00D17512" w:rsidP="005B6E0C">
            <w:pPr>
              <w:autoSpaceDE w:val="0"/>
              <w:autoSpaceDN w:val="0"/>
              <w:adjustRightInd w:val="0"/>
              <w:spacing w:after="170" w:line="280" w:lineRule="atLeast"/>
              <w:contextualSpacing/>
              <w:jc w:val="both"/>
              <w:rPr>
                <w:sz w:val="22"/>
                <w:szCs w:val="22"/>
                <w:lang w:val="fr-FR"/>
              </w:rPr>
            </w:pPr>
            <w:r w:rsidRPr="005B6E0C">
              <w:rPr>
                <w:rFonts w:eastAsiaTheme="minorHAnsi"/>
                <w:color w:val="000000"/>
                <w:sz w:val="22"/>
                <w:szCs w:val="22"/>
              </w:rPr>
              <w:t xml:space="preserve">Email: </w:t>
            </w:r>
            <w:hyperlink r:id="rId14" w:history="1">
              <w:r w:rsidR="003632B1" w:rsidRPr="00F31984">
                <w:rPr>
                  <w:rStyle w:val="Hyperlink"/>
                </w:rPr>
                <w:t>E.Tiam-Fondop@iaea.org</w:t>
              </w:r>
            </w:hyperlink>
            <w:r w:rsidR="003632B1" w:rsidRPr="00373488">
              <w:rPr>
                <w:sz w:val="22"/>
                <w:szCs w:val="22"/>
                <w:lang w:val="fr-FR"/>
              </w:rPr>
              <w:t xml:space="preserve"> </w:t>
            </w:r>
          </w:p>
        </w:tc>
      </w:tr>
    </w:tbl>
    <w:p w:rsidR="00FF5202" w:rsidRPr="00373488" w:rsidRDefault="00FF5202" w:rsidP="005552D1">
      <w:pPr>
        <w:tabs>
          <w:tab w:val="left" w:pos="945"/>
        </w:tabs>
        <w:rPr>
          <w:lang w:val="fr-FR"/>
        </w:rPr>
      </w:pPr>
    </w:p>
    <w:sectPr w:rsidR="00FF5202" w:rsidRPr="00373488" w:rsidSect="002702D2">
      <w:footerReference w:type="default" r:id="rId15"/>
      <w:pgSz w:w="11906" w:h="16838"/>
      <w:pgMar w:top="1440" w:right="1134"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AA" w:rsidRDefault="00B224AA" w:rsidP="0011699F">
      <w:r>
        <w:separator/>
      </w:r>
    </w:p>
  </w:endnote>
  <w:endnote w:type="continuationSeparator" w:id="0">
    <w:p w:rsidR="00B224AA" w:rsidRDefault="00B224AA" w:rsidP="0011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39755"/>
      <w:docPartObj>
        <w:docPartGallery w:val="Page Numbers (Bottom of Page)"/>
        <w:docPartUnique/>
      </w:docPartObj>
    </w:sdtPr>
    <w:sdtEndPr>
      <w:rPr>
        <w:noProof/>
      </w:rPr>
    </w:sdtEndPr>
    <w:sdtContent>
      <w:p w:rsidR="00F31984" w:rsidRDefault="00F31984">
        <w:pPr>
          <w:pStyle w:val="Footer"/>
          <w:jc w:val="right"/>
        </w:pPr>
        <w:r>
          <w:fldChar w:fldCharType="begin"/>
        </w:r>
        <w:r>
          <w:instrText xml:space="preserve"> PAGE   \* MERGEFORMAT </w:instrText>
        </w:r>
        <w:r>
          <w:fldChar w:fldCharType="separate"/>
        </w:r>
        <w:r w:rsidR="00A24879">
          <w:rPr>
            <w:noProof/>
          </w:rPr>
          <w:t>1</w:t>
        </w:r>
        <w:r>
          <w:rPr>
            <w:noProof/>
          </w:rPr>
          <w:fldChar w:fldCharType="end"/>
        </w:r>
      </w:p>
    </w:sdtContent>
  </w:sdt>
  <w:p w:rsidR="00F31984" w:rsidRDefault="00F3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AA" w:rsidRDefault="00B224AA" w:rsidP="0011699F">
      <w:r>
        <w:separator/>
      </w:r>
    </w:p>
  </w:footnote>
  <w:footnote w:type="continuationSeparator" w:id="0">
    <w:p w:rsidR="00B224AA" w:rsidRDefault="00B224AA" w:rsidP="00116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4DE8"/>
    <w:multiLevelType w:val="hybridMultilevel"/>
    <w:tmpl w:val="F4A0606C"/>
    <w:lvl w:ilvl="0" w:tplc="0409000F">
      <w:start w:val="1"/>
      <w:numFmt w:val="decimal"/>
      <w:lvlText w:val="%1."/>
      <w:lvlJc w:val="left"/>
      <w:pPr>
        <w:tabs>
          <w:tab w:val="num" w:pos="2790"/>
        </w:tabs>
        <w:ind w:left="2790" w:hanging="360"/>
      </w:pPr>
    </w:lvl>
    <w:lvl w:ilvl="1" w:tplc="04090019">
      <w:start w:val="1"/>
      <w:numFmt w:val="lowerLetter"/>
      <w:lvlText w:val="%2."/>
      <w:lvlJc w:val="left"/>
      <w:pPr>
        <w:tabs>
          <w:tab w:val="num" w:pos="3510"/>
        </w:tabs>
        <w:ind w:left="3510" w:hanging="360"/>
      </w:pPr>
    </w:lvl>
    <w:lvl w:ilvl="2" w:tplc="0409001B">
      <w:start w:val="1"/>
      <w:numFmt w:val="lowerRoman"/>
      <w:lvlText w:val="%3."/>
      <w:lvlJc w:val="right"/>
      <w:pPr>
        <w:tabs>
          <w:tab w:val="num" w:pos="4230"/>
        </w:tabs>
        <w:ind w:left="4230" w:hanging="180"/>
      </w:pPr>
    </w:lvl>
    <w:lvl w:ilvl="3" w:tplc="0409000F">
      <w:start w:val="1"/>
      <w:numFmt w:val="decimal"/>
      <w:lvlText w:val="%4."/>
      <w:lvlJc w:val="left"/>
      <w:pPr>
        <w:tabs>
          <w:tab w:val="num" w:pos="4950"/>
        </w:tabs>
        <w:ind w:left="4950" w:hanging="360"/>
      </w:pPr>
    </w:lvl>
    <w:lvl w:ilvl="4" w:tplc="04090019">
      <w:start w:val="1"/>
      <w:numFmt w:val="lowerLetter"/>
      <w:lvlText w:val="%5."/>
      <w:lvlJc w:val="left"/>
      <w:pPr>
        <w:tabs>
          <w:tab w:val="num" w:pos="5670"/>
        </w:tabs>
        <w:ind w:left="5670" w:hanging="360"/>
      </w:pPr>
    </w:lvl>
    <w:lvl w:ilvl="5" w:tplc="0409001B">
      <w:start w:val="1"/>
      <w:numFmt w:val="lowerRoman"/>
      <w:lvlText w:val="%6."/>
      <w:lvlJc w:val="right"/>
      <w:pPr>
        <w:tabs>
          <w:tab w:val="num" w:pos="6390"/>
        </w:tabs>
        <w:ind w:left="6390" w:hanging="180"/>
      </w:pPr>
    </w:lvl>
    <w:lvl w:ilvl="6" w:tplc="0409000F">
      <w:start w:val="1"/>
      <w:numFmt w:val="decimal"/>
      <w:lvlText w:val="%7."/>
      <w:lvlJc w:val="left"/>
      <w:pPr>
        <w:tabs>
          <w:tab w:val="num" w:pos="7110"/>
        </w:tabs>
        <w:ind w:left="7110" w:hanging="360"/>
      </w:pPr>
    </w:lvl>
    <w:lvl w:ilvl="7" w:tplc="04090019">
      <w:start w:val="1"/>
      <w:numFmt w:val="lowerLetter"/>
      <w:lvlText w:val="%8."/>
      <w:lvlJc w:val="left"/>
      <w:pPr>
        <w:tabs>
          <w:tab w:val="num" w:pos="7830"/>
        </w:tabs>
        <w:ind w:left="7830" w:hanging="360"/>
      </w:pPr>
    </w:lvl>
    <w:lvl w:ilvl="8" w:tplc="0409001B">
      <w:start w:val="1"/>
      <w:numFmt w:val="lowerRoman"/>
      <w:lvlText w:val="%9."/>
      <w:lvlJc w:val="right"/>
      <w:pPr>
        <w:tabs>
          <w:tab w:val="num" w:pos="8550"/>
        </w:tabs>
        <w:ind w:left="8550" w:hanging="180"/>
      </w:pPr>
    </w:lvl>
  </w:abstractNum>
  <w:abstractNum w:abstractNumId="1">
    <w:nsid w:val="4EB00AEE"/>
    <w:multiLevelType w:val="hybridMultilevel"/>
    <w:tmpl w:val="2CE0D284"/>
    <w:lvl w:ilvl="0" w:tplc="A97ECC5A">
      <w:start w:val="97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13128"/>
    <w:multiLevelType w:val="hybridMultilevel"/>
    <w:tmpl w:val="F4FAA9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0D32C5"/>
    <w:multiLevelType w:val="hybridMultilevel"/>
    <w:tmpl w:val="6736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1E"/>
    <w:rsid w:val="0001021E"/>
    <w:rsid w:val="000302F1"/>
    <w:rsid w:val="000511BD"/>
    <w:rsid w:val="00077484"/>
    <w:rsid w:val="00113F3D"/>
    <w:rsid w:val="0011699F"/>
    <w:rsid w:val="0013558D"/>
    <w:rsid w:val="00171A45"/>
    <w:rsid w:val="001C25E7"/>
    <w:rsid w:val="00201858"/>
    <w:rsid w:val="002234A0"/>
    <w:rsid w:val="00224D20"/>
    <w:rsid w:val="002702D2"/>
    <w:rsid w:val="00281F68"/>
    <w:rsid w:val="00283431"/>
    <w:rsid w:val="002A11C8"/>
    <w:rsid w:val="002B7D7F"/>
    <w:rsid w:val="002E34F3"/>
    <w:rsid w:val="0034275F"/>
    <w:rsid w:val="003436DF"/>
    <w:rsid w:val="00347C1F"/>
    <w:rsid w:val="00356474"/>
    <w:rsid w:val="003632B1"/>
    <w:rsid w:val="00373488"/>
    <w:rsid w:val="003826F7"/>
    <w:rsid w:val="00393950"/>
    <w:rsid w:val="00395800"/>
    <w:rsid w:val="003E6734"/>
    <w:rsid w:val="004165F8"/>
    <w:rsid w:val="004631BF"/>
    <w:rsid w:val="004A0E0D"/>
    <w:rsid w:val="004D0537"/>
    <w:rsid w:val="00506552"/>
    <w:rsid w:val="00524147"/>
    <w:rsid w:val="00547D1E"/>
    <w:rsid w:val="005552D1"/>
    <w:rsid w:val="005B6E0C"/>
    <w:rsid w:val="005E12A5"/>
    <w:rsid w:val="005E642E"/>
    <w:rsid w:val="005E7533"/>
    <w:rsid w:val="005F4BC0"/>
    <w:rsid w:val="00610CF5"/>
    <w:rsid w:val="006D4F75"/>
    <w:rsid w:val="006E18C6"/>
    <w:rsid w:val="00700F8E"/>
    <w:rsid w:val="00724E6E"/>
    <w:rsid w:val="0080633C"/>
    <w:rsid w:val="0084012C"/>
    <w:rsid w:val="008548A2"/>
    <w:rsid w:val="008711C2"/>
    <w:rsid w:val="00880769"/>
    <w:rsid w:val="008850DB"/>
    <w:rsid w:val="00885838"/>
    <w:rsid w:val="008B7CA2"/>
    <w:rsid w:val="008D4988"/>
    <w:rsid w:val="008D7836"/>
    <w:rsid w:val="009003E5"/>
    <w:rsid w:val="009842FC"/>
    <w:rsid w:val="009871A3"/>
    <w:rsid w:val="00990B70"/>
    <w:rsid w:val="0099571A"/>
    <w:rsid w:val="00A24879"/>
    <w:rsid w:val="00A27835"/>
    <w:rsid w:val="00A31FEB"/>
    <w:rsid w:val="00A457AD"/>
    <w:rsid w:val="00A71DC4"/>
    <w:rsid w:val="00A97FCE"/>
    <w:rsid w:val="00AA6432"/>
    <w:rsid w:val="00AF4463"/>
    <w:rsid w:val="00B018F0"/>
    <w:rsid w:val="00B224AA"/>
    <w:rsid w:val="00B233C2"/>
    <w:rsid w:val="00B5159F"/>
    <w:rsid w:val="00B55B5B"/>
    <w:rsid w:val="00B638E0"/>
    <w:rsid w:val="00BC2394"/>
    <w:rsid w:val="00BE3795"/>
    <w:rsid w:val="00C45977"/>
    <w:rsid w:val="00C522E6"/>
    <w:rsid w:val="00CD5002"/>
    <w:rsid w:val="00CE6DD2"/>
    <w:rsid w:val="00D17512"/>
    <w:rsid w:val="00D3484D"/>
    <w:rsid w:val="00D3696D"/>
    <w:rsid w:val="00D51603"/>
    <w:rsid w:val="00E249CB"/>
    <w:rsid w:val="00E91C97"/>
    <w:rsid w:val="00EE704D"/>
    <w:rsid w:val="00F01775"/>
    <w:rsid w:val="00F263AA"/>
    <w:rsid w:val="00F31984"/>
    <w:rsid w:val="00F44DEE"/>
    <w:rsid w:val="00F51C2E"/>
    <w:rsid w:val="00F8619F"/>
    <w:rsid w:val="00FA311D"/>
    <w:rsid w:val="00FC598A"/>
    <w:rsid w:val="00FF52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84"/>
    <w:rPr>
      <w:rFonts w:eastAsiaTheme="minorHAnsi"/>
      <w:color w:val="0000FF" w:themeColor="hyperlink"/>
      <w:sz w:val="22"/>
      <w:szCs w:val="22"/>
      <w:u w:val="single"/>
      <w:lang w:val="fr-FR"/>
    </w:rPr>
  </w:style>
  <w:style w:type="paragraph" w:styleId="ListParagraph">
    <w:name w:val="List Paragraph"/>
    <w:basedOn w:val="Normal"/>
    <w:uiPriority w:val="34"/>
    <w:qFormat/>
    <w:rsid w:val="00724E6E"/>
    <w:pPr>
      <w:ind w:left="720"/>
      <w:contextualSpacing/>
    </w:pPr>
  </w:style>
  <w:style w:type="paragraph" w:styleId="Header">
    <w:name w:val="header"/>
    <w:basedOn w:val="Normal"/>
    <w:link w:val="HeaderChar"/>
    <w:uiPriority w:val="99"/>
    <w:unhideWhenUsed/>
    <w:rsid w:val="0011699F"/>
    <w:pPr>
      <w:tabs>
        <w:tab w:val="center" w:pos="4513"/>
        <w:tab w:val="right" w:pos="9026"/>
      </w:tabs>
    </w:pPr>
  </w:style>
  <w:style w:type="character" w:customStyle="1" w:styleId="HeaderChar">
    <w:name w:val="Header Char"/>
    <w:basedOn w:val="DefaultParagraphFont"/>
    <w:link w:val="Header"/>
    <w:uiPriority w:val="99"/>
    <w:rsid w:val="0011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699F"/>
    <w:pPr>
      <w:tabs>
        <w:tab w:val="center" w:pos="4513"/>
        <w:tab w:val="right" w:pos="9026"/>
      </w:tabs>
    </w:pPr>
  </w:style>
  <w:style w:type="character" w:customStyle="1" w:styleId="FooterChar">
    <w:name w:val="Footer Char"/>
    <w:basedOn w:val="DefaultParagraphFont"/>
    <w:link w:val="Footer"/>
    <w:uiPriority w:val="99"/>
    <w:rsid w:val="001169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3C2"/>
    <w:rPr>
      <w:rFonts w:ascii="Tahoma" w:hAnsi="Tahoma" w:cs="Tahoma"/>
      <w:sz w:val="16"/>
      <w:szCs w:val="16"/>
    </w:rPr>
  </w:style>
  <w:style w:type="character" w:customStyle="1" w:styleId="BalloonTextChar">
    <w:name w:val="Balloon Text Char"/>
    <w:basedOn w:val="DefaultParagraphFont"/>
    <w:link w:val="BalloonText"/>
    <w:uiPriority w:val="99"/>
    <w:semiHidden/>
    <w:rsid w:val="00B233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826F7"/>
    <w:rPr>
      <w:sz w:val="16"/>
      <w:szCs w:val="16"/>
    </w:rPr>
  </w:style>
  <w:style w:type="paragraph" w:styleId="CommentText">
    <w:name w:val="annotation text"/>
    <w:basedOn w:val="Normal"/>
    <w:link w:val="CommentTextChar"/>
    <w:uiPriority w:val="99"/>
    <w:semiHidden/>
    <w:unhideWhenUsed/>
    <w:rsid w:val="003826F7"/>
    <w:rPr>
      <w:sz w:val="20"/>
      <w:szCs w:val="20"/>
    </w:rPr>
  </w:style>
  <w:style w:type="character" w:customStyle="1" w:styleId="CommentTextChar">
    <w:name w:val="Comment Text Char"/>
    <w:basedOn w:val="DefaultParagraphFont"/>
    <w:link w:val="CommentText"/>
    <w:uiPriority w:val="99"/>
    <w:semiHidden/>
    <w:rsid w:val="00382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6F7"/>
    <w:rPr>
      <w:b/>
      <w:bCs/>
    </w:rPr>
  </w:style>
  <w:style w:type="character" w:customStyle="1" w:styleId="CommentSubjectChar">
    <w:name w:val="Comment Subject Char"/>
    <w:basedOn w:val="CommentTextChar"/>
    <w:link w:val="CommentSubject"/>
    <w:uiPriority w:val="99"/>
    <w:semiHidden/>
    <w:rsid w:val="003826F7"/>
    <w:rPr>
      <w:rFonts w:ascii="Times New Roman" w:eastAsia="Times New Roman" w:hAnsi="Times New Roman" w:cs="Times New Roman"/>
      <w:b/>
      <w:bCs/>
      <w:sz w:val="20"/>
      <w:szCs w:val="20"/>
    </w:rPr>
  </w:style>
  <w:style w:type="paragraph" w:styleId="Revision">
    <w:name w:val="Revision"/>
    <w:hidden/>
    <w:uiPriority w:val="99"/>
    <w:semiHidden/>
    <w:rsid w:val="003826F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84"/>
    <w:rPr>
      <w:rFonts w:eastAsiaTheme="minorHAnsi"/>
      <w:color w:val="0000FF" w:themeColor="hyperlink"/>
      <w:sz w:val="22"/>
      <w:szCs w:val="22"/>
      <w:u w:val="single"/>
      <w:lang w:val="fr-FR"/>
    </w:rPr>
  </w:style>
  <w:style w:type="paragraph" w:styleId="ListParagraph">
    <w:name w:val="List Paragraph"/>
    <w:basedOn w:val="Normal"/>
    <w:uiPriority w:val="34"/>
    <w:qFormat/>
    <w:rsid w:val="00724E6E"/>
    <w:pPr>
      <w:ind w:left="720"/>
      <w:contextualSpacing/>
    </w:pPr>
  </w:style>
  <w:style w:type="paragraph" w:styleId="Header">
    <w:name w:val="header"/>
    <w:basedOn w:val="Normal"/>
    <w:link w:val="HeaderChar"/>
    <w:uiPriority w:val="99"/>
    <w:unhideWhenUsed/>
    <w:rsid w:val="0011699F"/>
    <w:pPr>
      <w:tabs>
        <w:tab w:val="center" w:pos="4513"/>
        <w:tab w:val="right" w:pos="9026"/>
      </w:tabs>
    </w:pPr>
  </w:style>
  <w:style w:type="character" w:customStyle="1" w:styleId="HeaderChar">
    <w:name w:val="Header Char"/>
    <w:basedOn w:val="DefaultParagraphFont"/>
    <w:link w:val="Header"/>
    <w:uiPriority w:val="99"/>
    <w:rsid w:val="00116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699F"/>
    <w:pPr>
      <w:tabs>
        <w:tab w:val="center" w:pos="4513"/>
        <w:tab w:val="right" w:pos="9026"/>
      </w:tabs>
    </w:pPr>
  </w:style>
  <w:style w:type="character" w:customStyle="1" w:styleId="FooterChar">
    <w:name w:val="Footer Char"/>
    <w:basedOn w:val="DefaultParagraphFont"/>
    <w:link w:val="Footer"/>
    <w:uiPriority w:val="99"/>
    <w:rsid w:val="001169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3C2"/>
    <w:rPr>
      <w:rFonts w:ascii="Tahoma" w:hAnsi="Tahoma" w:cs="Tahoma"/>
      <w:sz w:val="16"/>
      <w:szCs w:val="16"/>
    </w:rPr>
  </w:style>
  <w:style w:type="character" w:customStyle="1" w:styleId="BalloonTextChar">
    <w:name w:val="Balloon Text Char"/>
    <w:basedOn w:val="DefaultParagraphFont"/>
    <w:link w:val="BalloonText"/>
    <w:uiPriority w:val="99"/>
    <w:semiHidden/>
    <w:rsid w:val="00B233C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826F7"/>
    <w:rPr>
      <w:sz w:val="16"/>
      <w:szCs w:val="16"/>
    </w:rPr>
  </w:style>
  <w:style w:type="paragraph" w:styleId="CommentText">
    <w:name w:val="annotation text"/>
    <w:basedOn w:val="Normal"/>
    <w:link w:val="CommentTextChar"/>
    <w:uiPriority w:val="99"/>
    <w:semiHidden/>
    <w:unhideWhenUsed/>
    <w:rsid w:val="003826F7"/>
    <w:rPr>
      <w:sz w:val="20"/>
      <w:szCs w:val="20"/>
    </w:rPr>
  </w:style>
  <w:style w:type="character" w:customStyle="1" w:styleId="CommentTextChar">
    <w:name w:val="Comment Text Char"/>
    <w:basedOn w:val="DefaultParagraphFont"/>
    <w:link w:val="CommentText"/>
    <w:uiPriority w:val="99"/>
    <w:semiHidden/>
    <w:rsid w:val="00382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6F7"/>
    <w:rPr>
      <w:b/>
      <w:bCs/>
    </w:rPr>
  </w:style>
  <w:style w:type="character" w:customStyle="1" w:styleId="CommentSubjectChar">
    <w:name w:val="Comment Subject Char"/>
    <w:basedOn w:val="CommentTextChar"/>
    <w:link w:val="CommentSubject"/>
    <w:uiPriority w:val="99"/>
    <w:semiHidden/>
    <w:rsid w:val="003826F7"/>
    <w:rPr>
      <w:rFonts w:ascii="Times New Roman" w:eastAsia="Times New Roman" w:hAnsi="Times New Roman" w:cs="Times New Roman"/>
      <w:b/>
      <w:bCs/>
      <w:sz w:val="20"/>
      <w:szCs w:val="20"/>
    </w:rPr>
  </w:style>
  <w:style w:type="paragraph" w:styleId="Revision">
    <w:name w:val="Revision"/>
    <w:hidden/>
    <w:uiPriority w:val="99"/>
    <w:semiHidden/>
    <w:rsid w:val="003826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1515">
      <w:bodyDiv w:val="1"/>
      <w:marLeft w:val="0"/>
      <w:marRight w:val="0"/>
      <w:marTop w:val="0"/>
      <w:marBottom w:val="0"/>
      <w:divBdr>
        <w:top w:val="none" w:sz="0" w:space="0" w:color="auto"/>
        <w:left w:val="none" w:sz="0" w:space="0" w:color="auto"/>
        <w:bottom w:val="none" w:sz="0" w:space="0" w:color="auto"/>
        <w:right w:val="none" w:sz="0" w:space="0" w:color="auto"/>
      </w:divBdr>
    </w:div>
    <w:div w:id="1696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etian@iae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svath@iae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Tiam-Fondop@iae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Metian@iaea.org" TargetMode="External"/><Relationship Id="rId4" Type="http://schemas.openxmlformats.org/officeDocument/2006/relationships/settings" Target="settings.xml"/><Relationship Id="rId9" Type="http://schemas.openxmlformats.org/officeDocument/2006/relationships/hyperlink" Target="mailto:I.Osvath@iaea.org" TargetMode="External"/><Relationship Id="rId14" Type="http://schemas.openxmlformats.org/officeDocument/2006/relationships/hyperlink" Target="mailto:E.Tiam-Fondop@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DESSA, Hasti</dc:creator>
  <cp:lastModifiedBy>TIAM FONDOP, Emmanuel</cp:lastModifiedBy>
  <cp:revision>2</cp:revision>
  <cp:lastPrinted>2015-08-17T07:32:00Z</cp:lastPrinted>
  <dcterms:created xsi:type="dcterms:W3CDTF">2015-08-27T12:02:00Z</dcterms:created>
  <dcterms:modified xsi:type="dcterms:W3CDTF">2015-08-27T12:02:00Z</dcterms:modified>
</cp:coreProperties>
</file>