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8A" w:rsidRDefault="0001021E">
      <w:pPr>
        <w:rPr>
          <w:lang w:val="fr-FR"/>
        </w:rPr>
      </w:pPr>
      <w:r>
        <w:rPr>
          <w:noProof/>
          <w:lang w:eastAsia="en-GB"/>
        </w:rPr>
        <w:drawing>
          <wp:anchor distT="0" distB="0" distL="114300" distR="114300" simplePos="0" relativeHeight="251659264" behindDoc="0" locked="0" layoutInCell="1" allowOverlap="1" wp14:anchorId="4ABAFA5F" wp14:editId="0223E80E">
            <wp:simplePos x="0" y="0"/>
            <wp:positionH relativeFrom="column">
              <wp:posOffset>2392045</wp:posOffset>
            </wp:positionH>
            <wp:positionV relativeFrom="paragraph">
              <wp:posOffset>-678815</wp:posOffset>
            </wp:positionV>
            <wp:extent cx="1285875" cy="1116330"/>
            <wp:effectExtent l="0" t="0" r="9525" b="7620"/>
            <wp:wrapNone/>
            <wp:docPr id="1" name="Picture 1" descr="http://oasis.iaea.org/OASIS/OASIS/MTCD/References/VID/IAEA_LOGO_NEW_JPG/With_slogan_vertical/IAEA-Logo-E_vertic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s.iaea.org/OASIS/OASIS/MTCD/References/VID/IAEA_LOGO_NEW_JPG/With_slogan_vertical/IAEA-Logo-E_vertical_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21E" w:rsidRDefault="0001021E">
      <w:pPr>
        <w:rPr>
          <w:lang w:val="fr-FR"/>
        </w:rPr>
      </w:pPr>
    </w:p>
    <w:p w:rsidR="0001021E" w:rsidRDefault="0001021E">
      <w:pPr>
        <w:rPr>
          <w:lang w:val="fr-FR"/>
        </w:rPr>
      </w:pPr>
    </w:p>
    <w:p w:rsidR="005F4BC0" w:rsidRDefault="005F4BC0">
      <w:pPr>
        <w:rPr>
          <w:lang w:val="fr-FR"/>
        </w:rPr>
      </w:pPr>
    </w:p>
    <w:p w:rsidR="0001021E" w:rsidRPr="0001021E" w:rsidRDefault="0001021E" w:rsidP="0001021E">
      <w:pPr>
        <w:autoSpaceDE w:val="0"/>
        <w:autoSpaceDN w:val="0"/>
        <w:adjustRightInd w:val="0"/>
        <w:jc w:val="center"/>
        <w:rPr>
          <w:rFonts w:ascii="TimesNewRomanPSMT" w:eastAsiaTheme="minorHAnsi" w:hAnsi="TimesNewRomanPSMT" w:cs="TimesNewRomanPSMT"/>
          <w:color w:val="000000"/>
          <w:sz w:val="28"/>
          <w:szCs w:val="28"/>
        </w:rPr>
      </w:pPr>
      <w:r w:rsidRPr="0001021E">
        <w:rPr>
          <w:rFonts w:ascii="TimesNewRomanPSMT" w:eastAsiaTheme="minorHAnsi" w:hAnsi="TimesNewRomanPSMT" w:cs="TimesNewRomanPSMT"/>
          <w:color w:val="000000"/>
          <w:sz w:val="28"/>
          <w:szCs w:val="28"/>
        </w:rPr>
        <w:t>Department of Nuclear Sciences and Applications</w:t>
      </w:r>
    </w:p>
    <w:p w:rsidR="0001021E" w:rsidRPr="0001021E" w:rsidRDefault="0001021E" w:rsidP="0001021E">
      <w:pPr>
        <w:autoSpaceDE w:val="0"/>
        <w:autoSpaceDN w:val="0"/>
        <w:adjustRightInd w:val="0"/>
        <w:jc w:val="center"/>
        <w:rPr>
          <w:rFonts w:ascii="TimesNewRomanPSMT" w:eastAsiaTheme="minorHAnsi" w:hAnsi="TimesNewRomanPSMT" w:cs="TimesNewRomanPSMT"/>
          <w:color w:val="000000"/>
          <w:sz w:val="28"/>
          <w:szCs w:val="28"/>
        </w:rPr>
      </w:pPr>
      <w:r w:rsidRPr="0001021E">
        <w:rPr>
          <w:rFonts w:ascii="TimesNewRomanPSMT" w:eastAsiaTheme="minorHAnsi" w:hAnsi="TimesNewRomanPSMT" w:cs="TimesNewRomanPSMT"/>
          <w:color w:val="000000"/>
          <w:sz w:val="28"/>
          <w:szCs w:val="28"/>
        </w:rPr>
        <w:t>IAEA Environment Laboratories, Monaco</w:t>
      </w:r>
    </w:p>
    <w:p w:rsidR="0001021E" w:rsidRPr="0001021E" w:rsidRDefault="0001021E" w:rsidP="0001021E">
      <w:pPr>
        <w:autoSpaceDE w:val="0"/>
        <w:autoSpaceDN w:val="0"/>
        <w:adjustRightInd w:val="0"/>
        <w:jc w:val="center"/>
        <w:rPr>
          <w:rFonts w:ascii="TimesNewRomanPS-BoldMT" w:eastAsiaTheme="minorHAnsi" w:hAnsi="TimesNewRomanPS-BoldMT" w:cs="TimesNewRomanPS-BoldMT"/>
          <w:b/>
          <w:bCs/>
          <w:color w:val="000000"/>
          <w:sz w:val="28"/>
          <w:szCs w:val="28"/>
        </w:rPr>
      </w:pPr>
    </w:p>
    <w:p w:rsidR="0001021E" w:rsidRPr="0001021E" w:rsidRDefault="0001021E" w:rsidP="0001021E">
      <w:pPr>
        <w:autoSpaceDE w:val="0"/>
        <w:autoSpaceDN w:val="0"/>
        <w:adjustRightInd w:val="0"/>
        <w:jc w:val="center"/>
        <w:rPr>
          <w:rFonts w:ascii="TimesNewRomanPS-BoldMT" w:eastAsiaTheme="minorHAnsi" w:hAnsi="TimesNewRomanPS-BoldMT" w:cs="TimesNewRomanPS-BoldMT"/>
          <w:b/>
          <w:bCs/>
          <w:color w:val="000000"/>
          <w:sz w:val="28"/>
          <w:szCs w:val="28"/>
        </w:rPr>
      </w:pPr>
      <w:r w:rsidRPr="0001021E">
        <w:rPr>
          <w:rFonts w:ascii="TimesNewRomanPS-BoldMT" w:eastAsiaTheme="minorHAnsi" w:hAnsi="TimesNewRomanPS-BoldMT" w:cs="TimesNewRomanPS-BoldMT"/>
          <w:b/>
          <w:bCs/>
          <w:color w:val="000000"/>
          <w:sz w:val="28"/>
          <w:szCs w:val="28"/>
        </w:rPr>
        <w:t>Training Course on Ocean Acidification</w:t>
      </w:r>
    </w:p>
    <w:p w:rsidR="0001021E" w:rsidRPr="0001021E" w:rsidRDefault="0001021E" w:rsidP="0001021E">
      <w:pPr>
        <w:autoSpaceDE w:val="0"/>
        <w:autoSpaceDN w:val="0"/>
        <w:adjustRightInd w:val="0"/>
        <w:jc w:val="center"/>
        <w:rPr>
          <w:rFonts w:ascii="TimesNewRomanPS-BoldMT" w:eastAsiaTheme="minorHAnsi" w:hAnsi="TimesNewRomanPS-BoldMT" w:cs="TimesNewRomanPS-BoldMT"/>
          <w:b/>
          <w:bCs/>
          <w:color w:val="000000"/>
          <w:sz w:val="28"/>
          <w:szCs w:val="28"/>
        </w:rPr>
      </w:pPr>
    </w:p>
    <w:p w:rsidR="0001021E" w:rsidRPr="0001021E" w:rsidRDefault="0001021E" w:rsidP="0001021E">
      <w:pPr>
        <w:autoSpaceDE w:val="0"/>
        <w:autoSpaceDN w:val="0"/>
        <w:adjustRightInd w:val="0"/>
        <w:jc w:val="center"/>
        <w:rPr>
          <w:rFonts w:ascii="TimesNewRomanPS-BoldMT" w:eastAsiaTheme="minorHAnsi" w:hAnsi="TimesNewRomanPS-BoldMT" w:cs="TimesNewRomanPS-BoldMT"/>
          <w:b/>
          <w:bCs/>
          <w:color w:val="000000"/>
        </w:rPr>
      </w:pPr>
      <w:r w:rsidRPr="0001021E">
        <w:rPr>
          <w:rFonts w:ascii="TimesNewRomanPS-BoldMT" w:eastAsiaTheme="minorHAnsi" w:hAnsi="TimesNewRomanPS-BoldMT" w:cs="TimesNewRomanPS-BoldMT"/>
          <w:b/>
          <w:bCs/>
          <w:color w:val="000000"/>
        </w:rPr>
        <w:t>Ref: K4-TM-50060</w:t>
      </w:r>
    </w:p>
    <w:p w:rsidR="0001021E" w:rsidRDefault="0001021E" w:rsidP="0001021E">
      <w:pPr>
        <w:jc w:val="center"/>
        <w:rPr>
          <w:lang w:val="fr-FR"/>
        </w:rPr>
      </w:pPr>
    </w:p>
    <w:p w:rsidR="0001021E" w:rsidRDefault="0001021E">
      <w:pPr>
        <w:rPr>
          <w:lang w:val="fr-FR"/>
        </w:rPr>
      </w:pPr>
    </w:p>
    <w:tbl>
      <w:tblPr>
        <w:tblW w:w="9464" w:type="dxa"/>
        <w:tblLook w:val="00A0" w:firstRow="1" w:lastRow="0" w:firstColumn="1" w:lastColumn="0" w:noHBand="0" w:noVBand="0"/>
      </w:tblPr>
      <w:tblGrid>
        <w:gridCol w:w="2518"/>
        <w:gridCol w:w="6946"/>
      </w:tblGrid>
      <w:tr w:rsidR="0001021E" w:rsidTr="00AA6432">
        <w:trPr>
          <w:trHeight w:val="858"/>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Title:</w:t>
            </w:r>
          </w:p>
        </w:tc>
        <w:tc>
          <w:tcPr>
            <w:tcW w:w="6946" w:type="dxa"/>
          </w:tcPr>
          <w:p w:rsidR="0001021E" w:rsidRPr="00E91C97" w:rsidRDefault="0001021E" w:rsidP="00AA6432">
            <w:pPr>
              <w:widowControl w:val="0"/>
              <w:tabs>
                <w:tab w:val="left" w:pos="2400"/>
                <w:tab w:val="left" w:pos="6413"/>
              </w:tabs>
              <w:rPr>
                <w:sz w:val="22"/>
                <w:szCs w:val="22"/>
                <w:lang w:val="en-US"/>
              </w:rPr>
            </w:pPr>
            <w:r w:rsidRPr="00E91C97">
              <w:rPr>
                <w:sz w:val="22"/>
                <w:szCs w:val="22"/>
                <w:lang w:val="en-US"/>
              </w:rPr>
              <w:t>Training Course on Ocean Acidification</w:t>
            </w:r>
          </w:p>
        </w:tc>
      </w:tr>
      <w:tr w:rsidR="0001021E" w:rsidTr="00AA6432">
        <w:trPr>
          <w:trHeight w:val="714"/>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Host Institute:</w:t>
            </w:r>
          </w:p>
        </w:tc>
        <w:tc>
          <w:tcPr>
            <w:tcW w:w="6946" w:type="dxa"/>
          </w:tcPr>
          <w:p w:rsidR="0001021E" w:rsidRPr="00E91C97" w:rsidRDefault="0001021E" w:rsidP="00AA6432">
            <w:pPr>
              <w:widowControl w:val="0"/>
              <w:tabs>
                <w:tab w:val="left" w:pos="2400"/>
                <w:tab w:val="left" w:pos="6413"/>
              </w:tabs>
              <w:rPr>
                <w:sz w:val="22"/>
                <w:szCs w:val="22"/>
                <w:lang w:val="en-US"/>
              </w:rPr>
            </w:pPr>
            <w:r w:rsidRPr="00E91C97">
              <w:rPr>
                <w:sz w:val="22"/>
                <w:szCs w:val="22"/>
                <w:lang w:val="en-US"/>
              </w:rPr>
              <w:t>University of Cape Town, Cape Town, South Africa</w:t>
            </w:r>
          </w:p>
        </w:tc>
      </w:tr>
      <w:tr w:rsidR="0001021E" w:rsidTr="00AA6432">
        <w:trPr>
          <w:trHeight w:val="696"/>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Dates:</w:t>
            </w:r>
          </w:p>
        </w:tc>
        <w:tc>
          <w:tcPr>
            <w:tcW w:w="6946" w:type="dxa"/>
          </w:tcPr>
          <w:p w:rsidR="0001021E" w:rsidRPr="00E91C97" w:rsidRDefault="0001021E" w:rsidP="00AA6432">
            <w:pPr>
              <w:widowControl w:val="0"/>
              <w:tabs>
                <w:tab w:val="left" w:pos="2400"/>
                <w:tab w:val="left" w:pos="6413"/>
              </w:tabs>
              <w:rPr>
                <w:sz w:val="22"/>
                <w:szCs w:val="22"/>
                <w:lang w:val="en-US"/>
              </w:rPr>
            </w:pPr>
            <w:r w:rsidRPr="00E91C97">
              <w:rPr>
                <w:b/>
                <w:bCs/>
                <w:color w:val="000000"/>
                <w:sz w:val="22"/>
                <w:szCs w:val="22"/>
              </w:rPr>
              <w:t>2-6 November 2015</w:t>
            </w:r>
          </w:p>
        </w:tc>
      </w:tr>
      <w:tr w:rsidR="0001021E" w:rsidTr="00AA6432">
        <w:trPr>
          <w:trHeight w:val="866"/>
        </w:trPr>
        <w:tc>
          <w:tcPr>
            <w:tcW w:w="2518" w:type="dxa"/>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Deadline for</w:t>
            </w:r>
          </w:p>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Nominations:</w:t>
            </w:r>
          </w:p>
        </w:tc>
        <w:tc>
          <w:tcPr>
            <w:tcW w:w="6946" w:type="dxa"/>
            <w:hideMark/>
          </w:tcPr>
          <w:p w:rsidR="0001021E" w:rsidRPr="00E91C97" w:rsidRDefault="00F127E2" w:rsidP="00F127E2">
            <w:pPr>
              <w:widowControl w:val="0"/>
              <w:tabs>
                <w:tab w:val="left" w:pos="2400"/>
                <w:tab w:val="left" w:pos="6413"/>
              </w:tabs>
              <w:rPr>
                <w:b/>
                <w:sz w:val="22"/>
                <w:szCs w:val="22"/>
                <w:lang w:val="en-US"/>
              </w:rPr>
            </w:pPr>
            <w:r>
              <w:rPr>
                <w:b/>
                <w:sz w:val="22"/>
                <w:szCs w:val="22"/>
                <w:lang w:val="en-US"/>
              </w:rPr>
              <w:t>11</w:t>
            </w:r>
            <w:r w:rsidR="005E12A5" w:rsidRPr="00E91C97">
              <w:rPr>
                <w:b/>
                <w:sz w:val="22"/>
                <w:szCs w:val="22"/>
                <w:lang w:val="en-US"/>
              </w:rPr>
              <w:t xml:space="preserve"> </w:t>
            </w:r>
            <w:r>
              <w:rPr>
                <w:b/>
                <w:sz w:val="22"/>
                <w:szCs w:val="22"/>
                <w:lang w:val="en-US"/>
              </w:rPr>
              <w:t>September</w:t>
            </w:r>
            <w:bookmarkStart w:id="0" w:name="_GoBack"/>
            <w:bookmarkEnd w:id="0"/>
            <w:r w:rsidR="0001021E" w:rsidRPr="00E91C97">
              <w:rPr>
                <w:b/>
                <w:sz w:val="22"/>
                <w:szCs w:val="22"/>
                <w:lang w:val="en-US"/>
              </w:rPr>
              <w:t xml:space="preserve"> 2015</w:t>
            </w:r>
          </w:p>
        </w:tc>
      </w:tr>
      <w:tr w:rsidR="0001021E" w:rsidTr="00AA6432">
        <w:trPr>
          <w:trHeight w:val="1299"/>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Organizers:</w:t>
            </w:r>
          </w:p>
        </w:tc>
        <w:tc>
          <w:tcPr>
            <w:tcW w:w="6946" w:type="dxa"/>
          </w:tcPr>
          <w:p w:rsidR="0001021E" w:rsidRPr="00E91C97" w:rsidRDefault="0001021E" w:rsidP="00AA6432">
            <w:pPr>
              <w:widowControl w:val="0"/>
              <w:tabs>
                <w:tab w:val="left" w:pos="0"/>
                <w:tab w:val="left" w:pos="6413"/>
              </w:tabs>
              <w:ind w:left="34"/>
              <w:rPr>
                <w:sz w:val="22"/>
                <w:szCs w:val="22"/>
                <w:lang w:val="en-US"/>
              </w:rPr>
            </w:pPr>
            <w:r w:rsidRPr="00E91C97">
              <w:rPr>
                <w:sz w:val="22"/>
                <w:szCs w:val="22"/>
                <w:lang w:val="en-US"/>
              </w:rPr>
              <w:t>The International Atomic Energy Agency (IAEA), the University of Cape Town and the CSIR (Council for Scientific and Industrial Research)</w:t>
            </w:r>
          </w:p>
        </w:tc>
      </w:tr>
      <w:tr w:rsidR="0001021E" w:rsidRPr="00665A5F" w:rsidTr="00AA6432">
        <w:trPr>
          <w:trHeight w:val="5836"/>
        </w:trPr>
        <w:tc>
          <w:tcPr>
            <w:tcW w:w="2518" w:type="dxa"/>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Host Country</w:t>
            </w:r>
          </w:p>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Organizer</w:t>
            </w:r>
            <w:r w:rsidR="00BC2394" w:rsidRPr="00E91C97">
              <w:rPr>
                <w:b/>
                <w:sz w:val="22"/>
                <w:szCs w:val="22"/>
                <w:lang w:val="en-US"/>
              </w:rPr>
              <w:t>s</w:t>
            </w:r>
          </w:p>
        </w:tc>
        <w:tc>
          <w:tcPr>
            <w:tcW w:w="6946" w:type="dxa"/>
          </w:tcPr>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Mr Marcello </w:t>
            </w:r>
            <w:proofErr w:type="spellStart"/>
            <w:r w:rsidRPr="0001021E">
              <w:rPr>
                <w:rFonts w:eastAsiaTheme="minorHAnsi"/>
                <w:color w:val="000000"/>
                <w:sz w:val="22"/>
                <w:szCs w:val="22"/>
              </w:rPr>
              <w:t>Vichi</w:t>
            </w:r>
            <w:proofErr w:type="spellEnd"/>
          </w:p>
          <w:p w:rsidR="0001021E" w:rsidRPr="0001021E" w:rsidRDefault="00665A5F" w:rsidP="00AA6432">
            <w:pPr>
              <w:autoSpaceDE w:val="0"/>
              <w:autoSpaceDN w:val="0"/>
              <w:adjustRightInd w:val="0"/>
              <w:rPr>
                <w:rFonts w:eastAsiaTheme="minorHAnsi"/>
                <w:color w:val="000000"/>
                <w:sz w:val="22"/>
                <w:szCs w:val="22"/>
              </w:rPr>
            </w:pPr>
            <w:r>
              <w:rPr>
                <w:rFonts w:eastAsiaTheme="minorHAnsi"/>
                <w:color w:val="000000"/>
                <w:sz w:val="22"/>
                <w:szCs w:val="22"/>
              </w:rPr>
              <w:t>Dept. of Oceanography</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University of Cape Town </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Nansen-Tutu Centre for Marine Environmental Research </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Room 119, RW James Building </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Postal address: Private Bag X3, Rondebosch 7701</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CAPE TOWN, SOUTH AFRICA</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Tel: +27(0)216501493</w:t>
            </w:r>
          </w:p>
          <w:p w:rsidR="0001021E" w:rsidRPr="0001021E" w:rsidRDefault="0001021E" w:rsidP="00AA6432">
            <w:pPr>
              <w:autoSpaceDE w:val="0"/>
              <w:autoSpaceDN w:val="0"/>
              <w:adjustRightInd w:val="0"/>
              <w:rPr>
                <w:rFonts w:eastAsiaTheme="minorHAnsi"/>
                <w:color w:val="000000"/>
                <w:sz w:val="22"/>
                <w:szCs w:val="22"/>
                <w:lang w:val="fr-FR"/>
              </w:rPr>
            </w:pPr>
            <w:r w:rsidRPr="0001021E">
              <w:rPr>
                <w:rFonts w:eastAsiaTheme="minorHAnsi"/>
                <w:color w:val="000000"/>
                <w:sz w:val="22"/>
                <w:szCs w:val="22"/>
                <w:lang w:val="fr-FR"/>
              </w:rPr>
              <w:t>Fax: +27(0)216503979</w:t>
            </w:r>
          </w:p>
          <w:p w:rsidR="0001021E" w:rsidRPr="00E91C97" w:rsidRDefault="0001021E" w:rsidP="00AA6432">
            <w:pPr>
              <w:autoSpaceDE w:val="0"/>
              <w:autoSpaceDN w:val="0"/>
              <w:adjustRightInd w:val="0"/>
              <w:rPr>
                <w:rFonts w:eastAsiaTheme="minorHAnsi"/>
                <w:color w:val="000000"/>
                <w:sz w:val="22"/>
                <w:szCs w:val="22"/>
                <w:lang w:val="fr-FR"/>
              </w:rPr>
            </w:pPr>
            <w:r w:rsidRPr="0001021E">
              <w:rPr>
                <w:rFonts w:eastAsiaTheme="minorHAnsi"/>
                <w:color w:val="000000"/>
                <w:sz w:val="22"/>
                <w:szCs w:val="22"/>
                <w:lang w:val="fr-FR"/>
              </w:rPr>
              <w:t xml:space="preserve">Email: </w:t>
            </w:r>
            <w:hyperlink r:id="rId7" w:history="1">
              <w:r w:rsidRPr="00E91C97">
                <w:rPr>
                  <w:rFonts w:eastAsiaTheme="minorHAnsi"/>
                  <w:color w:val="0000FF" w:themeColor="hyperlink"/>
                  <w:sz w:val="22"/>
                  <w:szCs w:val="22"/>
                  <w:u w:val="single"/>
                  <w:lang w:val="fr-FR"/>
                </w:rPr>
                <w:t>marcello.vichi@uct.ac.za</w:t>
              </w:r>
            </w:hyperlink>
            <w:r w:rsidRPr="0001021E">
              <w:rPr>
                <w:rFonts w:eastAsiaTheme="minorHAnsi"/>
                <w:color w:val="000000"/>
                <w:sz w:val="22"/>
                <w:szCs w:val="22"/>
                <w:lang w:val="fr-FR"/>
              </w:rPr>
              <w:t xml:space="preserve"> </w:t>
            </w:r>
          </w:p>
          <w:p w:rsidR="0001021E" w:rsidRPr="00D51603" w:rsidRDefault="0001021E" w:rsidP="00AA6432">
            <w:pPr>
              <w:widowControl w:val="0"/>
              <w:tabs>
                <w:tab w:val="left" w:pos="0"/>
                <w:tab w:val="left" w:pos="6413"/>
              </w:tabs>
              <w:ind w:left="34"/>
              <w:rPr>
                <w:rFonts w:eastAsiaTheme="minorHAnsi"/>
                <w:color w:val="000000"/>
                <w:sz w:val="22"/>
                <w:szCs w:val="22"/>
                <w:lang w:val="fr-FR"/>
              </w:rPr>
            </w:pP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Mr Pedro M. </w:t>
            </w:r>
            <w:proofErr w:type="spellStart"/>
            <w:r w:rsidRPr="0001021E">
              <w:rPr>
                <w:rFonts w:eastAsiaTheme="minorHAnsi"/>
                <w:color w:val="000000"/>
                <w:sz w:val="22"/>
                <w:szCs w:val="22"/>
              </w:rPr>
              <w:t>Scheel</w:t>
            </w:r>
            <w:proofErr w:type="spellEnd"/>
            <w:r w:rsidRPr="0001021E">
              <w:rPr>
                <w:rFonts w:eastAsiaTheme="minorHAnsi"/>
                <w:color w:val="000000"/>
                <w:sz w:val="22"/>
                <w:szCs w:val="22"/>
              </w:rPr>
              <w:t xml:space="preserve"> Monteiro</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Head: Ocean Systems &amp; Climate </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CSIR-CHPC</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 xml:space="preserve">15 </w:t>
            </w:r>
            <w:proofErr w:type="spellStart"/>
            <w:r w:rsidRPr="0001021E">
              <w:rPr>
                <w:rFonts w:eastAsiaTheme="minorHAnsi"/>
                <w:color w:val="000000"/>
                <w:sz w:val="22"/>
                <w:szCs w:val="22"/>
              </w:rPr>
              <w:t>Lwr</w:t>
            </w:r>
            <w:proofErr w:type="spellEnd"/>
            <w:r w:rsidRPr="0001021E">
              <w:rPr>
                <w:rFonts w:eastAsiaTheme="minorHAnsi"/>
                <w:color w:val="000000"/>
                <w:sz w:val="22"/>
                <w:szCs w:val="22"/>
              </w:rPr>
              <w:t xml:space="preserve"> Hope Rd, Rosebank </w:t>
            </w:r>
          </w:p>
          <w:p w:rsidR="0001021E" w:rsidRPr="0001021E" w:rsidRDefault="00665A5F" w:rsidP="00AA6432">
            <w:pPr>
              <w:autoSpaceDE w:val="0"/>
              <w:autoSpaceDN w:val="0"/>
              <w:adjustRightInd w:val="0"/>
              <w:rPr>
                <w:rFonts w:eastAsiaTheme="minorHAnsi"/>
                <w:color w:val="000000"/>
                <w:sz w:val="22"/>
                <w:szCs w:val="22"/>
              </w:rPr>
            </w:pPr>
            <w:r>
              <w:rPr>
                <w:rFonts w:eastAsiaTheme="minorHAnsi"/>
                <w:color w:val="000000"/>
                <w:sz w:val="22"/>
                <w:szCs w:val="22"/>
              </w:rPr>
              <w:t xml:space="preserve">CAPE TOWN </w:t>
            </w:r>
            <w:r w:rsidR="0001021E" w:rsidRPr="0001021E">
              <w:rPr>
                <w:rFonts w:eastAsiaTheme="minorHAnsi"/>
                <w:color w:val="000000"/>
                <w:sz w:val="22"/>
                <w:szCs w:val="22"/>
              </w:rPr>
              <w:t>7700</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SOUTH AFRICA</w:t>
            </w:r>
          </w:p>
          <w:p w:rsidR="0001021E" w:rsidRPr="0001021E" w:rsidRDefault="0001021E" w:rsidP="00AA6432">
            <w:pPr>
              <w:autoSpaceDE w:val="0"/>
              <w:autoSpaceDN w:val="0"/>
              <w:adjustRightInd w:val="0"/>
              <w:rPr>
                <w:rFonts w:eastAsiaTheme="minorHAnsi"/>
                <w:color w:val="000000"/>
                <w:sz w:val="22"/>
                <w:szCs w:val="22"/>
              </w:rPr>
            </w:pPr>
            <w:r w:rsidRPr="0001021E">
              <w:rPr>
                <w:rFonts w:eastAsiaTheme="minorHAnsi"/>
                <w:color w:val="000000"/>
                <w:sz w:val="22"/>
                <w:szCs w:val="22"/>
              </w:rPr>
              <w:t>Tel: +27 21 8882528</w:t>
            </w:r>
          </w:p>
          <w:p w:rsidR="0001021E" w:rsidRPr="0001021E" w:rsidRDefault="0001021E" w:rsidP="00AA6432">
            <w:pPr>
              <w:autoSpaceDE w:val="0"/>
              <w:autoSpaceDN w:val="0"/>
              <w:adjustRightInd w:val="0"/>
              <w:rPr>
                <w:rFonts w:eastAsiaTheme="minorHAnsi"/>
                <w:color w:val="000000"/>
                <w:sz w:val="22"/>
                <w:szCs w:val="22"/>
                <w:lang w:val="fr-FR"/>
              </w:rPr>
            </w:pPr>
            <w:r w:rsidRPr="0001021E">
              <w:rPr>
                <w:rFonts w:eastAsiaTheme="minorHAnsi"/>
                <w:color w:val="000000"/>
                <w:sz w:val="22"/>
                <w:szCs w:val="22"/>
                <w:lang w:val="fr-FR"/>
              </w:rPr>
              <w:t>Mobile: +27 82 4488844</w:t>
            </w:r>
          </w:p>
          <w:p w:rsidR="0001021E" w:rsidRPr="00E91C97" w:rsidRDefault="0001021E" w:rsidP="00AA6432">
            <w:pPr>
              <w:autoSpaceDE w:val="0"/>
              <w:autoSpaceDN w:val="0"/>
              <w:adjustRightInd w:val="0"/>
              <w:rPr>
                <w:rFonts w:eastAsiaTheme="minorHAnsi"/>
                <w:color w:val="000000"/>
                <w:sz w:val="22"/>
                <w:szCs w:val="22"/>
                <w:lang w:val="fr-FR"/>
              </w:rPr>
            </w:pPr>
            <w:r w:rsidRPr="00D51603">
              <w:rPr>
                <w:rFonts w:eastAsiaTheme="minorHAnsi"/>
                <w:color w:val="000000"/>
                <w:sz w:val="22"/>
                <w:szCs w:val="22"/>
                <w:lang w:val="fr-FR"/>
              </w:rPr>
              <w:t>Email:</w:t>
            </w:r>
            <w:r w:rsidRPr="00D51603">
              <w:rPr>
                <w:sz w:val="22"/>
                <w:szCs w:val="22"/>
                <w:lang w:val="fr-FR"/>
              </w:rPr>
              <w:t xml:space="preserve"> </w:t>
            </w:r>
            <w:hyperlink r:id="rId8" w:history="1">
              <w:r w:rsidRPr="00D51603">
                <w:rPr>
                  <w:rStyle w:val="Hyperlink"/>
                  <w:rFonts w:eastAsiaTheme="minorHAnsi"/>
                  <w:sz w:val="22"/>
                  <w:szCs w:val="22"/>
                  <w:lang w:val="fr-FR"/>
                </w:rPr>
                <w:t>pmonteir@csir.co.za</w:t>
              </w:r>
            </w:hyperlink>
            <w:r w:rsidRPr="00D51603">
              <w:rPr>
                <w:rFonts w:eastAsiaTheme="minorHAnsi"/>
                <w:color w:val="000000"/>
                <w:sz w:val="22"/>
                <w:szCs w:val="22"/>
                <w:lang w:val="fr-FR"/>
              </w:rPr>
              <w:t xml:space="preserve">  </w:t>
            </w:r>
          </w:p>
        </w:tc>
      </w:tr>
      <w:tr w:rsidR="0001021E" w:rsidTr="00AA6432">
        <w:trPr>
          <w:trHeight w:val="972"/>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lastRenderedPageBreak/>
              <w:t>Language:</w:t>
            </w:r>
          </w:p>
        </w:tc>
        <w:tc>
          <w:tcPr>
            <w:tcW w:w="6946" w:type="dxa"/>
          </w:tcPr>
          <w:p w:rsidR="0001021E" w:rsidRPr="00E91C97" w:rsidRDefault="0001021E" w:rsidP="00AA6432">
            <w:pPr>
              <w:widowControl w:val="0"/>
              <w:tabs>
                <w:tab w:val="left" w:pos="2400"/>
                <w:tab w:val="left" w:pos="6413"/>
              </w:tabs>
              <w:rPr>
                <w:sz w:val="22"/>
                <w:szCs w:val="22"/>
                <w:lang w:val="en-US"/>
              </w:rPr>
            </w:pPr>
            <w:r w:rsidRPr="00E91C97">
              <w:rPr>
                <w:sz w:val="22"/>
                <w:szCs w:val="22"/>
                <w:lang w:val="en-US"/>
              </w:rPr>
              <w:t>English.</w:t>
            </w:r>
          </w:p>
        </w:tc>
      </w:tr>
      <w:tr w:rsidR="0001021E" w:rsidTr="00AA6432">
        <w:trPr>
          <w:trHeight w:val="2127"/>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bCs/>
                <w:sz w:val="22"/>
                <w:szCs w:val="22"/>
                <w:lang w:val="en-US"/>
              </w:rPr>
              <w:t>Background Information:</w:t>
            </w:r>
          </w:p>
        </w:tc>
        <w:tc>
          <w:tcPr>
            <w:tcW w:w="6946" w:type="dxa"/>
          </w:tcPr>
          <w:p w:rsidR="0001021E" w:rsidRPr="00E91C97" w:rsidRDefault="005F4BC0" w:rsidP="00AA6432">
            <w:pPr>
              <w:widowControl w:val="0"/>
              <w:tabs>
                <w:tab w:val="left" w:pos="2400"/>
                <w:tab w:val="left" w:pos="6413"/>
              </w:tabs>
              <w:ind w:left="34"/>
              <w:rPr>
                <w:sz w:val="22"/>
                <w:szCs w:val="22"/>
                <w:lang w:val="en-US"/>
              </w:rPr>
            </w:pPr>
            <w:r w:rsidRPr="00E91C97">
              <w:rPr>
                <w:sz w:val="22"/>
                <w:szCs w:val="22"/>
                <w:lang w:val="en-US"/>
              </w:rPr>
              <w:t xml:space="preserve">The course will be based on previous courses on ocean acidification held as part of the activities of the IAEA Peaceful Uses Initiative project “Ocean Acidification International Coordination Centre” (OA-ICC) and partners, and the document “Guide to Best Practices in Ocean Acidification Research and Data Reporting” (see </w:t>
            </w:r>
            <w:hyperlink r:id="rId9" w:history="1">
              <w:r w:rsidRPr="00E91C97">
                <w:rPr>
                  <w:rStyle w:val="Hyperlink"/>
                  <w:sz w:val="22"/>
                  <w:szCs w:val="22"/>
                  <w:lang w:val="en-US"/>
                </w:rPr>
                <w:t>http://www.iaea.org/ocean-acidification/page.php?page=2194</w:t>
              </w:r>
            </w:hyperlink>
            <w:r w:rsidRPr="00E91C97">
              <w:rPr>
                <w:sz w:val="22"/>
                <w:szCs w:val="22"/>
                <w:lang w:val="en-US"/>
              </w:rPr>
              <w:t>).</w:t>
            </w:r>
          </w:p>
        </w:tc>
      </w:tr>
      <w:tr w:rsidR="0001021E" w:rsidTr="00AA6432">
        <w:trPr>
          <w:trHeight w:val="1703"/>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bCs/>
                <w:color w:val="000000"/>
                <w:sz w:val="22"/>
                <w:szCs w:val="22"/>
              </w:rPr>
              <w:t>Purpose</w:t>
            </w:r>
            <w:r w:rsidRPr="00E91C97">
              <w:rPr>
                <w:b/>
                <w:sz w:val="22"/>
                <w:szCs w:val="22"/>
                <w:lang w:val="en-US"/>
              </w:rPr>
              <w:t>:</w:t>
            </w:r>
          </w:p>
        </w:tc>
        <w:tc>
          <w:tcPr>
            <w:tcW w:w="6946" w:type="dxa"/>
          </w:tcPr>
          <w:p w:rsidR="0001021E" w:rsidRPr="00E91C97" w:rsidRDefault="005F4BC0" w:rsidP="00AA6432">
            <w:pPr>
              <w:widowControl w:val="0"/>
              <w:tabs>
                <w:tab w:val="left" w:pos="2400"/>
                <w:tab w:val="left" w:pos="6413"/>
              </w:tabs>
              <w:rPr>
                <w:sz w:val="22"/>
                <w:szCs w:val="22"/>
                <w:lang w:val="en-US"/>
              </w:rPr>
            </w:pPr>
            <w:r w:rsidRPr="00E91C97">
              <w:rPr>
                <w:sz w:val="22"/>
                <w:szCs w:val="22"/>
                <w:lang w:val="en-US"/>
              </w:rPr>
              <w:t>To train early-career scientists and researchers from IAEA African Member States entering the ocean acidification field with the goal to assist them to be able to set up pertinent experiments, avoid typical pitfalls and ensure comparability with other studies, in a sustainable way.</w:t>
            </w:r>
          </w:p>
        </w:tc>
      </w:tr>
      <w:tr w:rsidR="0001021E" w:rsidTr="00AA6432">
        <w:trPr>
          <w:trHeight w:val="1699"/>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Expected Outputs:</w:t>
            </w:r>
          </w:p>
        </w:tc>
        <w:tc>
          <w:tcPr>
            <w:tcW w:w="6946" w:type="dxa"/>
          </w:tcPr>
          <w:p w:rsidR="0001021E" w:rsidRPr="00E91C97" w:rsidRDefault="005F4BC0" w:rsidP="00AA6432">
            <w:pPr>
              <w:rPr>
                <w:sz w:val="22"/>
                <w:szCs w:val="22"/>
                <w:lang w:val="en-US"/>
              </w:rPr>
            </w:pPr>
            <w:r w:rsidRPr="00E91C97">
              <w:rPr>
                <w:sz w:val="22"/>
                <w:szCs w:val="22"/>
                <w:lang w:val="en-US"/>
              </w:rPr>
              <w:t xml:space="preserve">Increased capacity to measure and study ocean acidification and increased networking among scientists working on ocean acidification in Africa. Initiate/deepen connections with the Global Ocean Acidification Observing Network (GOA-ON; www.goa-on.org). </w:t>
            </w:r>
          </w:p>
        </w:tc>
      </w:tr>
      <w:tr w:rsidR="0001021E" w:rsidTr="00E91C97">
        <w:trPr>
          <w:trHeight w:val="3565"/>
        </w:trPr>
        <w:tc>
          <w:tcPr>
            <w:tcW w:w="2518" w:type="dxa"/>
            <w:hideMark/>
          </w:tcPr>
          <w:p w:rsidR="0001021E" w:rsidRPr="00E91C97" w:rsidRDefault="0001021E" w:rsidP="00AA6432">
            <w:pPr>
              <w:widowControl w:val="0"/>
              <w:tabs>
                <w:tab w:val="left" w:pos="-142"/>
                <w:tab w:val="left" w:pos="6840"/>
              </w:tabs>
              <w:rPr>
                <w:b/>
                <w:sz w:val="22"/>
                <w:szCs w:val="22"/>
                <w:lang w:val="en-US"/>
              </w:rPr>
            </w:pPr>
            <w:r w:rsidRPr="00E91C97">
              <w:rPr>
                <w:b/>
                <w:sz w:val="22"/>
                <w:szCs w:val="22"/>
                <w:lang w:val="en-US"/>
              </w:rPr>
              <w:t>Scope and Nature:</w:t>
            </w:r>
          </w:p>
        </w:tc>
        <w:tc>
          <w:tcPr>
            <w:tcW w:w="6946" w:type="dxa"/>
          </w:tcPr>
          <w:p w:rsidR="0001021E" w:rsidRPr="00E91C97" w:rsidRDefault="005F4BC0" w:rsidP="00AA6432">
            <w:pPr>
              <w:widowControl w:val="0"/>
              <w:tabs>
                <w:tab w:val="left" w:pos="2400"/>
                <w:tab w:val="left" w:pos="6413"/>
              </w:tabs>
              <w:ind w:left="34"/>
              <w:rPr>
                <w:sz w:val="22"/>
                <w:szCs w:val="22"/>
                <w:lang w:val="en-US"/>
              </w:rPr>
            </w:pPr>
            <w:r w:rsidRPr="00E91C97">
              <w:rPr>
                <w:sz w:val="22"/>
                <w:szCs w:val="22"/>
              </w:rPr>
              <w:t>The training will include lectures in plenary and hands-on experiments in smaller groups (the level will depend on the basic knowledge of the selected participants). Subjects to be covered include: the CO</w:t>
            </w:r>
            <w:r w:rsidRPr="00D51603">
              <w:rPr>
                <w:sz w:val="22"/>
                <w:szCs w:val="22"/>
                <w:vertAlign w:val="subscript"/>
              </w:rPr>
              <w:t>2</w:t>
            </w:r>
            <w:r w:rsidRPr="00E91C97">
              <w:rPr>
                <w:sz w:val="22"/>
                <w:szCs w:val="22"/>
              </w:rPr>
              <w:t xml:space="preserve"> system and its measurement, instrumentation available for measuring seawater chemistry parameter, software packages used to calculate CO</w:t>
            </w:r>
            <w:r w:rsidRPr="00D51603">
              <w:rPr>
                <w:sz w:val="22"/>
                <w:szCs w:val="22"/>
                <w:vertAlign w:val="subscript"/>
              </w:rPr>
              <w:t>2</w:t>
            </w:r>
            <w:r w:rsidRPr="00E91C97">
              <w:rPr>
                <w:sz w:val="22"/>
                <w:szCs w:val="22"/>
              </w:rPr>
              <w:t xml:space="preserve"> system parameters, key aspects of ocean acidification experimental design, such as manipulation of seawater chemistry, biological perturbation approaches, and lab- and field-based methods for measuring organism calcification and other physiological responses to seawater chemistry changes, including nuclear and isotopic techniques. Part of the training will take place on a research vessel in the harbour (no chartering). </w:t>
            </w:r>
          </w:p>
        </w:tc>
      </w:tr>
      <w:tr w:rsidR="0001021E" w:rsidTr="00AA6432">
        <w:trPr>
          <w:trHeight w:val="1564"/>
        </w:trPr>
        <w:tc>
          <w:tcPr>
            <w:tcW w:w="2518" w:type="dxa"/>
            <w:hideMark/>
          </w:tcPr>
          <w:p w:rsidR="0001021E" w:rsidRPr="00E91C97" w:rsidRDefault="0001021E" w:rsidP="00AA6432">
            <w:pPr>
              <w:widowControl w:val="0"/>
              <w:tabs>
                <w:tab w:val="left" w:pos="2400"/>
                <w:tab w:val="left" w:pos="6840"/>
              </w:tabs>
              <w:rPr>
                <w:b/>
                <w:sz w:val="22"/>
                <w:szCs w:val="22"/>
                <w:lang w:val="en-US"/>
              </w:rPr>
            </w:pPr>
            <w:r w:rsidRPr="00E91C97">
              <w:rPr>
                <w:b/>
                <w:sz w:val="22"/>
                <w:szCs w:val="22"/>
                <w:lang w:val="en-US"/>
              </w:rPr>
              <w:t>Participation:</w:t>
            </w:r>
          </w:p>
        </w:tc>
        <w:tc>
          <w:tcPr>
            <w:tcW w:w="6946" w:type="dxa"/>
          </w:tcPr>
          <w:p w:rsidR="0001021E" w:rsidRPr="00E91C97" w:rsidRDefault="005F4BC0" w:rsidP="00AA6432">
            <w:pPr>
              <w:rPr>
                <w:sz w:val="22"/>
                <w:szCs w:val="22"/>
                <w:lang w:val="en-US"/>
              </w:rPr>
            </w:pPr>
            <w:r w:rsidRPr="00E91C97">
              <w:rPr>
                <w:sz w:val="22"/>
                <w:szCs w:val="22"/>
                <w:lang w:val="en-US"/>
              </w:rPr>
              <w:t>The course is open to 25 trainees from IAEA Member States in Africa. Priority will be given to early-career scientists who begin to work in the ocean acidification area. Experts interested in starting ocean acidifi</w:t>
            </w:r>
            <w:r w:rsidR="00665A5F">
              <w:rPr>
                <w:sz w:val="22"/>
                <w:szCs w:val="22"/>
                <w:lang w:val="en-US"/>
              </w:rPr>
              <w:t xml:space="preserve">cation studies would be welcome, </w:t>
            </w:r>
            <w:r w:rsidRPr="00E91C97">
              <w:rPr>
                <w:sz w:val="22"/>
                <w:szCs w:val="22"/>
                <w:lang w:val="en-US"/>
              </w:rPr>
              <w:t>space permitting.</w:t>
            </w:r>
          </w:p>
        </w:tc>
      </w:tr>
      <w:tr w:rsidR="0001021E" w:rsidTr="00AA6432">
        <w:trPr>
          <w:trHeight w:val="1559"/>
        </w:trPr>
        <w:tc>
          <w:tcPr>
            <w:tcW w:w="2518" w:type="dxa"/>
          </w:tcPr>
          <w:p w:rsidR="0001021E" w:rsidRPr="00E91C97" w:rsidRDefault="0001021E" w:rsidP="00AA6432">
            <w:pPr>
              <w:widowControl w:val="0"/>
              <w:tabs>
                <w:tab w:val="left" w:pos="2400"/>
                <w:tab w:val="left" w:pos="6840"/>
              </w:tabs>
              <w:rPr>
                <w:b/>
                <w:bCs/>
                <w:sz w:val="22"/>
                <w:szCs w:val="22"/>
              </w:rPr>
            </w:pPr>
            <w:r w:rsidRPr="00E91C97">
              <w:rPr>
                <w:b/>
                <w:bCs/>
                <w:sz w:val="22"/>
                <w:szCs w:val="22"/>
                <w:lang w:val="en-US"/>
              </w:rPr>
              <w:t>Participants’ Qualification</w:t>
            </w:r>
            <w:r w:rsidRPr="00E91C97">
              <w:rPr>
                <w:b/>
                <w:bCs/>
                <w:sz w:val="22"/>
                <w:szCs w:val="22"/>
              </w:rPr>
              <w:t>:</w:t>
            </w:r>
          </w:p>
          <w:p w:rsidR="0001021E" w:rsidRPr="00E91C97" w:rsidRDefault="0001021E" w:rsidP="00AA6432">
            <w:pPr>
              <w:widowControl w:val="0"/>
              <w:tabs>
                <w:tab w:val="left" w:pos="2400"/>
                <w:tab w:val="left" w:pos="6840"/>
              </w:tabs>
              <w:rPr>
                <w:b/>
                <w:sz w:val="22"/>
                <w:szCs w:val="22"/>
                <w:lang w:val="en-US"/>
              </w:rPr>
            </w:pPr>
          </w:p>
        </w:tc>
        <w:tc>
          <w:tcPr>
            <w:tcW w:w="6946" w:type="dxa"/>
          </w:tcPr>
          <w:p w:rsidR="0001021E" w:rsidRPr="00E91C97" w:rsidRDefault="00F44DEE" w:rsidP="00AA6432">
            <w:pPr>
              <w:widowControl w:val="0"/>
              <w:ind w:left="34"/>
              <w:rPr>
                <w:sz w:val="22"/>
                <w:szCs w:val="22"/>
                <w:u w:val="single"/>
                <w:lang w:val="en-US"/>
              </w:rPr>
            </w:pPr>
            <w:r w:rsidRPr="00E91C97">
              <w:rPr>
                <w:bCs/>
                <w:sz w:val="22"/>
                <w:szCs w:val="22"/>
                <w:lang w:val="en-US"/>
              </w:rPr>
              <w:t>The participants should have a university degree in marine biology, oceanography or a related scientific field, and should be currently involved in or planning to set up ocean acidification studies.</w:t>
            </w:r>
          </w:p>
        </w:tc>
      </w:tr>
      <w:tr w:rsidR="0001021E" w:rsidTr="00E91C97">
        <w:trPr>
          <w:trHeight w:val="3969"/>
        </w:trPr>
        <w:tc>
          <w:tcPr>
            <w:tcW w:w="2518" w:type="dxa"/>
            <w:hideMark/>
          </w:tcPr>
          <w:p w:rsidR="0001021E" w:rsidRPr="00E91C97" w:rsidRDefault="0001021E" w:rsidP="00AA6432">
            <w:pPr>
              <w:widowControl w:val="0"/>
              <w:tabs>
                <w:tab w:val="left" w:pos="2400"/>
                <w:tab w:val="left" w:pos="6840"/>
              </w:tabs>
              <w:rPr>
                <w:b/>
                <w:bCs/>
                <w:sz w:val="22"/>
                <w:szCs w:val="22"/>
                <w:lang w:val="en-US"/>
              </w:rPr>
            </w:pPr>
            <w:r w:rsidRPr="00E91C97">
              <w:rPr>
                <w:b/>
                <w:sz w:val="22"/>
                <w:szCs w:val="22"/>
                <w:lang w:val="en-US"/>
              </w:rPr>
              <w:lastRenderedPageBreak/>
              <w:t>Nomination Procedure:</w:t>
            </w:r>
          </w:p>
        </w:tc>
        <w:tc>
          <w:tcPr>
            <w:tcW w:w="6946" w:type="dxa"/>
          </w:tcPr>
          <w:p w:rsidR="0001021E" w:rsidRPr="00E91C97" w:rsidRDefault="00F44DEE" w:rsidP="00E91C97">
            <w:pPr>
              <w:widowControl w:val="0"/>
              <w:tabs>
                <w:tab w:val="left" w:pos="0"/>
              </w:tabs>
              <w:ind w:left="34" w:hanging="34"/>
              <w:rPr>
                <w:sz w:val="22"/>
                <w:szCs w:val="22"/>
                <w:lang w:val="en-US"/>
              </w:rPr>
            </w:pPr>
            <w:r w:rsidRPr="00E91C97">
              <w:rPr>
                <w:sz w:val="22"/>
                <w:szCs w:val="22"/>
                <w:lang w:val="en-US"/>
              </w:rPr>
              <w:t xml:space="preserve">Nominations should be submitted using the attached </w:t>
            </w:r>
            <w:r w:rsidR="00E91C97">
              <w:rPr>
                <w:sz w:val="22"/>
                <w:szCs w:val="22"/>
                <w:lang w:val="en-US"/>
              </w:rPr>
              <w:t>Grant Application</w:t>
            </w:r>
            <w:r w:rsidRPr="00E91C97">
              <w:rPr>
                <w:sz w:val="22"/>
                <w:szCs w:val="22"/>
                <w:lang w:val="en-US"/>
              </w:rPr>
              <w:t xml:space="preserve"> Form. The completed form should be endorsed by relevant national authorities and returned to the IAEA through the established official channels, i.e. the designated National Liaison Office for IAEA Matters. Applications must be received by the IAEA not later than </w:t>
            </w:r>
            <w:r w:rsidR="005E12A5" w:rsidRPr="00E91C97">
              <w:rPr>
                <w:sz w:val="22"/>
                <w:szCs w:val="22"/>
                <w:lang w:val="en-US"/>
              </w:rPr>
              <w:t xml:space="preserve">28 August 2015 for the attention of the Scientific Secretary of the training course, </w:t>
            </w:r>
            <w:proofErr w:type="spellStart"/>
            <w:r w:rsidR="005E12A5" w:rsidRPr="00E91C97">
              <w:rPr>
                <w:sz w:val="22"/>
                <w:szCs w:val="22"/>
                <w:lang w:val="en-US"/>
              </w:rPr>
              <w:t>Ms</w:t>
            </w:r>
            <w:proofErr w:type="spellEnd"/>
            <w:r w:rsidR="005E12A5" w:rsidRPr="00E91C97">
              <w:rPr>
                <w:sz w:val="22"/>
                <w:szCs w:val="22"/>
                <w:lang w:val="en-US"/>
              </w:rPr>
              <w:t xml:space="preserve"> Lina Hansson, Division of Environment Laboratories, Department of Nuclear Sciences and Applications, IAEA, 4a Quai Antoine 1er, 98000 Monaco (Tel.: +377 97 97 72 06; Fax: +377 97 97 72 73 Email: </w:t>
            </w:r>
            <w:hyperlink r:id="rId10" w:history="1">
              <w:r w:rsidR="005E12A5" w:rsidRPr="00E91C97">
                <w:rPr>
                  <w:rStyle w:val="Hyperlink"/>
                  <w:sz w:val="22"/>
                  <w:szCs w:val="22"/>
                  <w:lang w:val="en-US"/>
                </w:rPr>
                <w:t>L.Hansson@iaea.org</w:t>
              </w:r>
            </w:hyperlink>
            <w:r w:rsidR="005E12A5" w:rsidRPr="00E91C97">
              <w:rPr>
                <w:sz w:val="22"/>
                <w:szCs w:val="22"/>
                <w:lang w:val="en-US"/>
              </w:rPr>
              <w:t xml:space="preserve">). Nominations should also be copied to the Administrative Secretary for the training course, </w:t>
            </w:r>
            <w:proofErr w:type="spellStart"/>
            <w:r w:rsidR="005E12A5" w:rsidRPr="00E91C97">
              <w:rPr>
                <w:sz w:val="22"/>
                <w:szCs w:val="22"/>
                <w:lang w:val="en-US"/>
              </w:rPr>
              <w:t>Ms</w:t>
            </w:r>
            <w:proofErr w:type="spellEnd"/>
            <w:r w:rsidR="005E12A5" w:rsidRPr="00E91C97">
              <w:rPr>
                <w:sz w:val="22"/>
                <w:szCs w:val="22"/>
                <w:lang w:val="en-US"/>
              </w:rPr>
              <w:t xml:space="preserve"> Hasti </w:t>
            </w:r>
            <w:proofErr w:type="spellStart"/>
            <w:r w:rsidR="005E12A5" w:rsidRPr="00E91C97">
              <w:rPr>
                <w:sz w:val="22"/>
                <w:szCs w:val="22"/>
                <w:lang w:val="en-US"/>
              </w:rPr>
              <w:t>Dessa</w:t>
            </w:r>
            <w:proofErr w:type="spellEnd"/>
            <w:r w:rsidR="005E12A5" w:rsidRPr="00E91C97">
              <w:rPr>
                <w:sz w:val="22"/>
                <w:szCs w:val="22"/>
                <w:lang w:val="en-US"/>
              </w:rPr>
              <w:t xml:space="preserve"> (Email: </w:t>
            </w:r>
            <w:hyperlink r:id="rId11" w:history="1">
              <w:r w:rsidR="005E12A5" w:rsidRPr="00E91C97">
                <w:rPr>
                  <w:rStyle w:val="Hyperlink"/>
                  <w:sz w:val="22"/>
                  <w:szCs w:val="22"/>
                  <w:lang w:val="en-US"/>
                </w:rPr>
                <w:t>H.Dessa@iaea.org</w:t>
              </w:r>
            </w:hyperlink>
            <w:r w:rsidR="005E12A5" w:rsidRPr="00E91C97">
              <w:rPr>
                <w:sz w:val="22"/>
                <w:szCs w:val="22"/>
                <w:lang w:val="en-US"/>
              </w:rPr>
              <w:t>).</w:t>
            </w:r>
            <w:r w:rsidRPr="00E91C97">
              <w:rPr>
                <w:sz w:val="22"/>
                <w:szCs w:val="22"/>
                <w:lang w:val="en-US"/>
              </w:rPr>
              <w:t xml:space="preserve"> Nominations received after this date or which have not been routed through the established official</w:t>
            </w:r>
            <w:r w:rsidR="005E12A5" w:rsidRPr="00E91C97">
              <w:rPr>
                <w:sz w:val="22"/>
                <w:szCs w:val="22"/>
                <w:lang w:val="en-US"/>
              </w:rPr>
              <w:t xml:space="preserve"> channels cannot be considered.</w:t>
            </w:r>
          </w:p>
        </w:tc>
      </w:tr>
      <w:tr w:rsidR="0001021E" w:rsidTr="00AA6432">
        <w:trPr>
          <w:trHeight w:val="6532"/>
        </w:trPr>
        <w:tc>
          <w:tcPr>
            <w:tcW w:w="2518" w:type="dxa"/>
            <w:hideMark/>
          </w:tcPr>
          <w:p w:rsidR="0001021E" w:rsidRPr="00E91C97" w:rsidRDefault="00A457AD" w:rsidP="00AA6432">
            <w:pPr>
              <w:widowControl w:val="0"/>
              <w:tabs>
                <w:tab w:val="left" w:pos="2400"/>
                <w:tab w:val="left" w:pos="6840"/>
              </w:tabs>
              <w:rPr>
                <w:b/>
                <w:bCs/>
                <w:sz w:val="22"/>
                <w:szCs w:val="22"/>
                <w:lang w:val="en-US"/>
              </w:rPr>
            </w:pPr>
            <w:r w:rsidRPr="00E91C97">
              <w:rPr>
                <w:b/>
                <w:sz w:val="22"/>
                <w:szCs w:val="22"/>
                <w:lang w:val="en-US"/>
              </w:rPr>
              <w:t>Administrative and Financial Arrangements</w:t>
            </w:r>
            <w:r w:rsidR="0001021E" w:rsidRPr="00E91C97">
              <w:rPr>
                <w:b/>
                <w:sz w:val="22"/>
                <w:szCs w:val="22"/>
                <w:lang w:val="en-US"/>
              </w:rPr>
              <w:t>:</w:t>
            </w:r>
          </w:p>
        </w:tc>
        <w:tc>
          <w:tcPr>
            <w:tcW w:w="6946" w:type="dxa"/>
          </w:tcPr>
          <w:p w:rsidR="00B55B5B" w:rsidRPr="00E91C97" w:rsidRDefault="00B55B5B" w:rsidP="00AA6432">
            <w:pPr>
              <w:widowControl w:val="0"/>
              <w:tabs>
                <w:tab w:val="left" w:pos="-108"/>
                <w:tab w:val="left" w:pos="6554"/>
              </w:tabs>
              <w:ind w:left="34" w:right="34"/>
              <w:rPr>
                <w:sz w:val="22"/>
                <w:szCs w:val="22"/>
                <w:lang w:val="en-US"/>
              </w:rPr>
            </w:pPr>
            <w:r w:rsidRPr="00E91C97">
              <w:rPr>
                <w:sz w:val="22"/>
                <w:szCs w:val="22"/>
                <w:lang w:val="en-US"/>
              </w:rPr>
              <w:t>Nominating Governments will be informed in due course of the names of the candidates who have been selected and will, at that time, be given full details of the procedures to be followed with regard to administrative and financial matters.</w:t>
            </w:r>
          </w:p>
          <w:p w:rsidR="00B55B5B" w:rsidRPr="00E91C97" w:rsidRDefault="00B55B5B" w:rsidP="00AA6432">
            <w:pPr>
              <w:widowControl w:val="0"/>
              <w:tabs>
                <w:tab w:val="left" w:pos="-108"/>
                <w:tab w:val="left" w:pos="6554"/>
              </w:tabs>
              <w:ind w:left="34" w:right="34"/>
              <w:rPr>
                <w:sz w:val="22"/>
                <w:szCs w:val="22"/>
                <w:lang w:val="en-US"/>
              </w:rPr>
            </w:pPr>
          </w:p>
          <w:p w:rsidR="00B55B5B" w:rsidRPr="00E91C97" w:rsidRDefault="00B55B5B" w:rsidP="00AA6432">
            <w:pPr>
              <w:widowControl w:val="0"/>
              <w:tabs>
                <w:tab w:val="left" w:pos="-108"/>
                <w:tab w:val="left" w:pos="6554"/>
              </w:tabs>
              <w:ind w:left="34" w:right="34"/>
              <w:rPr>
                <w:sz w:val="22"/>
                <w:szCs w:val="22"/>
                <w:lang w:val="en-US"/>
              </w:rPr>
            </w:pPr>
            <w:r w:rsidRPr="00E91C97">
              <w:rPr>
                <w:sz w:val="22"/>
                <w:szCs w:val="22"/>
                <w:lang w:val="en-US"/>
              </w:rPr>
              <w:t xml:space="preserve">A limited number of grants will be made available by IAEA to non-local participants from developing countries. The grant application </w:t>
            </w:r>
            <w:r w:rsidR="005E12A5" w:rsidRPr="00E91C97">
              <w:rPr>
                <w:sz w:val="22"/>
                <w:szCs w:val="22"/>
                <w:lang w:val="en-US"/>
              </w:rPr>
              <w:t xml:space="preserve">form </w:t>
            </w:r>
            <w:r w:rsidRPr="00E91C97">
              <w:rPr>
                <w:sz w:val="22"/>
                <w:szCs w:val="22"/>
                <w:lang w:val="en-US"/>
              </w:rPr>
              <w:t xml:space="preserve">should be submitted through official channels as soon as possible and no later than </w:t>
            </w:r>
            <w:r w:rsidR="005E12A5" w:rsidRPr="00E91C97">
              <w:rPr>
                <w:sz w:val="22"/>
                <w:szCs w:val="22"/>
                <w:lang w:val="en-US"/>
              </w:rPr>
              <w:t>28 August</w:t>
            </w:r>
            <w:r w:rsidRPr="00E91C97">
              <w:rPr>
                <w:sz w:val="22"/>
                <w:szCs w:val="22"/>
                <w:lang w:val="en-US"/>
              </w:rPr>
              <w:t xml:space="preserve"> 2015. Selected participants will be provided with travel and subsistence expenses.</w:t>
            </w:r>
          </w:p>
          <w:p w:rsidR="00B55B5B" w:rsidRPr="00E91C97" w:rsidRDefault="00B55B5B" w:rsidP="00AA6432">
            <w:pPr>
              <w:widowControl w:val="0"/>
              <w:tabs>
                <w:tab w:val="left" w:pos="-108"/>
                <w:tab w:val="left" w:pos="6554"/>
              </w:tabs>
              <w:ind w:left="34" w:right="34"/>
              <w:rPr>
                <w:sz w:val="22"/>
                <w:szCs w:val="22"/>
                <w:lang w:val="en-US"/>
              </w:rPr>
            </w:pPr>
          </w:p>
          <w:p w:rsidR="0001021E" w:rsidRPr="00E91C97" w:rsidRDefault="00B55B5B" w:rsidP="00AA6432">
            <w:pPr>
              <w:widowControl w:val="0"/>
              <w:tabs>
                <w:tab w:val="left" w:pos="-108"/>
                <w:tab w:val="left" w:pos="6554"/>
              </w:tabs>
              <w:ind w:left="34" w:right="34"/>
              <w:rPr>
                <w:sz w:val="22"/>
                <w:szCs w:val="22"/>
                <w:lang w:val="en-US"/>
              </w:rPr>
            </w:pPr>
            <w:r w:rsidRPr="00E91C97">
              <w:rPr>
                <w:sz w:val="22"/>
                <w:szCs w:val="22"/>
                <w:lang w:val="en-US"/>
              </w:rPr>
              <w:t xml:space="preserve">The organizers of the training course do not accept liability for the payment of any cost or compensation that may arise from damage to or loss of personal property, or from illness, injury, disability or death of a participant while he/she is travelling to and from or attending the training course, and it is clearly understood that each Government, in nominating participants, undertakes responsibility for such coverage. Governments would be well advised to take out insurance against these risks. </w:t>
            </w:r>
          </w:p>
          <w:p w:rsidR="00FF5202" w:rsidRPr="00E91C97" w:rsidRDefault="00FF5202" w:rsidP="00AA6432">
            <w:pPr>
              <w:widowControl w:val="0"/>
              <w:tabs>
                <w:tab w:val="left" w:pos="-108"/>
                <w:tab w:val="left" w:pos="6554"/>
              </w:tabs>
              <w:ind w:left="34" w:right="34"/>
              <w:rPr>
                <w:sz w:val="22"/>
                <w:szCs w:val="22"/>
                <w:lang w:val="en-US"/>
              </w:rPr>
            </w:pPr>
            <w:r w:rsidRPr="00E91C97">
              <w:rPr>
                <w:sz w:val="22"/>
                <w:szCs w:val="22"/>
                <w:lang w:val="en-US"/>
              </w:rPr>
              <w:t>Participants should also make their own arrangements for passports, visas, and vaccinations.</w:t>
            </w:r>
          </w:p>
        </w:tc>
      </w:tr>
    </w:tbl>
    <w:p w:rsidR="0001021E" w:rsidRDefault="0001021E"/>
    <w:p w:rsidR="00FF5202" w:rsidRPr="0001021E" w:rsidRDefault="00FF5202"/>
    <w:sectPr w:rsidR="00FF5202" w:rsidRPr="0001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DE8"/>
    <w:multiLevelType w:val="hybridMultilevel"/>
    <w:tmpl w:val="F4A0606C"/>
    <w:lvl w:ilvl="0" w:tplc="0409000F">
      <w:start w:val="1"/>
      <w:numFmt w:val="decimal"/>
      <w:lvlText w:val="%1."/>
      <w:lvlJc w:val="left"/>
      <w:pPr>
        <w:tabs>
          <w:tab w:val="num" w:pos="2790"/>
        </w:tabs>
        <w:ind w:left="2790" w:hanging="360"/>
      </w:pPr>
    </w:lvl>
    <w:lvl w:ilvl="1" w:tplc="04090019">
      <w:start w:val="1"/>
      <w:numFmt w:val="lowerLetter"/>
      <w:lvlText w:val="%2."/>
      <w:lvlJc w:val="left"/>
      <w:pPr>
        <w:tabs>
          <w:tab w:val="num" w:pos="3510"/>
        </w:tabs>
        <w:ind w:left="3510" w:hanging="360"/>
      </w:pPr>
    </w:lvl>
    <w:lvl w:ilvl="2" w:tplc="0409001B">
      <w:start w:val="1"/>
      <w:numFmt w:val="lowerRoman"/>
      <w:lvlText w:val="%3."/>
      <w:lvlJc w:val="right"/>
      <w:pPr>
        <w:tabs>
          <w:tab w:val="num" w:pos="4230"/>
        </w:tabs>
        <w:ind w:left="4230" w:hanging="180"/>
      </w:pPr>
    </w:lvl>
    <w:lvl w:ilvl="3" w:tplc="0409000F">
      <w:start w:val="1"/>
      <w:numFmt w:val="decimal"/>
      <w:lvlText w:val="%4."/>
      <w:lvlJc w:val="left"/>
      <w:pPr>
        <w:tabs>
          <w:tab w:val="num" w:pos="4950"/>
        </w:tabs>
        <w:ind w:left="4950" w:hanging="360"/>
      </w:pPr>
    </w:lvl>
    <w:lvl w:ilvl="4" w:tplc="04090019">
      <w:start w:val="1"/>
      <w:numFmt w:val="lowerLetter"/>
      <w:lvlText w:val="%5."/>
      <w:lvlJc w:val="left"/>
      <w:pPr>
        <w:tabs>
          <w:tab w:val="num" w:pos="5670"/>
        </w:tabs>
        <w:ind w:left="5670" w:hanging="360"/>
      </w:pPr>
    </w:lvl>
    <w:lvl w:ilvl="5" w:tplc="0409001B">
      <w:start w:val="1"/>
      <w:numFmt w:val="lowerRoman"/>
      <w:lvlText w:val="%6."/>
      <w:lvlJc w:val="right"/>
      <w:pPr>
        <w:tabs>
          <w:tab w:val="num" w:pos="6390"/>
        </w:tabs>
        <w:ind w:left="6390" w:hanging="180"/>
      </w:pPr>
    </w:lvl>
    <w:lvl w:ilvl="6" w:tplc="0409000F">
      <w:start w:val="1"/>
      <w:numFmt w:val="decimal"/>
      <w:lvlText w:val="%7."/>
      <w:lvlJc w:val="left"/>
      <w:pPr>
        <w:tabs>
          <w:tab w:val="num" w:pos="7110"/>
        </w:tabs>
        <w:ind w:left="7110" w:hanging="360"/>
      </w:pPr>
    </w:lvl>
    <w:lvl w:ilvl="7" w:tplc="04090019">
      <w:start w:val="1"/>
      <w:numFmt w:val="lowerLetter"/>
      <w:lvlText w:val="%8."/>
      <w:lvlJc w:val="left"/>
      <w:pPr>
        <w:tabs>
          <w:tab w:val="num" w:pos="7830"/>
        </w:tabs>
        <w:ind w:left="7830" w:hanging="360"/>
      </w:pPr>
    </w:lvl>
    <w:lvl w:ilvl="8" w:tplc="0409001B">
      <w:start w:val="1"/>
      <w:numFmt w:val="lowerRoman"/>
      <w:lvlText w:val="%9."/>
      <w:lvlJc w:val="right"/>
      <w:pPr>
        <w:tabs>
          <w:tab w:val="num" w:pos="8550"/>
        </w:tabs>
        <w:ind w:left="85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1E"/>
    <w:rsid w:val="0001021E"/>
    <w:rsid w:val="004631BF"/>
    <w:rsid w:val="004A0E0D"/>
    <w:rsid w:val="005E12A5"/>
    <w:rsid w:val="005E7533"/>
    <w:rsid w:val="005F4BC0"/>
    <w:rsid w:val="00665A5F"/>
    <w:rsid w:val="006D4F75"/>
    <w:rsid w:val="008548A2"/>
    <w:rsid w:val="008711C2"/>
    <w:rsid w:val="008C7A8C"/>
    <w:rsid w:val="009003E5"/>
    <w:rsid w:val="00A27835"/>
    <w:rsid w:val="00A457AD"/>
    <w:rsid w:val="00A97FCE"/>
    <w:rsid w:val="00AA6432"/>
    <w:rsid w:val="00B55B5B"/>
    <w:rsid w:val="00BC2394"/>
    <w:rsid w:val="00D51603"/>
    <w:rsid w:val="00E91C97"/>
    <w:rsid w:val="00F127E2"/>
    <w:rsid w:val="00F44DEE"/>
    <w:rsid w:val="00FC598A"/>
    <w:rsid w:val="00FF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nteir@csir.c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cello.vichi@uct.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Dessa@iaea.org" TargetMode="External"/><Relationship Id="rId5" Type="http://schemas.openxmlformats.org/officeDocument/2006/relationships/webSettings" Target="webSettings.xml"/><Relationship Id="rId10" Type="http://schemas.openxmlformats.org/officeDocument/2006/relationships/hyperlink" Target="mailto:L.Hansson@iaea.org" TargetMode="External"/><Relationship Id="rId4" Type="http://schemas.openxmlformats.org/officeDocument/2006/relationships/settings" Target="settings.xml"/><Relationship Id="rId9" Type="http://schemas.openxmlformats.org/officeDocument/2006/relationships/hyperlink" Target="http://www.iaea.org/ocean-acidification/page.php?page=2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DESSA, Hasti</dc:creator>
  <cp:lastModifiedBy>ANGHELICI, Olga</cp:lastModifiedBy>
  <cp:revision>4</cp:revision>
  <dcterms:created xsi:type="dcterms:W3CDTF">2015-08-03T12:46:00Z</dcterms:created>
  <dcterms:modified xsi:type="dcterms:W3CDTF">2015-08-21T08:29:00Z</dcterms:modified>
</cp:coreProperties>
</file>