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7D" w:rsidRDefault="0080726F" w:rsidP="00733D7D">
      <w:pPr>
        <w:pStyle w:val="BodyText"/>
        <w:spacing w:after="0"/>
        <w:jc w:val="right"/>
        <w:rPr>
          <w:b/>
          <w:spacing w:val="-3"/>
          <w:sz w:val="28"/>
        </w:rPr>
      </w:pPr>
      <w:bookmarkStart w:id="0" w:name="_GoBack"/>
      <w:bookmarkEnd w:id="0"/>
      <w:r w:rsidRPr="006B6DFF">
        <w:rPr>
          <w:noProof/>
          <w:lang w:eastAsia="en-GB"/>
        </w:rPr>
        <w:drawing>
          <wp:anchor distT="0" distB="0" distL="114300" distR="114300" simplePos="0" relativeHeight="251659264" behindDoc="1" locked="0" layoutInCell="1" allowOverlap="1" wp14:anchorId="5A2ED236" wp14:editId="5143541C">
            <wp:simplePos x="0" y="0"/>
            <wp:positionH relativeFrom="column">
              <wp:posOffset>1835785</wp:posOffset>
            </wp:positionH>
            <wp:positionV relativeFrom="paragraph">
              <wp:posOffset>161925</wp:posOffset>
            </wp:positionV>
            <wp:extent cx="2133600" cy="2133600"/>
            <wp:effectExtent l="0" t="0" r="0" b="0"/>
            <wp:wrapTight wrapText="bothSides">
              <wp:wrapPolygon edited="0">
                <wp:start x="0" y="0"/>
                <wp:lineTo x="0" y="21407"/>
                <wp:lineTo x="21407" y="21407"/>
                <wp:lineTo x="2140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FE0" w:rsidRDefault="000A5FE0" w:rsidP="00AE2E9B">
      <w:pPr>
        <w:pStyle w:val="BodyText"/>
        <w:jc w:val="center"/>
      </w:pPr>
    </w:p>
    <w:p w:rsidR="0080726F" w:rsidRDefault="0080726F" w:rsidP="00AE2E9B">
      <w:pPr>
        <w:pStyle w:val="BodyText"/>
        <w:jc w:val="center"/>
      </w:pPr>
    </w:p>
    <w:p w:rsidR="0080726F" w:rsidRDefault="0080726F" w:rsidP="00AE2E9B">
      <w:pPr>
        <w:pStyle w:val="BodyText"/>
        <w:jc w:val="center"/>
      </w:pPr>
    </w:p>
    <w:p w:rsidR="0080726F" w:rsidRDefault="0080726F" w:rsidP="00AE2E9B">
      <w:pPr>
        <w:pStyle w:val="BodyText"/>
        <w:jc w:val="center"/>
      </w:pPr>
    </w:p>
    <w:p w:rsidR="0080726F" w:rsidRDefault="0080726F" w:rsidP="00AE2E9B">
      <w:pPr>
        <w:pStyle w:val="BodyText"/>
        <w:jc w:val="center"/>
      </w:pPr>
    </w:p>
    <w:p w:rsidR="0080726F" w:rsidRDefault="0080726F" w:rsidP="00AE2E9B">
      <w:pPr>
        <w:pStyle w:val="BodyText"/>
        <w:jc w:val="center"/>
      </w:pPr>
    </w:p>
    <w:p w:rsidR="0080726F" w:rsidRDefault="0080726F" w:rsidP="00AE2E9B">
      <w:pPr>
        <w:pStyle w:val="BodyText"/>
        <w:jc w:val="center"/>
      </w:pPr>
    </w:p>
    <w:p w:rsidR="00733D7D" w:rsidRDefault="00733D7D">
      <w:pPr>
        <w:pStyle w:val="BodyText"/>
      </w:pPr>
    </w:p>
    <w:p w:rsidR="007229F8" w:rsidRDefault="007D24AD" w:rsidP="00D31D6F">
      <w:pPr>
        <w:pStyle w:val="Title"/>
        <w:spacing w:after="120"/>
      </w:pPr>
      <w:r>
        <w:t>International Conference</w:t>
      </w:r>
      <w:r w:rsidR="00043063">
        <w:t xml:space="preserve"> on</w:t>
      </w:r>
      <w:r w:rsidR="00503B68">
        <w:br/>
      </w:r>
      <w:r w:rsidR="007229F8">
        <w:t>Advances in Nuclear Forensics:</w:t>
      </w:r>
    </w:p>
    <w:p w:rsidR="007D24AD" w:rsidRDefault="007229F8" w:rsidP="00503B68">
      <w:pPr>
        <w:pStyle w:val="Title"/>
      </w:pPr>
      <w:r>
        <w:t xml:space="preserve">Countering the Evolving Threat </w:t>
      </w:r>
      <w:r w:rsidR="00503B68">
        <w:t>of</w:t>
      </w:r>
      <w:r w:rsidR="00503B68">
        <w:br/>
      </w:r>
      <w:r>
        <w:t xml:space="preserve">Nuclear and Other Radioactive </w:t>
      </w:r>
      <w:r w:rsidR="00503B68">
        <w:t>Material</w:t>
      </w:r>
      <w:r w:rsidR="00503B68">
        <w:br/>
      </w:r>
      <w:r>
        <w:t>out of Regulatory Control</w:t>
      </w:r>
    </w:p>
    <w:p w:rsidR="00733D7D" w:rsidRPr="00253BFC" w:rsidRDefault="00733D7D" w:rsidP="00253BFC">
      <w:pPr>
        <w:pStyle w:val="BodyText"/>
        <w:jc w:val="center"/>
        <w:rPr>
          <w:iCs/>
          <w:sz w:val="36"/>
          <w:szCs w:val="36"/>
        </w:rPr>
      </w:pPr>
    </w:p>
    <w:p w:rsidR="00A37F42" w:rsidRDefault="00A37F42" w:rsidP="00043063">
      <w:pPr>
        <w:pStyle w:val="Subtitle"/>
      </w:pPr>
      <w:r>
        <w:t>IAEA Headquarters</w:t>
      </w:r>
    </w:p>
    <w:p w:rsidR="00043063" w:rsidRDefault="007229F8" w:rsidP="00043063">
      <w:pPr>
        <w:pStyle w:val="Subtitle"/>
      </w:pPr>
      <w:r>
        <w:t>Vienna, Austria</w:t>
      </w:r>
    </w:p>
    <w:p w:rsidR="00A37F42" w:rsidRDefault="00A37F42" w:rsidP="00043063">
      <w:pPr>
        <w:pStyle w:val="Subtitle"/>
      </w:pPr>
    </w:p>
    <w:p w:rsidR="00733D7D" w:rsidRDefault="00AD20E1" w:rsidP="00503B68">
      <w:pPr>
        <w:pStyle w:val="Subtitle"/>
      </w:pPr>
      <w:r>
        <w:t>7</w:t>
      </w:r>
      <w:r w:rsidR="00503B68">
        <w:t>–</w:t>
      </w:r>
      <w:r w:rsidR="007229F8">
        <w:t>10 July</w:t>
      </w:r>
      <w:r w:rsidR="00733D7D">
        <w:t xml:space="preserve"> 201</w:t>
      </w:r>
      <w:r w:rsidR="007229F8">
        <w:t>4</w:t>
      </w:r>
    </w:p>
    <w:p w:rsidR="006F1D5E" w:rsidRDefault="006F1D5E" w:rsidP="006F1D5E">
      <w:pPr>
        <w:overflowPunct/>
        <w:jc w:val="center"/>
        <w:textAlignment w:val="auto"/>
        <w:rPr>
          <w:sz w:val="24"/>
          <w:szCs w:val="24"/>
          <w:lang w:eastAsia="en-GB"/>
        </w:rPr>
      </w:pPr>
    </w:p>
    <w:p w:rsidR="006F1D5E" w:rsidRDefault="006F1D5E" w:rsidP="006F1D5E">
      <w:pPr>
        <w:overflowPunct/>
        <w:jc w:val="center"/>
        <w:textAlignment w:val="auto"/>
        <w:rPr>
          <w:sz w:val="24"/>
          <w:szCs w:val="24"/>
          <w:lang w:eastAsia="en-GB"/>
        </w:rPr>
      </w:pPr>
    </w:p>
    <w:p w:rsidR="006F1D5E" w:rsidRDefault="006F1D5E" w:rsidP="006F1D5E">
      <w:pPr>
        <w:pStyle w:val="Subtitle"/>
        <w:rPr>
          <w:b w:val="0"/>
          <w:bCs/>
          <w:szCs w:val="28"/>
          <w:lang w:eastAsia="en-GB"/>
        </w:rPr>
      </w:pPr>
    </w:p>
    <w:p w:rsidR="007D24AD" w:rsidRPr="006F1D5E" w:rsidRDefault="007D24AD" w:rsidP="009428B4">
      <w:pPr>
        <w:overflowPunct/>
        <w:spacing w:before="113" w:after="85"/>
        <w:jc w:val="center"/>
        <w:textAlignment w:val="auto"/>
        <w:rPr>
          <w:rFonts w:cs="Arial"/>
          <w:bCs/>
          <w:sz w:val="28"/>
          <w:szCs w:val="28"/>
          <w:lang w:val="en-US" w:eastAsia="en-GB"/>
        </w:rPr>
      </w:pPr>
    </w:p>
    <w:p w:rsidR="006F1D5E" w:rsidRDefault="006F1D5E" w:rsidP="006F1D5E">
      <w:pPr>
        <w:pStyle w:val="Subtitle"/>
      </w:pPr>
    </w:p>
    <w:p w:rsidR="00027E8C" w:rsidRPr="004D4482" w:rsidRDefault="00027E8C" w:rsidP="006F1D5E">
      <w:pPr>
        <w:pStyle w:val="Subtitle"/>
      </w:pPr>
    </w:p>
    <w:p w:rsidR="00AF50D5" w:rsidRPr="004D4482" w:rsidRDefault="00733D7D" w:rsidP="00733D7D">
      <w:pPr>
        <w:pStyle w:val="Subtitle"/>
        <w:rPr>
          <w:sz w:val="40"/>
          <w:szCs w:val="40"/>
        </w:rPr>
      </w:pPr>
      <w:r w:rsidRPr="004D4482">
        <w:rPr>
          <w:sz w:val="40"/>
          <w:szCs w:val="40"/>
        </w:rPr>
        <w:t>Announcement and Call for Papers</w:t>
      </w:r>
    </w:p>
    <w:p w:rsidR="00733D7D" w:rsidRPr="004D4482" w:rsidRDefault="00AF50D5" w:rsidP="00733D7D">
      <w:pPr>
        <w:pStyle w:val="Subtitle"/>
        <w:rPr>
          <w:sz w:val="4"/>
          <w:szCs w:val="4"/>
        </w:rPr>
      </w:pPr>
      <w:r w:rsidRPr="004D4482">
        <w:rPr>
          <w:sz w:val="40"/>
          <w:szCs w:val="40"/>
        </w:rPr>
        <w:br w:type="page"/>
      </w:r>
    </w:p>
    <w:p w:rsidR="00C36BBE" w:rsidRPr="004D4482" w:rsidRDefault="00733D7D" w:rsidP="005137FE">
      <w:pPr>
        <w:pStyle w:val="Heading1"/>
        <w:spacing w:before="0" w:after="360"/>
      </w:pPr>
      <w:r w:rsidRPr="004D4482">
        <w:lastRenderedPageBreak/>
        <w:t>Introduction</w:t>
      </w:r>
    </w:p>
    <w:p w:rsidR="001307BA" w:rsidRPr="0039696D" w:rsidRDefault="008255D0" w:rsidP="00C358CA">
      <w:pPr>
        <w:pStyle w:val="BodyText"/>
        <w:rPr>
          <w:color w:val="000000" w:themeColor="text1"/>
        </w:rPr>
      </w:pPr>
      <w:r w:rsidRPr="004D4482">
        <w:t>Nuclear forensics is a</w:t>
      </w:r>
      <w:r w:rsidR="00805FFD">
        <w:t xml:space="preserve">n </w:t>
      </w:r>
      <w:r w:rsidR="00C358CA">
        <w:t>essential</w:t>
      </w:r>
      <w:r w:rsidRPr="004D4482">
        <w:t xml:space="preserve"> </w:t>
      </w:r>
      <w:r w:rsidR="000A00F5" w:rsidRPr="004D4482">
        <w:t>component</w:t>
      </w:r>
      <w:r w:rsidRPr="004D4482">
        <w:t xml:space="preserve"> of national </w:t>
      </w:r>
      <w:r w:rsidR="000A00F5" w:rsidRPr="004D4482">
        <w:t>nuclear security infrastructure</w:t>
      </w:r>
      <w:r w:rsidRPr="004D4482">
        <w:t xml:space="preserve"> </w:t>
      </w:r>
      <w:r w:rsidR="00503B68">
        <w:t xml:space="preserve">which can help </w:t>
      </w:r>
      <w:r w:rsidRPr="004D4482">
        <w:t xml:space="preserve">to address the threat of nuclear and other radioactive material </w:t>
      </w:r>
      <w:r w:rsidR="00503B68">
        <w:t>that is</w:t>
      </w:r>
      <w:r w:rsidR="00503B68" w:rsidRPr="004D4482">
        <w:t xml:space="preserve"> </w:t>
      </w:r>
      <w:r w:rsidRPr="004D4482">
        <w:t>out of regulatory control</w:t>
      </w:r>
      <w:r w:rsidR="000A00F5" w:rsidRPr="004D4482">
        <w:t xml:space="preserve"> </w:t>
      </w:r>
      <w:r w:rsidR="00503B68">
        <w:t>as well as</w:t>
      </w:r>
      <w:r w:rsidR="00503B68" w:rsidRPr="004D4482">
        <w:t xml:space="preserve"> </w:t>
      </w:r>
      <w:r w:rsidR="009E3C6D">
        <w:t xml:space="preserve">to </w:t>
      </w:r>
      <w:r w:rsidR="000A00F5" w:rsidRPr="004D4482">
        <w:t>assess nuclear security vulnerabilities</w:t>
      </w:r>
      <w:r w:rsidRPr="004D4482">
        <w:t xml:space="preserve">. </w:t>
      </w:r>
      <w:r w:rsidR="00E7559B" w:rsidRPr="004D4482">
        <w:t xml:space="preserve">Recognizing the benefits of nuclear forensics in the establishment and </w:t>
      </w:r>
      <w:r w:rsidR="001D6D76" w:rsidRPr="004D4482">
        <w:t xml:space="preserve">maintenance of national nuclear security regimes, the </w:t>
      </w:r>
      <w:r w:rsidR="00805FFD">
        <w:t>International Atomic Energy Agency (</w:t>
      </w:r>
      <w:r w:rsidR="001D6D76" w:rsidRPr="004D4482">
        <w:t>IAEA</w:t>
      </w:r>
      <w:r w:rsidR="00805FFD">
        <w:t>)</w:t>
      </w:r>
      <w:r w:rsidR="001D6D76" w:rsidRPr="004D4482">
        <w:t xml:space="preserve"> organized</w:t>
      </w:r>
      <w:r w:rsidR="00163004">
        <w:t>,</w:t>
      </w:r>
      <w:r w:rsidR="001D6D76" w:rsidRPr="004D4482">
        <w:t xml:space="preserve"> in October 2002</w:t>
      </w:r>
      <w:r w:rsidR="00163004">
        <w:t>,</w:t>
      </w:r>
      <w:r w:rsidR="001D6D76" w:rsidRPr="004D4482">
        <w:t xml:space="preserve"> the International Conference </w:t>
      </w:r>
      <w:r w:rsidR="001D6D76" w:rsidRPr="0039696D">
        <w:rPr>
          <w:color w:val="000000" w:themeColor="text1"/>
        </w:rPr>
        <w:t>o</w:t>
      </w:r>
      <w:r w:rsidR="006A67FD">
        <w:rPr>
          <w:color w:val="000000" w:themeColor="text1"/>
        </w:rPr>
        <w:t>n</w:t>
      </w:r>
      <w:r w:rsidR="001D6D76" w:rsidRPr="0039696D">
        <w:rPr>
          <w:color w:val="000000" w:themeColor="text1"/>
        </w:rPr>
        <w:t xml:space="preserve"> Advances in Destructive and Non-Destructive Analysis for Environmental Monitoring and Nuclear Forensics in Karlsruhe, Germany. Th</w:t>
      </w:r>
      <w:r w:rsidR="006A67FD">
        <w:rPr>
          <w:color w:val="000000" w:themeColor="text1"/>
        </w:rPr>
        <w:t>at</w:t>
      </w:r>
      <w:r w:rsidR="001D6D76" w:rsidRPr="0039696D">
        <w:rPr>
          <w:color w:val="000000" w:themeColor="text1"/>
        </w:rPr>
        <w:t xml:space="preserve"> </w:t>
      </w:r>
      <w:r w:rsidR="006A67FD">
        <w:rPr>
          <w:color w:val="000000" w:themeColor="text1"/>
        </w:rPr>
        <w:t>three</w:t>
      </w:r>
      <w:r w:rsidR="001D6D76" w:rsidRPr="0039696D">
        <w:rPr>
          <w:color w:val="000000" w:themeColor="text1"/>
        </w:rPr>
        <w:t xml:space="preserve">-day </w:t>
      </w:r>
      <w:r w:rsidR="006A67FD">
        <w:rPr>
          <w:color w:val="000000" w:themeColor="text1"/>
        </w:rPr>
        <w:t>conference</w:t>
      </w:r>
      <w:r w:rsidR="001D6D76" w:rsidRPr="0039696D">
        <w:rPr>
          <w:color w:val="000000" w:themeColor="text1"/>
        </w:rPr>
        <w:t xml:space="preserve">, attended by experts and </w:t>
      </w:r>
      <w:r w:rsidR="006A67FD">
        <w:rPr>
          <w:color w:val="000000" w:themeColor="text1"/>
        </w:rPr>
        <w:t>S</w:t>
      </w:r>
      <w:r w:rsidR="001D6D76" w:rsidRPr="0039696D">
        <w:rPr>
          <w:color w:val="000000" w:themeColor="text1"/>
        </w:rPr>
        <w:t>tate off</w:t>
      </w:r>
      <w:r w:rsidR="00BD36C2" w:rsidRPr="0039696D">
        <w:rPr>
          <w:color w:val="000000" w:themeColor="text1"/>
        </w:rPr>
        <w:t xml:space="preserve">icials from </w:t>
      </w:r>
      <w:r w:rsidR="00D36818" w:rsidRPr="0039696D">
        <w:rPr>
          <w:color w:val="000000" w:themeColor="text1"/>
        </w:rPr>
        <w:t>37</w:t>
      </w:r>
      <w:r w:rsidR="00BD36C2" w:rsidRPr="0039696D">
        <w:rPr>
          <w:color w:val="000000" w:themeColor="text1"/>
        </w:rPr>
        <w:t xml:space="preserve"> Member </w:t>
      </w:r>
      <w:r w:rsidR="001D6D76" w:rsidRPr="0039696D">
        <w:rPr>
          <w:color w:val="000000" w:themeColor="text1"/>
        </w:rPr>
        <w:t xml:space="preserve">States, </w:t>
      </w:r>
      <w:r w:rsidR="006A67FD">
        <w:rPr>
          <w:color w:val="000000" w:themeColor="text1"/>
        </w:rPr>
        <w:t>the European Union</w:t>
      </w:r>
      <w:r w:rsidR="001D6D76" w:rsidRPr="0039696D">
        <w:rPr>
          <w:color w:val="000000" w:themeColor="text1"/>
        </w:rPr>
        <w:t xml:space="preserve">, </w:t>
      </w:r>
      <w:r w:rsidR="00BD36C2" w:rsidRPr="0039696D">
        <w:rPr>
          <w:color w:val="000000" w:themeColor="text1"/>
        </w:rPr>
        <w:t xml:space="preserve">and </w:t>
      </w:r>
      <w:r w:rsidR="006A67FD">
        <w:rPr>
          <w:color w:val="000000" w:themeColor="text1"/>
        </w:rPr>
        <w:t>the European Police Office</w:t>
      </w:r>
      <w:r w:rsidR="00BD36C2" w:rsidRPr="0039696D">
        <w:rPr>
          <w:color w:val="000000" w:themeColor="text1"/>
        </w:rPr>
        <w:t xml:space="preserve">, </w:t>
      </w:r>
      <w:r w:rsidR="001D6D76" w:rsidRPr="0039696D">
        <w:rPr>
          <w:color w:val="000000" w:themeColor="text1"/>
        </w:rPr>
        <w:t>discussed the role of nuclear forensics in the prevention of acts of nuclear terrorism</w:t>
      </w:r>
      <w:r w:rsidR="004F0777" w:rsidRPr="0039696D">
        <w:rPr>
          <w:color w:val="000000" w:themeColor="text1"/>
        </w:rPr>
        <w:t xml:space="preserve"> and </w:t>
      </w:r>
      <w:r w:rsidR="006A67FD">
        <w:rPr>
          <w:color w:val="000000" w:themeColor="text1"/>
        </w:rPr>
        <w:t xml:space="preserve">in </w:t>
      </w:r>
      <w:r w:rsidR="004F0777" w:rsidRPr="0039696D">
        <w:rPr>
          <w:color w:val="000000" w:themeColor="text1"/>
        </w:rPr>
        <w:t xml:space="preserve">combating illicit trafficking </w:t>
      </w:r>
      <w:r w:rsidR="006A67FD">
        <w:rPr>
          <w:color w:val="000000" w:themeColor="text1"/>
        </w:rPr>
        <w:t>in</w:t>
      </w:r>
      <w:r w:rsidR="004F0777" w:rsidRPr="0039696D">
        <w:rPr>
          <w:color w:val="000000" w:themeColor="text1"/>
        </w:rPr>
        <w:t xml:space="preserve"> nuclear materials. Special technical sessions of the conference focused on capabilities for </w:t>
      </w:r>
      <w:r w:rsidR="006A67FD">
        <w:rPr>
          <w:color w:val="000000" w:themeColor="text1"/>
        </w:rPr>
        <w:t xml:space="preserve">the </w:t>
      </w:r>
      <w:r w:rsidR="004F0777" w:rsidRPr="0039696D">
        <w:rPr>
          <w:color w:val="000000" w:themeColor="text1"/>
        </w:rPr>
        <w:t>identification of illicit nuclear materials, the relevant analytical techniques, case studies</w:t>
      </w:r>
      <w:r w:rsidR="006A67FD">
        <w:rPr>
          <w:color w:val="000000" w:themeColor="text1"/>
        </w:rPr>
        <w:t>,</w:t>
      </w:r>
      <w:r w:rsidR="004F0777" w:rsidRPr="0039696D">
        <w:rPr>
          <w:color w:val="000000" w:themeColor="text1"/>
        </w:rPr>
        <w:t xml:space="preserve"> and scientific and legal challenges </w:t>
      </w:r>
      <w:r w:rsidR="006A67FD">
        <w:rPr>
          <w:color w:val="000000" w:themeColor="text1"/>
        </w:rPr>
        <w:t>in the field of</w:t>
      </w:r>
      <w:r w:rsidR="006A67FD" w:rsidRPr="0039696D">
        <w:rPr>
          <w:color w:val="000000" w:themeColor="text1"/>
        </w:rPr>
        <w:t xml:space="preserve"> </w:t>
      </w:r>
      <w:r w:rsidR="004F0777" w:rsidRPr="0039696D">
        <w:rPr>
          <w:color w:val="000000" w:themeColor="text1"/>
        </w:rPr>
        <w:t xml:space="preserve">nuclear forensics. The conference was a useful starting event for </w:t>
      </w:r>
      <w:r w:rsidR="00805FFD">
        <w:rPr>
          <w:color w:val="000000" w:themeColor="text1"/>
        </w:rPr>
        <w:t>including</w:t>
      </w:r>
      <w:r w:rsidR="004F0777" w:rsidRPr="0039696D">
        <w:rPr>
          <w:color w:val="000000" w:themeColor="text1"/>
        </w:rPr>
        <w:t xml:space="preserve"> nuclear forensics support activities in IAEA nuclear security plans and projects.</w:t>
      </w:r>
    </w:p>
    <w:p w:rsidR="004F0777" w:rsidRPr="0039696D" w:rsidRDefault="00805FFD" w:rsidP="00655CD1">
      <w:pPr>
        <w:pStyle w:val="BodyText"/>
        <w:rPr>
          <w:color w:val="000000" w:themeColor="text1"/>
        </w:rPr>
      </w:pPr>
      <w:r>
        <w:rPr>
          <w:color w:val="000000" w:themeColor="text1"/>
        </w:rPr>
        <w:t>In light of</w:t>
      </w:r>
      <w:r w:rsidRPr="0039696D">
        <w:rPr>
          <w:color w:val="000000" w:themeColor="text1"/>
        </w:rPr>
        <w:t xml:space="preserve"> </w:t>
      </w:r>
      <w:r w:rsidR="008255D0" w:rsidRPr="0039696D">
        <w:rPr>
          <w:color w:val="000000" w:themeColor="text1"/>
        </w:rPr>
        <w:t xml:space="preserve">the </w:t>
      </w:r>
      <w:r w:rsidRPr="0039696D">
        <w:rPr>
          <w:color w:val="000000" w:themeColor="text1"/>
        </w:rPr>
        <w:t>outcomes</w:t>
      </w:r>
      <w:r>
        <w:rPr>
          <w:color w:val="000000" w:themeColor="text1"/>
        </w:rPr>
        <w:t xml:space="preserve"> of the 2002 </w:t>
      </w:r>
      <w:r w:rsidR="00D352FF" w:rsidRPr="0039696D">
        <w:rPr>
          <w:color w:val="000000" w:themeColor="text1"/>
        </w:rPr>
        <w:t>conference</w:t>
      </w:r>
      <w:r w:rsidR="00D352FF">
        <w:rPr>
          <w:color w:val="000000" w:themeColor="text1"/>
        </w:rPr>
        <w:t xml:space="preserve"> and</w:t>
      </w:r>
      <w:r w:rsidR="008B6322">
        <w:rPr>
          <w:color w:val="000000" w:themeColor="text1"/>
        </w:rPr>
        <w:t xml:space="preserve"> </w:t>
      </w:r>
      <w:r w:rsidR="009C3AE9">
        <w:rPr>
          <w:color w:val="000000" w:themeColor="text1"/>
        </w:rPr>
        <w:t xml:space="preserve">continuous </w:t>
      </w:r>
      <w:r w:rsidR="00D352FF">
        <w:rPr>
          <w:color w:val="000000" w:themeColor="text1"/>
        </w:rPr>
        <w:t>cooperation with</w:t>
      </w:r>
      <w:r w:rsidR="0080726F">
        <w:rPr>
          <w:color w:val="000000" w:themeColor="text1"/>
        </w:rPr>
        <w:t>,</w:t>
      </w:r>
      <w:r w:rsidR="00D352FF">
        <w:rPr>
          <w:color w:val="000000" w:themeColor="text1"/>
        </w:rPr>
        <w:t xml:space="preserve"> and feedback from</w:t>
      </w:r>
      <w:r w:rsidR="0080726F">
        <w:rPr>
          <w:color w:val="000000" w:themeColor="text1"/>
        </w:rPr>
        <w:t>,</w:t>
      </w:r>
      <w:r w:rsidR="00D352FF">
        <w:rPr>
          <w:color w:val="000000" w:themeColor="text1"/>
        </w:rPr>
        <w:t xml:space="preserve"> </w:t>
      </w:r>
      <w:r w:rsidR="0080726F" w:rsidRPr="00E51EA8">
        <w:rPr>
          <w:color w:val="000000" w:themeColor="text1"/>
        </w:rPr>
        <w:t xml:space="preserve">Member </w:t>
      </w:r>
      <w:r w:rsidR="00D352FF" w:rsidRPr="00E51EA8">
        <w:rPr>
          <w:color w:val="000000" w:themeColor="text1"/>
        </w:rPr>
        <w:t>States</w:t>
      </w:r>
      <w:r w:rsidR="008255D0" w:rsidRPr="00E51EA8">
        <w:rPr>
          <w:color w:val="000000" w:themeColor="text1"/>
        </w:rPr>
        <w:t>,</w:t>
      </w:r>
      <w:r w:rsidR="008255D0" w:rsidRPr="0039696D">
        <w:rPr>
          <w:color w:val="000000" w:themeColor="text1"/>
        </w:rPr>
        <w:t xml:space="preserve"> </w:t>
      </w:r>
      <w:r w:rsidRPr="0039696D">
        <w:rPr>
          <w:color w:val="000000" w:themeColor="text1"/>
        </w:rPr>
        <w:t xml:space="preserve">the </w:t>
      </w:r>
      <w:r>
        <w:rPr>
          <w:color w:val="000000" w:themeColor="text1"/>
        </w:rPr>
        <w:t xml:space="preserve">IAEA </w:t>
      </w:r>
      <w:r w:rsidR="00C94991">
        <w:rPr>
          <w:color w:val="000000" w:themeColor="text1"/>
        </w:rPr>
        <w:t xml:space="preserve">from 2003 to 2011 </w:t>
      </w:r>
      <w:r w:rsidRPr="0039696D">
        <w:rPr>
          <w:color w:val="000000" w:themeColor="text1"/>
        </w:rPr>
        <w:t xml:space="preserve">implemented </w:t>
      </w:r>
      <w:r w:rsidR="008255D0" w:rsidRPr="0039696D">
        <w:rPr>
          <w:color w:val="000000" w:themeColor="text1"/>
        </w:rPr>
        <w:t xml:space="preserve">three </w:t>
      </w:r>
      <w:r>
        <w:rPr>
          <w:color w:val="000000" w:themeColor="text1"/>
        </w:rPr>
        <w:t>c</w:t>
      </w:r>
      <w:r w:rsidR="008255D0" w:rsidRPr="0039696D">
        <w:rPr>
          <w:color w:val="000000" w:themeColor="text1"/>
        </w:rPr>
        <w:t xml:space="preserve">oordinated </w:t>
      </w:r>
      <w:r>
        <w:rPr>
          <w:color w:val="000000" w:themeColor="text1"/>
        </w:rPr>
        <w:t>r</w:t>
      </w:r>
      <w:r w:rsidR="008255D0" w:rsidRPr="0039696D">
        <w:rPr>
          <w:color w:val="000000" w:themeColor="text1"/>
        </w:rPr>
        <w:t>e</w:t>
      </w:r>
      <w:r w:rsidR="009E3C6D" w:rsidRPr="0039696D">
        <w:rPr>
          <w:color w:val="000000" w:themeColor="text1"/>
        </w:rPr>
        <w:t xml:space="preserve">search </w:t>
      </w:r>
      <w:r>
        <w:rPr>
          <w:color w:val="000000" w:themeColor="text1"/>
        </w:rPr>
        <w:t>p</w:t>
      </w:r>
      <w:r w:rsidR="009E3C6D" w:rsidRPr="0039696D">
        <w:rPr>
          <w:color w:val="000000" w:themeColor="text1"/>
        </w:rPr>
        <w:t>rojects (CRP</w:t>
      </w:r>
      <w:r w:rsidR="0080726F">
        <w:rPr>
          <w:color w:val="000000" w:themeColor="text1"/>
        </w:rPr>
        <w:t>s</w:t>
      </w:r>
      <w:r w:rsidR="009E3C6D" w:rsidRPr="0039696D">
        <w:rPr>
          <w:color w:val="000000" w:themeColor="text1"/>
        </w:rPr>
        <w:t>)</w:t>
      </w:r>
      <w:r>
        <w:rPr>
          <w:color w:val="000000" w:themeColor="text1"/>
        </w:rPr>
        <w:t xml:space="preserve"> dealing, respectively, with</w:t>
      </w:r>
      <w:r w:rsidR="009E3C6D" w:rsidRPr="0039696D">
        <w:rPr>
          <w:color w:val="000000" w:themeColor="text1"/>
        </w:rPr>
        <w:t xml:space="preserve"> </w:t>
      </w:r>
      <w:r>
        <w:rPr>
          <w:color w:val="000000" w:themeColor="text1"/>
        </w:rPr>
        <w:t>the</w:t>
      </w:r>
      <w:r w:rsidRPr="0039696D">
        <w:rPr>
          <w:color w:val="000000" w:themeColor="text1"/>
        </w:rPr>
        <w:t xml:space="preserve"> </w:t>
      </w:r>
      <w:r w:rsidR="008255D0" w:rsidRPr="0039696D">
        <w:rPr>
          <w:color w:val="000000" w:themeColor="text1"/>
        </w:rPr>
        <w:t xml:space="preserve">improvement of technical measures to detect illicit trafficking </w:t>
      </w:r>
      <w:r>
        <w:rPr>
          <w:color w:val="000000" w:themeColor="text1"/>
        </w:rPr>
        <w:t>in</w:t>
      </w:r>
      <w:r w:rsidRPr="0039696D">
        <w:rPr>
          <w:color w:val="000000" w:themeColor="text1"/>
        </w:rPr>
        <w:t xml:space="preserve"> </w:t>
      </w:r>
      <w:r w:rsidR="008255D0" w:rsidRPr="0039696D">
        <w:rPr>
          <w:color w:val="000000" w:themeColor="text1"/>
        </w:rPr>
        <w:t>nuclear and other radioactive material</w:t>
      </w:r>
      <w:r w:rsidR="009E3C6D" w:rsidRPr="0039696D">
        <w:rPr>
          <w:color w:val="000000" w:themeColor="text1"/>
        </w:rPr>
        <w:t>s</w:t>
      </w:r>
      <w:r w:rsidR="008255D0" w:rsidRPr="0039696D">
        <w:rPr>
          <w:color w:val="000000" w:themeColor="text1"/>
        </w:rPr>
        <w:t xml:space="preserve">, </w:t>
      </w:r>
      <w:r>
        <w:rPr>
          <w:color w:val="000000" w:themeColor="text1"/>
        </w:rPr>
        <w:t xml:space="preserve">the </w:t>
      </w:r>
      <w:r w:rsidR="008255D0" w:rsidRPr="0039696D">
        <w:rPr>
          <w:color w:val="000000" w:themeColor="text1"/>
        </w:rPr>
        <w:t>development</w:t>
      </w:r>
      <w:r w:rsidR="009E3C6D" w:rsidRPr="0039696D">
        <w:rPr>
          <w:color w:val="000000" w:themeColor="text1"/>
        </w:rPr>
        <w:t xml:space="preserve"> of</w:t>
      </w:r>
      <w:r w:rsidR="008255D0" w:rsidRPr="0039696D">
        <w:rPr>
          <w:color w:val="000000" w:themeColor="text1"/>
        </w:rPr>
        <w:t xml:space="preserve"> instruments and methods for </w:t>
      </w:r>
      <w:r>
        <w:rPr>
          <w:color w:val="000000" w:themeColor="text1"/>
        </w:rPr>
        <w:t xml:space="preserve">the </w:t>
      </w:r>
      <w:r w:rsidR="008255D0" w:rsidRPr="0039696D">
        <w:rPr>
          <w:color w:val="000000" w:themeColor="text1"/>
        </w:rPr>
        <w:t xml:space="preserve">detection of </w:t>
      </w:r>
      <w:r w:rsidR="009E3C6D" w:rsidRPr="0039696D">
        <w:rPr>
          <w:color w:val="000000" w:themeColor="text1"/>
        </w:rPr>
        <w:t>nuclear and other radioactive material outside of regulatory control</w:t>
      </w:r>
      <w:r w:rsidR="008255D0" w:rsidRPr="0039696D">
        <w:rPr>
          <w:color w:val="000000" w:themeColor="text1"/>
        </w:rPr>
        <w:t xml:space="preserve">, and </w:t>
      </w:r>
      <w:r>
        <w:rPr>
          <w:color w:val="000000" w:themeColor="text1"/>
        </w:rPr>
        <w:t xml:space="preserve">the </w:t>
      </w:r>
      <w:r w:rsidR="008255D0" w:rsidRPr="0039696D">
        <w:rPr>
          <w:color w:val="000000" w:themeColor="text1"/>
        </w:rPr>
        <w:t>application of nuclear forensics</w:t>
      </w:r>
      <w:r w:rsidR="009E3C6D" w:rsidRPr="0039696D">
        <w:rPr>
          <w:color w:val="000000" w:themeColor="text1"/>
        </w:rPr>
        <w:t xml:space="preserve"> to prevent and respond to nuclear security events</w:t>
      </w:r>
      <w:r w:rsidR="008255D0" w:rsidRPr="0039696D">
        <w:rPr>
          <w:color w:val="000000" w:themeColor="text1"/>
        </w:rPr>
        <w:t>.</w:t>
      </w:r>
      <w:r w:rsidR="003C1ECE" w:rsidRPr="0039696D">
        <w:rPr>
          <w:color w:val="000000" w:themeColor="text1"/>
        </w:rPr>
        <w:t xml:space="preserve"> </w:t>
      </w:r>
      <w:r>
        <w:rPr>
          <w:color w:val="000000" w:themeColor="text1"/>
        </w:rPr>
        <w:t>Moreover, d</w:t>
      </w:r>
      <w:r w:rsidR="004F0777" w:rsidRPr="0039696D">
        <w:rPr>
          <w:color w:val="000000" w:themeColor="text1"/>
        </w:rPr>
        <w:t>uring</w:t>
      </w:r>
      <w:r>
        <w:rPr>
          <w:color w:val="000000" w:themeColor="text1"/>
        </w:rPr>
        <w:t xml:space="preserve"> the period</w:t>
      </w:r>
      <w:r w:rsidR="004F0777" w:rsidRPr="0039696D">
        <w:rPr>
          <w:color w:val="000000" w:themeColor="text1"/>
        </w:rPr>
        <w:t xml:space="preserve"> 2003</w:t>
      </w:r>
      <w:r>
        <w:rPr>
          <w:color w:val="000000" w:themeColor="text1"/>
        </w:rPr>
        <w:t>–</w:t>
      </w:r>
      <w:r w:rsidR="004F0777" w:rsidRPr="0039696D">
        <w:rPr>
          <w:color w:val="000000" w:themeColor="text1"/>
        </w:rPr>
        <w:t xml:space="preserve">2012 the </w:t>
      </w:r>
      <w:r w:rsidR="00A90629" w:rsidRPr="0039696D">
        <w:rPr>
          <w:color w:val="000000" w:themeColor="text1"/>
        </w:rPr>
        <w:t>IAEA</w:t>
      </w:r>
      <w:r w:rsidR="004F0777" w:rsidRPr="0039696D">
        <w:rPr>
          <w:color w:val="000000" w:themeColor="text1"/>
        </w:rPr>
        <w:t xml:space="preserve"> </w:t>
      </w:r>
      <w:r w:rsidR="00152BD1" w:rsidRPr="0039696D">
        <w:rPr>
          <w:color w:val="000000" w:themeColor="text1"/>
        </w:rPr>
        <w:t>prepar</w:t>
      </w:r>
      <w:r>
        <w:rPr>
          <w:color w:val="000000" w:themeColor="text1"/>
        </w:rPr>
        <w:t>ed</w:t>
      </w:r>
      <w:r w:rsidR="00152BD1" w:rsidRPr="0039696D">
        <w:rPr>
          <w:color w:val="000000" w:themeColor="text1"/>
        </w:rPr>
        <w:t xml:space="preserve"> </w:t>
      </w:r>
      <w:r>
        <w:rPr>
          <w:color w:val="000000" w:themeColor="text1"/>
        </w:rPr>
        <w:t>a number of</w:t>
      </w:r>
      <w:r w:rsidRPr="0039696D">
        <w:rPr>
          <w:color w:val="000000" w:themeColor="text1"/>
        </w:rPr>
        <w:t xml:space="preserve"> </w:t>
      </w:r>
      <w:r w:rsidR="00152BD1" w:rsidRPr="0039696D">
        <w:rPr>
          <w:color w:val="000000" w:themeColor="text1"/>
        </w:rPr>
        <w:t xml:space="preserve">nuclear forensics guidance documents and outreach materials. </w:t>
      </w:r>
      <w:r>
        <w:rPr>
          <w:color w:val="000000" w:themeColor="text1"/>
        </w:rPr>
        <w:t>In cooperation</w:t>
      </w:r>
      <w:r w:rsidRPr="0039696D">
        <w:rPr>
          <w:color w:val="000000" w:themeColor="text1"/>
        </w:rPr>
        <w:t xml:space="preserve"> </w:t>
      </w:r>
      <w:r w:rsidR="00A90629" w:rsidRPr="0039696D">
        <w:rPr>
          <w:color w:val="000000" w:themeColor="text1"/>
        </w:rPr>
        <w:t>with the Nuclear Forensics International Technical Working Group</w:t>
      </w:r>
      <w:r w:rsidR="008255D0" w:rsidRPr="0039696D">
        <w:rPr>
          <w:color w:val="000000" w:themeColor="text1"/>
        </w:rPr>
        <w:t xml:space="preserve"> (ITWG)</w:t>
      </w:r>
      <w:r w:rsidR="00A90629" w:rsidRPr="0039696D">
        <w:rPr>
          <w:color w:val="000000" w:themeColor="text1"/>
        </w:rPr>
        <w:t xml:space="preserve">, the </w:t>
      </w:r>
      <w:r>
        <w:rPr>
          <w:color w:val="000000" w:themeColor="text1"/>
        </w:rPr>
        <w:t>IAEA</w:t>
      </w:r>
      <w:r w:rsidRPr="0039696D">
        <w:rPr>
          <w:color w:val="000000" w:themeColor="text1"/>
        </w:rPr>
        <w:t xml:space="preserve"> </w:t>
      </w:r>
      <w:r w:rsidR="00A90629" w:rsidRPr="0039696D">
        <w:rPr>
          <w:color w:val="000000" w:themeColor="text1"/>
        </w:rPr>
        <w:t xml:space="preserve">published in 2006 </w:t>
      </w:r>
      <w:r>
        <w:rPr>
          <w:color w:val="000000" w:themeColor="text1"/>
        </w:rPr>
        <w:t>a Reference Manual entitled</w:t>
      </w:r>
      <w:r w:rsidR="00A90629" w:rsidRPr="0039696D">
        <w:rPr>
          <w:color w:val="000000" w:themeColor="text1"/>
        </w:rPr>
        <w:t xml:space="preserve"> </w:t>
      </w:r>
      <w:r w:rsidR="00A90629" w:rsidRPr="004738BE">
        <w:rPr>
          <w:i/>
          <w:iCs/>
          <w:color w:val="000000" w:themeColor="text1"/>
        </w:rPr>
        <w:t>Nuclear Forensics Support</w:t>
      </w:r>
      <w:r w:rsidR="000966A6" w:rsidRPr="0039696D">
        <w:rPr>
          <w:color w:val="000000" w:themeColor="text1"/>
        </w:rPr>
        <w:t xml:space="preserve"> (</w:t>
      </w:r>
      <w:r>
        <w:rPr>
          <w:color w:val="000000" w:themeColor="text1"/>
        </w:rPr>
        <w:t xml:space="preserve">IAEA Nuclear Security Series </w:t>
      </w:r>
      <w:r w:rsidRPr="0039696D">
        <w:rPr>
          <w:color w:val="000000" w:themeColor="text1"/>
        </w:rPr>
        <w:t>N</w:t>
      </w:r>
      <w:r>
        <w:rPr>
          <w:color w:val="000000" w:themeColor="text1"/>
        </w:rPr>
        <w:t xml:space="preserve">o. </w:t>
      </w:r>
      <w:r w:rsidR="000966A6" w:rsidRPr="0039696D">
        <w:rPr>
          <w:color w:val="000000" w:themeColor="text1"/>
        </w:rPr>
        <w:t>2)</w:t>
      </w:r>
      <w:r w:rsidR="00A90629" w:rsidRPr="0039696D">
        <w:rPr>
          <w:color w:val="000000" w:themeColor="text1"/>
        </w:rPr>
        <w:t>.</w:t>
      </w:r>
      <w:r w:rsidR="000966A6" w:rsidRPr="0039696D">
        <w:rPr>
          <w:color w:val="000000" w:themeColor="text1"/>
        </w:rPr>
        <w:t xml:space="preserve"> </w:t>
      </w:r>
      <w:r w:rsidR="00F449CA" w:rsidRPr="0039696D">
        <w:rPr>
          <w:color w:val="000000" w:themeColor="text1"/>
        </w:rPr>
        <w:t xml:space="preserve">The latter is currently under revision and new </w:t>
      </w:r>
      <w:r w:rsidR="00655CD1">
        <w:rPr>
          <w:color w:val="000000" w:themeColor="text1"/>
        </w:rPr>
        <w:t>I</w:t>
      </w:r>
      <w:r w:rsidR="000966A6" w:rsidRPr="0039696D">
        <w:rPr>
          <w:color w:val="000000" w:themeColor="text1"/>
        </w:rPr>
        <w:t xml:space="preserve">mplementing </w:t>
      </w:r>
      <w:r w:rsidR="00655CD1">
        <w:rPr>
          <w:color w:val="000000" w:themeColor="text1"/>
        </w:rPr>
        <w:t>G</w:t>
      </w:r>
      <w:r w:rsidR="000966A6" w:rsidRPr="0039696D">
        <w:rPr>
          <w:color w:val="000000" w:themeColor="text1"/>
        </w:rPr>
        <w:t xml:space="preserve">uides </w:t>
      </w:r>
      <w:r w:rsidR="00F449CA" w:rsidRPr="0039696D">
        <w:rPr>
          <w:color w:val="000000" w:themeColor="text1"/>
        </w:rPr>
        <w:t xml:space="preserve">in the area of </w:t>
      </w:r>
      <w:r w:rsidR="009E3C6D" w:rsidRPr="0039696D">
        <w:rPr>
          <w:color w:val="000000" w:themeColor="text1"/>
        </w:rPr>
        <w:t xml:space="preserve">nuclear forensics </w:t>
      </w:r>
      <w:r w:rsidR="00F449CA" w:rsidRPr="0039696D">
        <w:rPr>
          <w:color w:val="000000" w:themeColor="text1"/>
        </w:rPr>
        <w:t xml:space="preserve">are </w:t>
      </w:r>
      <w:r w:rsidR="00655CD1">
        <w:rPr>
          <w:color w:val="000000" w:themeColor="text1"/>
        </w:rPr>
        <w:t>being</w:t>
      </w:r>
      <w:r w:rsidR="00655CD1" w:rsidRPr="0039696D">
        <w:rPr>
          <w:color w:val="000000" w:themeColor="text1"/>
        </w:rPr>
        <w:t xml:space="preserve"> consider</w:t>
      </w:r>
      <w:r w:rsidR="00655CD1">
        <w:rPr>
          <w:color w:val="000000" w:themeColor="text1"/>
        </w:rPr>
        <w:t>ed</w:t>
      </w:r>
      <w:r w:rsidR="00F64917" w:rsidRPr="0039696D">
        <w:rPr>
          <w:color w:val="000000" w:themeColor="text1"/>
        </w:rPr>
        <w:t>.</w:t>
      </w:r>
      <w:r w:rsidR="00A90629" w:rsidRPr="0039696D">
        <w:rPr>
          <w:color w:val="000000" w:themeColor="text1"/>
        </w:rPr>
        <w:t xml:space="preserve"> </w:t>
      </w:r>
      <w:r w:rsidR="000966A6" w:rsidRPr="0039696D">
        <w:rPr>
          <w:color w:val="000000" w:themeColor="text1"/>
        </w:rPr>
        <w:t xml:space="preserve">Through a programme of human resource development </w:t>
      </w:r>
      <w:r w:rsidR="00C8557B" w:rsidRPr="0039696D">
        <w:rPr>
          <w:color w:val="000000" w:themeColor="text1"/>
        </w:rPr>
        <w:t>during the period 2010</w:t>
      </w:r>
      <w:r w:rsidR="00655CD1">
        <w:rPr>
          <w:color w:val="000000" w:themeColor="text1"/>
        </w:rPr>
        <w:t>–</w:t>
      </w:r>
      <w:r w:rsidR="00C8557B" w:rsidRPr="0039696D">
        <w:rPr>
          <w:color w:val="000000" w:themeColor="text1"/>
        </w:rPr>
        <w:t>2013</w:t>
      </w:r>
      <w:r w:rsidR="000966A6" w:rsidRPr="0039696D">
        <w:rPr>
          <w:color w:val="000000" w:themeColor="text1"/>
        </w:rPr>
        <w:t xml:space="preserve">, the IAEA </w:t>
      </w:r>
      <w:r w:rsidR="00655CD1">
        <w:rPr>
          <w:color w:val="000000" w:themeColor="text1"/>
        </w:rPr>
        <w:t>organized</w:t>
      </w:r>
      <w:r w:rsidR="00655CD1" w:rsidRPr="0039696D">
        <w:rPr>
          <w:color w:val="000000" w:themeColor="text1"/>
        </w:rPr>
        <w:t xml:space="preserve"> </w:t>
      </w:r>
      <w:r w:rsidR="000966A6" w:rsidRPr="0039696D">
        <w:rPr>
          <w:color w:val="000000" w:themeColor="text1"/>
        </w:rPr>
        <w:t xml:space="preserve">and conducted </w:t>
      </w:r>
      <w:r w:rsidR="00C8557B" w:rsidRPr="0039696D">
        <w:rPr>
          <w:color w:val="000000" w:themeColor="text1"/>
        </w:rPr>
        <w:t xml:space="preserve">12 </w:t>
      </w:r>
      <w:r w:rsidR="003C1ECE" w:rsidRPr="0039696D">
        <w:rPr>
          <w:color w:val="000000" w:themeColor="text1"/>
        </w:rPr>
        <w:t>international,</w:t>
      </w:r>
      <w:r w:rsidR="00892DA1" w:rsidRPr="0039696D">
        <w:rPr>
          <w:color w:val="000000" w:themeColor="text1"/>
        </w:rPr>
        <w:t xml:space="preserve"> </w:t>
      </w:r>
      <w:r w:rsidR="000966A6" w:rsidRPr="0039696D">
        <w:rPr>
          <w:color w:val="000000" w:themeColor="text1"/>
        </w:rPr>
        <w:t xml:space="preserve">regional and national introductory </w:t>
      </w:r>
      <w:r w:rsidR="003C1ECE" w:rsidRPr="0039696D">
        <w:rPr>
          <w:color w:val="000000" w:themeColor="text1"/>
        </w:rPr>
        <w:t xml:space="preserve">and expert </w:t>
      </w:r>
      <w:r w:rsidR="000966A6" w:rsidRPr="0039696D">
        <w:rPr>
          <w:color w:val="000000" w:themeColor="text1"/>
        </w:rPr>
        <w:t xml:space="preserve">training courses on nuclear forensics, based on the </w:t>
      </w:r>
      <w:r w:rsidR="00655CD1">
        <w:rPr>
          <w:color w:val="000000" w:themeColor="text1"/>
        </w:rPr>
        <w:t xml:space="preserve">available </w:t>
      </w:r>
      <w:r w:rsidR="000966A6" w:rsidRPr="0039696D">
        <w:rPr>
          <w:color w:val="000000" w:themeColor="text1"/>
        </w:rPr>
        <w:t xml:space="preserve">nuclear security guidance documents and </w:t>
      </w:r>
      <w:r w:rsidR="00655CD1">
        <w:rPr>
          <w:color w:val="000000" w:themeColor="text1"/>
        </w:rPr>
        <w:t xml:space="preserve">the </w:t>
      </w:r>
      <w:r w:rsidR="00655CD1" w:rsidRPr="0039696D">
        <w:rPr>
          <w:color w:val="000000" w:themeColor="text1"/>
        </w:rPr>
        <w:t>results</w:t>
      </w:r>
      <w:r w:rsidR="00655CD1">
        <w:rPr>
          <w:color w:val="000000" w:themeColor="text1"/>
        </w:rPr>
        <w:t xml:space="preserve"> of the above-mentioned </w:t>
      </w:r>
      <w:r w:rsidR="000966A6" w:rsidRPr="0039696D">
        <w:rPr>
          <w:color w:val="000000" w:themeColor="text1"/>
        </w:rPr>
        <w:t>CRP</w:t>
      </w:r>
      <w:r w:rsidR="00655CD1">
        <w:rPr>
          <w:color w:val="000000" w:themeColor="text1"/>
        </w:rPr>
        <w:t>s</w:t>
      </w:r>
      <w:r w:rsidR="000966A6" w:rsidRPr="0039696D">
        <w:rPr>
          <w:color w:val="000000" w:themeColor="text1"/>
        </w:rPr>
        <w:t>.</w:t>
      </w:r>
      <w:r w:rsidR="009E3C6D" w:rsidRPr="0039696D">
        <w:rPr>
          <w:color w:val="000000" w:themeColor="text1"/>
        </w:rPr>
        <w:t xml:space="preserve"> A new CRP on nuclear forensic signatures has </w:t>
      </w:r>
      <w:r w:rsidR="00655CD1">
        <w:rPr>
          <w:color w:val="000000" w:themeColor="text1"/>
        </w:rPr>
        <w:t xml:space="preserve">recently </w:t>
      </w:r>
      <w:r w:rsidR="009E3C6D" w:rsidRPr="0039696D">
        <w:rPr>
          <w:color w:val="000000" w:themeColor="text1"/>
        </w:rPr>
        <w:t>been approved.</w:t>
      </w:r>
    </w:p>
    <w:p w:rsidR="0062656A" w:rsidRDefault="0080726F" w:rsidP="009F6113">
      <w:pPr>
        <w:pStyle w:val="BodyText"/>
        <w:rPr>
          <w:color w:val="000000" w:themeColor="text1"/>
        </w:rPr>
      </w:pPr>
      <w:r>
        <w:rPr>
          <w:color w:val="000000" w:themeColor="text1"/>
        </w:rPr>
        <w:t xml:space="preserve">Resolutions on nuclear security adopted by the </w:t>
      </w:r>
      <w:r w:rsidR="006A3FF9">
        <w:rPr>
          <w:color w:val="000000" w:themeColor="text1"/>
        </w:rPr>
        <w:t xml:space="preserve">IAEA General Conference </w:t>
      </w:r>
      <w:r w:rsidR="00C050D3">
        <w:rPr>
          <w:color w:val="000000" w:themeColor="text1"/>
        </w:rPr>
        <w:t xml:space="preserve">emphasize </w:t>
      </w:r>
      <w:r w:rsidR="006A3FF9">
        <w:rPr>
          <w:color w:val="000000" w:themeColor="text1"/>
        </w:rPr>
        <w:t xml:space="preserve">the importance of nuclear forensics as </w:t>
      </w:r>
      <w:r w:rsidR="00C050D3">
        <w:rPr>
          <w:color w:val="000000" w:themeColor="text1"/>
        </w:rPr>
        <w:t xml:space="preserve">a component </w:t>
      </w:r>
      <w:r w:rsidR="006A3FF9">
        <w:rPr>
          <w:color w:val="000000" w:themeColor="text1"/>
        </w:rPr>
        <w:t>of a Member State’s nuclear security infrastructure</w:t>
      </w:r>
      <w:r w:rsidR="00C050D3">
        <w:rPr>
          <w:color w:val="000000" w:themeColor="text1"/>
        </w:rPr>
        <w:t xml:space="preserve">. </w:t>
      </w:r>
      <w:r w:rsidR="006A3FF9">
        <w:rPr>
          <w:color w:val="000000" w:themeColor="text1"/>
        </w:rPr>
        <w:t xml:space="preserve">The 2012 General Conference resolution on nuclear security </w:t>
      </w:r>
      <w:r w:rsidR="00C050D3">
        <w:rPr>
          <w:color w:val="000000" w:themeColor="text1"/>
        </w:rPr>
        <w:t xml:space="preserve">noted </w:t>
      </w:r>
      <w:r w:rsidR="006A3FF9">
        <w:rPr>
          <w:color w:val="000000" w:themeColor="text1"/>
        </w:rPr>
        <w:t xml:space="preserve">the IAEA’s work in </w:t>
      </w:r>
      <w:r w:rsidR="009F6113">
        <w:rPr>
          <w:color w:val="000000" w:themeColor="text1"/>
        </w:rPr>
        <w:t>developing</w:t>
      </w:r>
      <w:r w:rsidR="006A3FF9">
        <w:rPr>
          <w:color w:val="000000" w:themeColor="text1"/>
        </w:rPr>
        <w:t xml:space="preserve"> training</w:t>
      </w:r>
      <w:r w:rsidR="009F6113">
        <w:rPr>
          <w:color w:val="000000" w:themeColor="text1"/>
        </w:rPr>
        <w:t xml:space="preserve"> courses</w:t>
      </w:r>
      <w:r w:rsidR="006A3FF9">
        <w:rPr>
          <w:color w:val="000000" w:themeColor="text1"/>
        </w:rPr>
        <w:t xml:space="preserve"> and</w:t>
      </w:r>
      <w:r w:rsidR="00083555">
        <w:rPr>
          <w:color w:val="000000" w:themeColor="text1"/>
        </w:rPr>
        <w:t xml:space="preserve"> providing</w:t>
      </w:r>
      <w:r w:rsidR="00C050D3">
        <w:rPr>
          <w:color w:val="000000" w:themeColor="text1"/>
        </w:rPr>
        <w:t xml:space="preserve"> guidance to </w:t>
      </w:r>
      <w:r w:rsidR="009F6113">
        <w:rPr>
          <w:color w:val="000000" w:themeColor="text1"/>
        </w:rPr>
        <w:t xml:space="preserve">assist Member States </w:t>
      </w:r>
      <w:r w:rsidR="00C050D3">
        <w:rPr>
          <w:color w:val="000000" w:themeColor="text1"/>
        </w:rPr>
        <w:t xml:space="preserve">in </w:t>
      </w:r>
      <w:r w:rsidR="009F6113">
        <w:rPr>
          <w:color w:val="000000" w:themeColor="text1"/>
        </w:rPr>
        <w:t xml:space="preserve">the conduct of </w:t>
      </w:r>
      <w:r w:rsidR="00631C99">
        <w:rPr>
          <w:color w:val="000000" w:themeColor="text1"/>
        </w:rPr>
        <w:t>nuclear forensic examination</w:t>
      </w:r>
      <w:r w:rsidR="009F6113">
        <w:rPr>
          <w:color w:val="000000" w:themeColor="text1"/>
        </w:rPr>
        <w:t>s</w:t>
      </w:r>
      <w:r w:rsidR="00F24C50">
        <w:rPr>
          <w:color w:val="000000" w:themeColor="text1"/>
        </w:rPr>
        <w:t>. Nuclear forensics</w:t>
      </w:r>
      <w:r w:rsidR="00E51EA8">
        <w:rPr>
          <w:color w:val="000000" w:themeColor="text1"/>
        </w:rPr>
        <w:t xml:space="preserve"> </w:t>
      </w:r>
      <w:r w:rsidR="00C050D3">
        <w:rPr>
          <w:color w:val="000000" w:themeColor="text1"/>
        </w:rPr>
        <w:t xml:space="preserve">also </w:t>
      </w:r>
      <w:r w:rsidR="00F24C50">
        <w:rPr>
          <w:color w:val="000000" w:themeColor="text1"/>
        </w:rPr>
        <w:t xml:space="preserve">featured </w:t>
      </w:r>
      <w:r w:rsidR="00C050D3">
        <w:rPr>
          <w:color w:val="000000" w:themeColor="text1"/>
        </w:rPr>
        <w:t xml:space="preserve">in </w:t>
      </w:r>
      <w:r w:rsidR="00631C99">
        <w:rPr>
          <w:color w:val="000000" w:themeColor="text1"/>
        </w:rPr>
        <w:t xml:space="preserve">the </w:t>
      </w:r>
      <w:r w:rsidR="00F24C50">
        <w:rPr>
          <w:color w:val="000000" w:themeColor="text1"/>
        </w:rPr>
        <w:t>President</w:t>
      </w:r>
      <w:r w:rsidR="00631C99">
        <w:rPr>
          <w:color w:val="000000" w:themeColor="text1"/>
        </w:rPr>
        <w:t>’s Summary of</w:t>
      </w:r>
      <w:r w:rsidR="00F24C50">
        <w:rPr>
          <w:color w:val="000000" w:themeColor="text1"/>
        </w:rPr>
        <w:t xml:space="preserve"> the </w:t>
      </w:r>
      <w:r w:rsidR="002C63ED" w:rsidRPr="00AD1EEF">
        <w:rPr>
          <w:iCs/>
          <w:color w:val="000000" w:themeColor="text1"/>
        </w:rPr>
        <w:t>International Conference on</w:t>
      </w:r>
      <w:r w:rsidR="00F24C50" w:rsidRPr="00AD1EEF">
        <w:rPr>
          <w:iCs/>
          <w:color w:val="000000" w:themeColor="text1"/>
        </w:rPr>
        <w:t xml:space="preserve"> Nuclear Security: Enhancing Global Efforts</w:t>
      </w:r>
      <w:r w:rsidR="009F6113">
        <w:rPr>
          <w:color w:val="000000" w:themeColor="text1"/>
        </w:rPr>
        <w:t xml:space="preserve"> organized by the IAEA in Vienna, Austria,</w:t>
      </w:r>
      <w:r w:rsidR="00631C99">
        <w:rPr>
          <w:color w:val="000000" w:themeColor="text1"/>
        </w:rPr>
        <w:t xml:space="preserve"> </w:t>
      </w:r>
      <w:r w:rsidR="009F6113">
        <w:rPr>
          <w:color w:val="000000" w:themeColor="text1"/>
        </w:rPr>
        <w:t xml:space="preserve">from </w:t>
      </w:r>
      <w:r w:rsidR="00631C99">
        <w:rPr>
          <w:color w:val="000000" w:themeColor="text1"/>
        </w:rPr>
        <w:t xml:space="preserve">1 </w:t>
      </w:r>
      <w:r w:rsidR="009F6113">
        <w:rPr>
          <w:color w:val="000000" w:themeColor="text1"/>
        </w:rPr>
        <w:t xml:space="preserve">to </w:t>
      </w:r>
      <w:r w:rsidR="00631C99">
        <w:rPr>
          <w:color w:val="000000" w:themeColor="text1"/>
        </w:rPr>
        <w:t xml:space="preserve">5 July 2013. </w:t>
      </w:r>
      <w:r w:rsidR="009F6113">
        <w:rPr>
          <w:color w:val="000000" w:themeColor="text1"/>
        </w:rPr>
        <w:t xml:space="preserve">That </w:t>
      </w:r>
      <w:r w:rsidR="00F24C50">
        <w:rPr>
          <w:color w:val="000000" w:themeColor="text1"/>
        </w:rPr>
        <w:t xml:space="preserve">conference included a technical session </w:t>
      </w:r>
      <w:r w:rsidR="003A22B8">
        <w:rPr>
          <w:color w:val="000000" w:themeColor="text1"/>
        </w:rPr>
        <w:t xml:space="preserve">on nuclear forensics </w:t>
      </w:r>
      <w:r w:rsidR="00631C99">
        <w:rPr>
          <w:color w:val="000000" w:themeColor="text1"/>
        </w:rPr>
        <w:t xml:space="preserve">where </w:t>
      </w:r>
      <w:r w:rsidR="00C050D3">
        <w:rPr>
          <w:color w:val="000000" w:themeColor="text1"/>
        </w:rPr>
        <w:t xml:space="preserve">15 </w:t>
      </w:r>
      <w:r w:rsidR="00F24C50">
        <w:rPr>
          <w:color w:val="000000" w:themeColor="text1"/>
        </w:rPr>
        <w:t xml:space="preserve">oral </w:t>
      </w:r>
      <w:r w:rsidR="00C050D3">
        <w:rPr>
          <w:color w:val="000000" w:themeColor="text1"/>
        </w:rPr>
        <w:t>and poster presentations</w:t>
      </w:r>
      <w:r w:rsidR="00631C99">
        <w:rPr>
          <w:color w:val="000000" w:themeColor="text1"/>
        </w:rPr>
        <w:t xml:space="preserve"> </w:t>
      </w:r>
      <w:r w:rsidR="009F6113">
        <w:rPr>
          <w:color w:val="000000" w:themeColor="text1"/>
        </w:rPr>
        <w:t xml:space="preserve">as well as </w:t>
      </w:r>
      <w:r w:rsidR="00631C99">
        <w:rPr>
          <w:color w:val="000000" w:themeColor="text1"/>
        </w:rPr>
        <w:t xml:space="preserve">an expert panel described </w:t>
      </w:r>
      <w:r w:rsidR="003A22B8">
        <w:rPr>
          <w:color w:val="000000" w:themeColor="text1"/>
        </w:rPr>
        <w:t xml:space="preserve">the important role </w:t>
      </w:r>
      <w:r w:rsidR="00C050D3">
        <w:rPr>
          <w:color w:val="000000" w:themeColor="text1"/>
        </w:rPr>
        <w:t xml:space="preserve">of nuclear forensics </w:t>
      </w:r>
      <w:r w:rsidR="003A22B8">
        <w:rPr>
          <w:color w:val="000000" w:themeColor="text1"/>
        </w:rPr>
        <w:t xml:space="preserve">in support </w:t>
      </w:r>
      <w:r w:rsidR="00631C99">
        <w:rPr>
          <w:color w:val="000000" w:themeColor="text1"/>
        </w:rPr>
        <w:t xml:space="preserve">of </w:t>
      </w:r>
      <w:r w:rsidR="003A22B8">
        <w:rPr>
          <w:color w:val="000000" w:themeColor="text1"/>
        </w:rPr>
        <w:t>law enforcement and</w:t>
      </w:r>
      <w:r w:rsidR="009F6113">
        <w:rPr>
          <w:color w:val="000000" w:themeColor="text1"/>
        </w:rPr>
        <w:t xml:space="preserve"> the</w:t>
      </w:r>
      <w:r w:rsidR="003A22B8">
        <w:rPr>
          <w:color w:val="000000" w:themeColor="text1"/>
        </w:rPr>
        <w:t xml:space="preserve"> </w:t>
      </w:r>
      <w:r w:rsidR="009F6113">
        <w:rPr>
          <w:color w:val="000000" w:themeColor="text1"/>
        </w:rPr>
        <w:t xml:space="preserve">assessment of </w:t>
      </w:r>
      <w:r w:rsidR="003A22B8">
        <w:rPr>
          <w:color w:val="000000" w:themeColor="text1"/>
        </w:rPr>
        <w:t>nuclear security vulnerabilit</w:t>
      </w:r>
      <w:r w:rsidR="009F6113">
        <w:rPr>
          <w:color w:val="000000" w:themeColor="text1"/>
        </w:rPr>
        <w:t>ies</w:t>
      </w:r>
      <w:r w:rsidR="003A22B8">
        <w:rPr>
          <w:color w:val="000000" w:themeColor="text1"/>
        </w:rPr>
        <w:t>.</w:t>
      </w:r>
    </w:p>
    <w:p w:rsidR="005723AD" w:rsidRPr="0039696D" w:rsidRDefault="00655CD1" w:rsidP="00C358CA">
      <w:pPr>
        <w:pStyle w:val="BodyText"/>
        <w:rPr>
          <w:color w:val="000000" w:themeColor="text1"/>
        </w:rPr>
      </w:pPr>
      <w:r>
        <w:rPr>
          <w:color w:val="000000" w:themeColor="text1"/>
        </w:rPr>
        <w:t>T</w:t>
      </w:r>
      <w:r w:rsidR="007A0040" w:rsidRPr="0039696D">
        <w:rPr>
          <w:color w:val="000000" w:themeColor="text1"/>
        </w:rPr>
        <w:t xml:space="preserve">he </w:t>
      </w:r>
      <w:r w:rsidR="00C47062" w:rsidRPr="0039696D">
        <w:rPr>
          <w:color w:val="000000" w:themeColor="text1"/>
        </w:rPr>
        <w:t>Nuclear Security Plan 2014</w:t>
      </w:r>
      <w:r>
        <w:rPr>
          <w:color w:val="000000" w:themeColor="text1"/>
        </w:rPr>
        <w:t>–</w:t>
      </w:r>
      <w:r w:rsidR="00C47062" w:rsidRPr="0039696D">
        <w:rPr>
          <w:color w:val="000000" w:themeColor="text1"/>
        </w:rPr>
        <w:t>2</w:t>
      </w:r>
      <w:r w:rsidR="00E00945" w:rsidRPr="0039696D">
        <w:rPr>
          <w:color w:val="000000" w:themeColor="text1"/>
        </w:rPr>
        <w:t>017</w:t>
      </w:r>
      <w:r w:rsidR="00C47062" w:rsidRPr="0039696D">
        <w:rPr>
          <w:color w:val="000000" w:themeColor="text1"/>
        </w:rPr>
        <w:t xml:space="preserve">, </w:t>
      </w:r>
      <w:r>
        <w:rPr>
          <w:color w:val="000000" w:themeColor="text1"/>
        </w:rPr>
        <w:t xml:space="preserve">which </w:t>
      </w:r>
      <w:r w:rsidR="00C47062" w:rsidRPr="0039696D">
        <w:rPr>
          <w:color w:val="000000" w:themeColor="text1"/>
        </w:rPr>
        <w:t xml:space="preserve">the IAEA </w:t>
      </w:r>
      <w:r>
        <w:rPr>
          <w:color w:val="000000" w:themeColor="text1"/>
        </w:rPr>
        <w:t xml:space="preserve">is currently working on, </w:t>
      </w:r>
      <w:r w:rsidR="00C94991">
        <w:rPr>
          <w:color w:val="000000" w:themeColor="text1"/>
        </w:rPr>
        <w:t>expects to</w:t>
      </w:r>
      <w:r w:rsidR="00C47062" w:rsidRPr="0039696D">
        <w:rPr>
          <w:color w:val="000000" w:themeColor="text1"/>
        </w:rPr>
        <w:t xml:space="preserve"> reflect the </w:t>
      </w:r>
      <w:r w:rsidR="007052F9" w:rsidRPr="0039696D">
        <w:rPr>
          <w:color w:val="000000" w:themeColor="text1"/>
        </w:rPr>
        <w:t xml:space="preserve">importance </w:t>
      </w:r>
      <w:r w:rsidR="00C47062" w:rsidRPr="0039696D">
        <w:rPr>
          <w:color w:val="000000" w:themeColor="text1"/>
        </w:rPr>
        <w:t xml:space="preserve">of nuclear forensics for </w:t>
      </w:r>
      <w:r>
        <w:rPr>
          <w:color w:val="000000" w:themeColor="text1"/>
        </w:rPr>
        <w:t xml:space="preserve">the </w:t>
      </w:r>
      <w:r w:rsidR="00C47062" w:rsidRPr="0039696D">
        <w:rPr>
          <w:color w:val="000000" w:themeColor="text1"/>
        </w:rPr>
        <w:t xml:space="preserve">effectiveness and sustainability of national nuclear security measures. </w:t>
      </w:r>
      <w:r w:rsidR="002B694C" w:rsidRPr="0039696D">
        <w:rPr>
          <w:color w:val="000000" w:themeColor="text1"/>
        </w:rPr>
        <w:t>Recogni</w:t>
      </w:r>
      <w:r>
        <w:rPr>
          <w:color w:val="000000" w:themeColor="text1"/>
        </w:rPr>
        <w:t>z</w:t>
      </w:r>
      <w:r w:rsidR="002B694C" w:rsidRPr="0039696D">
        <w:rPr>
          <w:color w:val="000000" w:themeColor="text1"/>
        </w:rPr>
        <w:t xml:space="preserve">ing </w:t>
      </w:r>
      <w:r>
        <w:rPr>
          <w:color w:val="000000" w:themeColor="text1"/>
        </w:rPr>
        <w:t xml:space="preserve">the </w:t>
      </w:r>
      <w:r w:rsidR="002B694C" w:rsidRPr="0039696D">
        <w:rPr>
          <w:color w:val="000000" w:themeColor="text1"/>
        </w:rPr>
        <w:t xml:space="preserve">importance of international collaboration in nuclear </w:t>
      </w:r>
      <w:r w:rsidR="002B694C" w:rsidRPr="004D4482">
        <w:t xml:space="preserve">forensics, the </w:t>
      </w:r>
      <w:r>
        <w:t>IAEA</w:t>
      </w:r>
      <w:r w:rsidRPr="004D4482">
        <w:t xml:space="preserve"> </w:t>
      </w:r>
      <w:r w:rsidR="002B694C" w:rsidRPr="004D4482">
        <w:t xml:space="preserve">cooperates with the Global Initiative to Combat Nuclear Terrorism (GICNT) and </w:t>
      </w:r>
      <w:r w:rsidR="003C1ECE">
        <w:t>the</w:t>
      </w:r>
      <w:r w:rsidR="002B694C" w:rsidRPr="004D4482">
        <w:t xml:space="preserve"> ITWG in providing various forms of assistance, including </w:t>
      </w:r>
      <w:r w:rsidR="00C358CA">
        <w:t xml:space="preserve">enhancement of </w:t>
      </w:r>
      <w:r w:rsidR="002B694C" w:rsidRPr="004D4482">
        <w:t xml:space="preserve">awareness, guidance and training. </w:t>
      </w:r>
      <w:r w:rsidR="00DB5BEC">
        <w:t xml:space="preserve">The international community </w:t>
      </w:r>
      <w:r w:rsidR="00C358CA">
        <w:t xml:space="preserve">increasingly </w:t>
      </w:r>
      <w:r w:rsidR="00DB5BEC">
        <w:t xml:space="preserve">recognizes </w:t>
      </w:r>
      <w:r w:rsidR="007C4174">
        <w:t xml:space="preserve">the role of </w:t>
      </w:r>
      <w:r w:rsidR="00DB5BEC" w:rsidRPr="00DB5BEC">
        <w:t xml:space="preserve">nuclear forensics as a deterrent and </w:t>
      </w:r>
      <w:r w:rsidR="00C358CA">
        <w:t xml:space="preserve">as a </w:t>
      </w:r>
      <w:r w:rsidR="009E4CF7">
        <w:t>support</w:t>
      </w:r>
      <w:r w:rsidR="00C358CA">
        <w:t xml:space="preserve"> tool</w:t>
      </w:r>
      <w:r w:rsidR="00DB5BEC" w:rsidRPr="00DB5BEC">
        <w:t xml:space="preserve"> </w:t>
      </w:r>
      <w:r w:rsidR="00C358CA">
        <w:t>in the</w:t>
      </w:r>
      <w:r w:rsidR="009E4CF7">
        <w:t xml:space="preserve"> response</w:t>
      </w:r>
      <w:r w:rsidR="00DB5BEC" w:rsidRPr="00DB5BEC">
        <w:t xml:space="preserve"> </w:t>
      </w:r>
      <w:r w:rsidR="00DB5BEC">
        <w:t>to</w:t>
      </w:r>
      <w:r w:rsidR="00DB5BEC" w:rsidRPr="00DB5BEC">
        <w:t xml:space="preserve"> nuclear security events. </w:t>
      </w:r>
      <w:r w:rsidR="00DB5BEC">
        <w:t>Through t</w:t>
      </w:r>
      <w:r w:rsidR="001F386C">
        <w:t>his</w:t>
      </w:r>
      <w:r w:rsidR="00C55B8D">
        <w:t xml:space="preserve"> international conference on </w:t>
      </w:r>
      <w:r w:rsidR="00C55B8D" w:rsidRPr="0039696D">
        <w:rPr>
          <w:color w:val="000000" w:themeColor="text1"/>
        </w:rPr>
        <w:t xml:space="preserve">nuclear forensics, the </w:t>
      </w:r>
      <w:r w:rsidR="00C358CA">
        <w:rPr>
          <w:color w:val="000000" w:themeColor="text1"/>
        </w:rPr>
        <w:t>IAEA</w:t>
      </w:r>
      <w:r w:rsidR="00C358CA" w:rsidRPr="0039696D">
        <w:rPr>
          <w:color w:val="000000" w:themeColor="text1"/>
        </w:rPr>
        <w:t xml:space="preserve"> </w:t>
      </w:r>
      <w:r w:rsidR="00C55B8D" w:rsidRPr="0039696D">
        <w:rPr>
          <w:color w:val="000000" w:themeColor="text1"/>
        </w:rPr>
        <w:t xml:space="preserve">seeks to facilitate a </w:t>
      </w:r>
      <w:r w:rsidR="00C358CA">
        <w:rPr>
          <w:color w:val="000000" w:themeColor="text1"/>
        </w:rPr>
        <w:t>comprehensive</w:t>
      </w:r>
      <w:r w:rsidR="00C358CA" w:rsidRPr="0039696D">
        <w:rPr>
          <w:color w:val="000000" w:themeColor="text1"/>
        </w:rPr>
        <w:t xml:space="preserve"> exchange</w:t>
      </w:r>
      <w:r w:rsidR="00C358CA">
        <w:rPr>
          <w:color w:val="000000" w:themeColor="text1"/>
        </w:rPr>
        <w:t xml:space="preserve"> of</w:t>
      </w:r>
      <w:r w:rsidR="00C358CA" w:rsidRPr="0039696D">
        <w:rPr>
          <w:color w:val="000000" w:themeColor="text1"/>
        </w:rPr>
        <w:t xml:space="preserve"> </w:t>
      </w:r>
      <w:r w:rsidR="00C55B8D" w:rsidRPr="0039696D">
        <w:rPr>
          <w:color w:val="000000" w:themeColor="text1"/>
        </w:rPr>
        <w:t xml:space="preserve">information on </w:t>
      </w:r>
      <w:r w:rsidR="00C358CA">
        <w:rPr>
          <w:color w:val="000000" w:themeColor="text1"/>
        </w:rPr>
        <w:t xml:space="preserve">relevant </w:t>
      </w:r>
      <w:r w:rsidR="00C55B8D" w:rsidRPr="0039696D">
        <w:rPr>
          <w:color w:val="000000" w:themeColor="text1"/>
        </w:rPr>
        <w:lastRenderedPageBreak/>
        <w:t xml:space="preserve">new technologies and techniques, as well as </w:t>
      </w:r>
      <w:r w:rsidR="00C358CA">
        <w:rPr>
          <w:color w:val="000000" w:themeColor="text1"/>
        </w:rPr>
        <w:t xml:space="preserve">to </w:t>
      </w:r>
      <w:r w:rsidR="00DB5BEC" w:rsidRPr="0039696D">
        <w:rPr>
          <w:color w:val="000000" w:themeColor="text1"/>
        </w:rPr>
        <w:t xml:space="preserve">address </w:t>
      </w:r>
      <w:r w:rsidR="00C55B8D" w:rsidRPr="0039696D">
        <w:rPr>
          <w:color w:val="000000" w:themeColor="text1"/>
        </w:rPr>
        <w:t>other achievements</w:t>
      </w:r>
      <w:r w:rsidR="001F386C" w:rsidRPr="0039696D">
        <w:rPr>
          <w:color w:val="000000" w:themeColor="text1"/>
        </w:rPr>
        <w:t xml:space="preserve"> in</w:t>
      </w:r>
      <w:r w:rsidR="00DB5BEC" w:rsidRPr="0039696D">
        <w:rPr>
          <w:color w:val="000000" w:themeColor="text1"/>
        </w:rPr>
        <w:t xml:space="preserve"> the</w:t>
      </w:r>
      <w:r w:rsidR="001F386C" w:rsidRPr="0039696D">
        <w:rPr>
          <w:color w:val="000000" w:themeColor="text1"/>
        </w:rPr>
        <w:t xml:space="preserve"> application of nuclear forensics</w:t>
      </w:r>
      <w:r w:rsidR="007C4174">
        <w:rPr>
          <w:color w:val="000000" w:themeColor="text1"/>
        </w:rPr>
        <w:t>.</w:t>
      </w:r>
    </w:p>
    <w:p w:rsidR="00733D7D" w:rsidRDefault="00733D7D" w:rsidP="00D31D6F">
      <w:pPr>
        <w:pStyle w:val="Heading1"/>
        <w:keepNext/>
        <w:keepLines/>
        <w:spacing w:before="840" w:after="360"/>
      </w:pPr>
      <w:r>
        <w:t>Objective</w:t>
      </w:r>
      <w:r w:rsidR="00AD20E1">
        <w:t>s</w:t>
      </w:r>
      <w:r w:rsidR="00AE19FA">
        <w:t xml:space="preserve"> of the Conference</w:t>
      </w:r>
    </w:p>
    <w:p w:rsidR="005A7152" w:rsidRDefault="00502A95" w:rsidP="00D31D6F">
      <w:pPr>
        <w:pStyle w:val="BodyText"/>
        <w:keepNext/>
        <w:keepLines/>
      </w:pPr>
      <w:r>
        <w:t xml:space="preserve">The objectives </w:t>
      </w:r>
      <w:r w:rsidR="001652E3">
        <w:t xml:space="preserve">of the </w:t>
      </w:r>
      <w:r w:rsidR="00C358CA">
        <w:t>c</w:t>
      </w:r>
      <w:r w:rsidR="001652E3">
        <w:t>onference are</w:t>
      </w:r>
      <w:r w:rsidR="00E51EA8">
        <w:t xml:space="preserve"> to</w:t>
      </w:r>
      <w:r w:rsidR="001652E3">
        <w:t>:</w:t>
      </w:r>
    </w:p>
    <w:p w:rsidR="001652E3" w:rsidRPr="00E35E54" w:rsidRDefault="006F0023" w:rsidP="001652E3">
      <w:pPr>
        <w:pStyle w:val="BodyText"/>
        <w:numPr>
          <w:ilvl w:val="0"/>
          <w:numId w:val="27"/>
        </w:numPr>
      </w:pPr>
      <w:r>
        <w:t>R</w:t>
      </w:r>
      <w:r w:rsidR="001652E3" w:rsidRPr="00E35E54">
        <w:t>eview</w:t>
      </w:r>
      <w:r w:rsidR="00B85D98" w:rsidRPr="00E35E54">
        <w:t xml:space="preserve"> the</w:t>
      </w:r>
      <w:r w:rsidR="001652E3" w:rsidRPr="00E35E54">
        <w:t xml:space="preserve"> </w:t>
      </w:r>
      <w:r w:rsidR="00B85D98" w:rsidRPr="00E35E54">
        <w:t>role</w:t>
      </w:r>
      <w:r w:rsidR="001652E3" w:rsidRPr="00E35E54">
        <w:t xml:space="preserve"> of nuclear forensics </w:t>
      </w:r>
      <w:r w:rsidR="00B85D98" w:rsidRPr="00E35E54">
        <w:t>as a</w:t>
      </w:r>
      <w:r w:rsidR="00AD6D5A">
        <w:t>n</w:t>
      </w:r>
      <w:r w:rsidR="00B85D98" w:rsidRPr="00E35E54">
        <w:t xml:space="preserve"> </w:t>
      </w:r>
      <w:r w:rsidR="00AD6D5A">
        <w:t>essential</w:t>
      </w:r>
      <w:r w:rsidR="00B85D98" w:rsidRPr="00E35E54">
        <w:t xml:space="preserve"> </w:t>
      </w:r>
      <w:r w:rsidR="00AD6D5A">
        <w:t>element</w:t>
      </w:r>
      <w:r w:rsidR="00B85D98" w:rsidRPr="00E35E54">
        <w:t xml:space="preserve"> of</w:t>
      </w:r>
      <w:r w:rsidR="00AD6D5A">
        <w:t xml:space="preserve"> a</w:t>
      </w:r>
      <w:r w:rsidR="00B85D98" w:rsidRPr="00E35E54">
        <w:t xml:space="preserve"> </w:t>
      </w:r>
      <w:r w:rsidR="001652E3" w:rsidRPr="00E35E54">
        <w:t xml:space="preserve">national nuclear security </w:t>
      </w:r>
      <w:r w:rsidR="00B85D98" w:rsidRPr="00E35E54">
        <w:t>infrastructure</w:t>
      </w:r>
      <w:r w:rsidR="009E3C6D">
        <w:t>;</w:t>
      </w:r>
    </w:p>
    <w:p w:rsidR="001652E3" w:rsidRPr="00E35E54" w:rsidRDefault="006F0023" w:rsidP="00C358CA">
      <w:pPr>
        <w:pStyle w:val="BodyText"/>
        <w:numPr>
          <w:ilvl w:val="0"/>
          <w:numId w:val="27"/>
        </w:numPr>
      </w:pPr>
      <w:r>
        <w:t>P</w:t>
      </w:r>
      <w:r w:rsidR="002A3BE7">
        <w:t xml:space="preserve">resent </w:t>
      </w:r>
      <w:r w:rsidR="000E4618" w:rsidRPr="00E35E54">
        <w:t>recent</w:t>
      </w:r>
      <w:r w:rsidR="001652E3" w:rsidRPr="00E35E54">
        <w:t xml:space="preserve"> </w:t>
      </w:r>
      <w:r w:rsidR="00AD6D5A">
        <w:t>scientific achievements and</w:t>
      </w:r>
      <w:r w:rsidR="002A3BE7">
        <w:t xml:space="preserve"> </w:t>
      </w:r>
      <w:r w:rsidR="002A3BE7" w:rsidRPr="00E35E54">
        <w:t>exchange</w:t>
      </w:r>
      <w:r w:rsidR="00AD6D5A">
        <w:t xml:space="preserve"> </w:t>
      </w:r>
      <w:r w:rsidR="002A3BE7">
        <w:t xml:space="preserve">experience </w:t>
      </w:r>
      <w:r w:rsidR="00D352FF">
        <w:t xml:space="preserve">and lessons learned </w:t>
      </w:r>
      <w:r w:rsidR="00C358CA">
        <w:t xml:space="preserve">related to </w:t>
      </w:r>
      <w:r w:rsidR="002A3BE7">
        <w:t xml:space="preserve">the </w:t>
      </w:r>
      <w:r w:rsidR="001652E3" w:rsidRPr="00E35E54">
        <w:t>application of nuclear forensics</w:t>
      </w:r>
      <w:r w:rsidR="009E3C6D">
        <w:t>;</w:t>
      </w:r>
    </w:p>
    <w:p w:rsidR="001652E3" w:rsidRPr="00E35E54" w:rsidRDefault="006F0023" w:rsidP="001652E3">
      <w:pPr>
        <w:pStyle w:val="BodyText"/>
        <w:numPr>
          <w:ilvl w:val="0"/>
          <w:numId w:val="27"/>
        </w:numPr>
      </w:pPr>
      <w:r>
        <w:t>R</w:t>
      </w:r>
      <w:r w:rsidR="00146922">
        <w:t>eview current practices in</w:t>
      </w:r>
      <w:r w:rsidR="001652E3" w:rsidRPr="00E35E54">
        <w:t xml:space="preserve"> nuclear forensics and </w:t>
      </w:r>
      <w:r w:rsidR="00B77B8E" w:rsidRPr="00E35E54">
        <w:t>identify advance</w:t>
      </w:r>
      <w:r w:rsidR="00363484">
        <w:t>s in</w:t>
      </w:r>
      <w:r w:rsidR="00B77B8E" w:rsidRPr="00E35E54">
        <w:t xml:space="preserve"> analytical tools</w:t>
      </w:r>
      <w:r w:rsidR="009E3C6D">
        <w:t>;</w:t>
      </w:r>
    </w:p>
    <w:p w:rsidR="00B77B8E" w:rsidRPr="00E35E54" w:rsidRDefault="006F0023" w:rsidP="00455CA7">
      <w:pPr>
        <w:pStyle w:val="BodyText"/>
        <w:numPr>
          <w:ilvl w:val="0"/>
          <w:numId w:val="27"/>
        </w:numPr>
      </w:pPr>
      <w:r>
        <w:t>D</w:t>
      </w:r>
      <w:r w:rsidR="00B77B8E" w:rsidRPr="00E35E54">
        <w:t xml:space="preserve">iscuss </w:t>
      </w:r>
      <w:r w:rsidR="00C358CA">
        <w:t>ways</w:t>
      </w:r>
      <w:r w:rsidR="00C358CA" w:rsidRPr="00E35E54">
        <w:t xml:space="preserve"> </w:t>
      </w:r>
      <w:r w:rsidR="00C358CA">
        <w:t>of strengthening</w:t>
      </w:r>
      <w:r w:rsidR="00C358CA" w:rsidRPr="00E35E54">
        <w:t xml:space="preserve"> </w:t>
      </w:r>
      <w:r w:rsidR="00B77B8E" w:rsidRPr="00E35E54">
        <w:t xml:space="preserve">nuclear forensics </w:t>
      </w:r>
      <w:r w:rsidR="00146922">
        <w:t>capabilities</w:t>
      </w:r>
      <w:r w:rsidR="00363484">
        <w:t xml:space="preserve"> and capacity building</w:t>
      </w:r>
      <w:r w:rsidR="00C358CA">
        <w:t xml:space="preserve"> in order</w:t>
      </w:r>
      <w:r w:rsidR="00B77B8E" w:rsidRPr="00E35E54">
        <w:t xml:space="preserve"> to ensure </w:t>
      </w:r>
      <w:r w:rsidR="00455CA7">
        <w:t>the</w:t>
      </w:r>
      <w:r w:rsidR="00455CA7" w:rsidRPr="00E35E54">
        <w:t xml:space="preserve"> </w:t>
      </w:r>
      <w:r w:rsidR="00455CA7">
        <w:t>implementation</w:t>
      </w:r>
      <w:r w:rsidR="00455CA7" w:rsidRPr="00E35E54">
        <w:t xml:space="preserve"> </w:t>
      </w:r>
      <w:r w:rsidR="00B77B8E" w:rsidRPr="00E35E54">
        <w:t>and sustainability</w:t>
      </w:r>
      <w:r w:rsidR="00455CA7">
        <w:t xml:space="preserve"> of national nuclear forensics programmes</w:t>
      </w:r>
      <w:r w:rsidR="009E3C6D">
        <w:t>;</w:t>
      </w:r>
      <w:r w:rsidR="00C358CA">
        <w:t xml:space="preserve"> </w:t>
      </w:r>
    </w:p>
    <w:p w:rsidR="00083555" w:rsidRDefault="006F0023" w:rsidP="006F0023">
      <w:pPr>
        <w:pStyle w:val="BodyText"/>
        <w:numPr>
          <w:ilvl w:val="0"/>
          <w:numId w:val="27"/>
        </w:numPr>
      </w:pPr>
      <w:r>
        <w:t>P</w:t>
      </w:r>
      <w:r w:rsidR="001652E3" w:rsidRPr="00E35E54">
        <w:t xml:space="preserve">ropose and discuss </w:t>
      </w:r>
      <w:r w:rsidR="00455CA7">
        <w:t>mechanisms for</w:t>
      </w:r>
      <w:r w:rsidR="00BB214B" w:rsidRPr="00E35E54">
        <w:t xml:space="preserve"> </w:t>
      </w:r>
      <w:r w:rsidR="00455CA7">
        <w:t xml:space="preserve">achieving </w:t>
      </w:r>
      <w:r w:rsidR="00BB214B" w:rsidRPr="00E35E54">
        <w:t>further</w:t>
      </w:r>
      <w:r w:rsidR="001652E3" w:rsidRPr="00E35E54">
        <w:t xml:space="preserve"> international</w:t>
      </w:r>
      <w:r w:rsidR="00146922">
        <w:t xml:space="preserve"> and regional </w:t>
      </w:r>
      <w:r w:rsidR="001652E3" w:rsidRPr="00E35E54">
        <w:t>cooperation</w:t>
      </w:r>
      <w:r w:rsidR="00083555">
        <w:t xml:space="preserve"> in the area of nuclear forensics</w:t>
      </w:r>
      <w:r>
        <w:t>;</w:t>
      </w:r>
      <w:r w:rsidR="00083555">
        <w:t xml:space="preserve"> and</w:t>
      </w:r>
    </w:p>
    <w:p w:rsidR="001652E3" w:rsidRPr="00E35E54" w:rsidRDefault="006F0023" w:rsidP="006F0023">
      <w:pPr>
        <w:pStyle w:val="BodyText"/>
        <w:numPr>
          <w:ilvl w:val="0"/>
          <w:numId w:val="27"/>
        </w:numPr>
      </w:pPr>
      <w:r>
        <w:t>E</w:t>
      </w:r>
      <w:r w:rsidR="00083555">
        <w:t>nhance IAEA support to Member States that request assistance in developing nuclear forensics capabilit</w:t>
      </w:r>
      <w:r>
        <w:t>ies</w:t>
      </w:r>
      <w:r w:rsidR="00083555">
        <w:t>.</w:t>
      </w:r>
    </w:p>
    <w:p w:rsidR="00733D7D" w:rsidRPr="00E35E54" w:rsidRDefault="00AE19FA" w:rsidP="005137FE">
      <w:pPr>
        <w:pStyle w:val="Heading1"/>
        <w:spacing w:before="840" w:after="360"/>
      </w:pPr>
      <w:r w:rsidRPr="00E35E54">
        <w:t xml:space="preserve">List of </w:t>
      </w:r>
      <w:r w:rsidR="00733D7D" w:rsidRPr="00E35E54">
        <w:t>Topics</w:t>
      </w:r>
    </w:p>
    <w:p w:rsidR="00E02D1C" w:rsidRDefault="00A37F42" w:rsidP="00621156">
      <w:pPr>
        <w:pStyle w:val="BodyText"/>
      </w:pPr>
      <w:r w:rsidRPr="00A37F42">
        <w:t xml:space="preserve">The </w:t>
      </w:r>
      <w:r w:rsidR="00455CA7">
        <w:t xml:space="preserve">following is a </w:t>
      </w:r>
      <w:r w:rsidR="00455CA7" w:rsidRPr="00E35E54">
        <w:t xml:space="preserve">provisional </w:t>
      </w:r>
      <w:r w:rsidR="00455CA7">
        <w:t xml:space="preserve">list of </w:t>
      </w:r>
      <w:r w:rsidR="00455CA7" w:rsidRPr="00E35E54">
        <w:t>the topics</w:t>
      </w:r>
      <w:r w:rsidR="00455CA7">
        <w:t xml:space="preserve"> to be addressed at the </w:t>
      </w:r>
      <w:r w:rsidRPr="00A37F42">
        <w:t>conference</w:t>
      </w:r>
      <w:r w:rsidRPr="00E35E54">
        <w:t>:</w:t>
      </w:r>
    </w:p>
    <w:p w:rsidR="00C82B42" w:rsidRPr="00D31D6F" w:rsidRDefault="009E3C6D" w:rsidP="00D31D6F">
      <w:pPr>
        <w:pStyle w:val="ListParagraph"/>
        <w:ind w:left="426"/>
        <w:jc w:val="both"/>
        <w:rPr>
          <w:rFonts w:ascii="Times New Roman" w:hAnsi="Times New Roman" w:cs="Times New Roman"/>
          <w:b/>
          <w:bCs/>
        </w:rPr>
      </w:pPr>
      <w:r w:rsidRPr="00D31D6F">
        <w:rPr>
          <w:rFonts w:ascii="Times New Roman" w:hAnsi="Times New Roman" w:cs="Times New Roman"/>
          <w:b/>
          <w:bCs/>
        </w:rPr>
        <w:t xml:space="preserve">Opening </w:t>
      </w:r>
      <w:r w:rsidR="00455CA7">
        <w:rPr>
          <w:rFonts w:ascii="Times New Roman" w:hAnsi="Times New Roman" w:cs="Times New Roman"/>
          <w:b/>
          <w:bCs/>
        </w:rPr>
        <w:t>S</w:t>
      </w:r>
      <w:r w:rsidRPr="00D31D6F">
        <w:rPr>
          <w:rFonts w:ascii="Times New Roman" w:hAnsi="Times New Roman" w:cs="Times New Roman"/>
          <w:b/>
          <w:bCs/>
        </w:rPr>
        <w:t xml:space="preserve">ession: </w:t>
      </w:r>
      <w:r w:rsidR="00C82B42" w:rsidRPr="00D31D6F">
        <w:rPr>
          <w:rFonts w:ascii="Times New Roman" w:hAnsi="Times New Roman" w:cs="Times New Roman"/>
          <w:b/>
          <w:bCs/>
        </w:rPr>
        <w:t xml:space="preserve">The </w:t>
      </w:r>
      <w:r w:rsidR="00455CA7" w:rsidRPr="00D31D6F">
        <w:rPr>
          <w:rFonts w:ascii="Times New Roman" w:hAnsi="Times New Roman" w:cs="Times New Roman"/>
          <w:b/>
          <w:bCs/>
        </w:rPr>
        <w:t>H</w:t>
      </w:r>
      <w:r w:rsidR="00C82B42" w:rsidRPr="00D31D6F">
        <w:rPr>
          <w:rFonts w:ascii="Times New Roman" w:hAnsi="Times New Roman" w:cs="Times New Roman"/>
          <w:b/>
          <w:bCs/>
        </w:rPr>
        <w:t xml:space="preserve">istorical </w:t>
      </w:r>
      <w:r w:rsidR="00455CA7" w:rsidRPr="00D31D6F">
        <w:rPr>
          <w:rFonts w:ascii="Times New Roman" w:hAnsi="Times New Roman" w:cs="Times New Roman"/>
          <w:b/>
          <w:bCs/>
        </w:rPr>
        <w:t>E</w:t>
      </w:r>
      <w:r w:rsidR="00C82B42" w:rsidRPr="00D31D6F">
        <w:rPr>
          <w:rFonts w:ascii="Times New Roman" w:hAnsi="Times New Roman" w:cs="Times New Roman"/>
          <w:b/>
          <w:bCs/>
        </w:rPr>
        <w:t xml:space="preserve">volution of </w:t>
      </w:r>
      <w:r w:rsidR="00455CA7" w:rsidRPr="00D31D6F">
        <w:rPr>
          <w:rFonts w:ascii="Times New Roman" w:hAnsi="Times New Roman" w:cs="Times New Roman"/>
          <w:b/>
          <w:bCs/>
        </w:rPr>
        <w:t>N</w:t>
      </w:r>
      <w:r w:rsidR="00C82B42" w:rsidRPr="00D31D6F">
        <w:rPr>
          <w:rFonts w:ascii="Times New Roman" w:hAnsi="Times New Roman" w:cs="Times New Roman"/>
          <w:b/>
          <w:bCs/>
        </w:rPr>
        <w:t xml:space="preserve">uclear </w:t>
      </w:r>
      <w:r w:rsidR="00455CA7" w:rsidRPr="00D31D6F">
        <w:rPr>
          <w:rFonts w:ascii="Times New Roman" w:hAnsi="Times New Roman" w:cs="Times New Roman"/>
          <w:b/>
          <w:bCs/>
        </w:rPr>
        <w:t>F</w:t>
      </w:r>
      <w:r w:rsidR="00C82B42" w:rsidRPr="00D31D6F">
        <w:rPr>
          <w:rFonts w:ascii="Times New Roman" w:hAnsi="Times New Roman" w:cs="Times New Roman"/>
          <w:b/>
          <w:bCs/>
        </w:rPr>
        <w:t>orensics</w:t>
      </w:r>
    </w:p>
    <w:p w:rsidR="00C82B42" w:rsidRPr="00E35E54" w:rsidRDefault="00C82B42" w:rsidP="00D31D6F">
      <w:pPr>
        <w:pStyle w:val="ListParagraph"/>
        <w:ind w:left="426"/>
        <w:jc w:val="both"/>
        <w:rPr>
          <w:rFonts w:ascii="Times New Roman" w:hAnsi="Times New Roman" w:cs="Times New Roman"/>
        </w:rPr>
      </w:pPr>
    </w:p>
    <w:p w:rsidR="00E7559B" w:rsidRPr="00D31D6F" w:rsidRDefault="009E3C6D" w:rsidP="00D31D6F">
      <w:pPr>
        <w:pStyle w:val="ListParagraph"/>
        <w:numPr>
          <w:ilvl w:val="0"/>
          <w:numId w:val="26"/>
        </w:numPr>
        <w:jc w:val="both"/>
        <w:rPr>
          <w:rFonts w:ascii="Times New Roman" w:hAnsi="Times New Roman" w:cs="Times New Roman"/>
          <w:b/>
          <w:bCs/>
        </w:rPr>
      </w:pPr>
      <w:r w:rsidRPr="00D31D6F">
        <w:rPr>
          <w:rFonts w:ascii="Times New Roman" w:hAnsi="Times New Roman" w:cs="Times New Roman"/>
          <w:b/>
          <w:bCs/>
        </w:rPr>
        <w:t xml:space="preserve">Nuclear </w:t>
      </w:r>
      <w:r w:rsidR="00455CA7">
        <w:rPr>
          <w:rFonts w:ascii="Times New Roman" w:hAnsi="Times New Roman" w:cs="Times New Roman"/>
          <w:b/>
          <w:bCs/>
        </w:rPr>
        <w:t>F</w:t>
      </w:r>
      <w:r w:rsidRPr="00D31D6F">
        <w:rPr>
          <w:rFonts w:ascii="Times New Roman" w:hAnsi="Times New Roman" w:cs="Times New Roman"/>
          <w:b/>
          <w:bCs/>
        </w:rPr>
        <w:t xml:space="preserve">orensics within a </w:t>
      </w:r>
      <w:r w:rsidR="00455CA7">
        <w:rPr>
          <w:rFonts w:ascii="Times New Roman" w:hAnsi="Times New Roman" w:cs="Times New Roman"/>
          <w:b/>
          <w:bCs/>
        </w:rPr>
        <w:t>N</w:t>
      </w:r>
      <w:r w:rsidRPr="00D31D6F">
        <w:rPr>
          <w:rFonts w:ascii="Times New Roman" w:hAnsi="Times New Roman" w:cs="Times New Roman"/>
          <w:b/>
          <w:bCs/>
        </w:rPr>
        <w:t xml:space="preserve">ational </w:t>
      </w:r>
      <w:r w:rsidR="00455CA7">
        <w:rPr>
          <w:rFonts w:ascii="Times New Roman" w:hAnsi="Times New Roman" w:cs="Times New Roman"/>
          <w:b/>
          <w:bCs/>
        </w:rPr>
        <w:t>N</w:t>
      </w:r>
      <w:r w:rsidRPr="00D31D6F">
        <w:rPr>
          <w:rFonts w:ascii="Times New Roman" w:hAnsi="Times New Roman" w:cs="Times New Roman"/>
          <w:b/>
          <w:bCs/>
        </w:rPr>
        <w:t xml:space="preserve">uclear </w:t>
      </w:r>
      <w:r w:rsidR="00455CA7">
        <w:rPr>
          <w:rFonts w:ascii="Times New Roman" w:hAnsi="Times New Roman" w:cs="Times New Roman"/>
          <w:b/>
          <w:bCs/>
        </w:rPr>
        <w:t>S</w:t>
      </w:r>
      <w:r w:rsidRPr="00D31D6F">
        <w:rPr>
          <w:rFonts w:ascii="Times New Roman" w:hAnsi="Times New Roman" w:cs="Times New Roman"/>
          <w:b/>
          <w:bCs/>
        </w:rPr>
        <w:t xml:space="preserve">ecurity </w:t>
      </w:r>
      <w:r w:rsidR="00455CA7">
        <w:rPr>
          <w:rFonts w:ascii="Times New Roman" w:hAnsi="Times New Roman" w:cs="Times New Roman"/>
          <w:b/>
          <w:bCs/>
        </w:rPr>
        <w:t>I</w:t>
      </w:r>
      <w:r w:rsidRPr="00D31D6F">
        <w:rPr>
          <w:rFonts w:ascii="Times New Roman" w:hAnsi="Times New Roman" w:cs="Times New Roman"/>
          <w:b/>
          <w:bCs/>
        </w:rPr>
        <w:t>nfrastructure</w:t>
      </w:r>
    </w:p>
    <w:p w:rsidR="00672AAD" w:rsidRDefault="009E3C6D" w:rsidP="00D31D6F">
      <w:pPr>
        <w:pStyle w:val="ListParagraph"/>
        <w:numPr>
          <w:ilvl w:val="1"/>
          <w:numId w:val="26"/>
        </w:numPr>
        <w:jc w:val="both"/>
        <w:rPr>
          <w:rFonts w:ascii="Times New Roman" w:hAnsi="Times New Roman" w:cs="Times New Roman"/>
        </w:rPr>
      </w:pPr>
      <w:r>
        <w:rPr>
          <w:rFonts w:ascii="Times New Roman" w:hAnsi="Times New Roman" w:cs="Times New Roman"/>
        </w:rPr>
        <w:t>The role of nuclear forensics</w:t>
      </w:r>
    </w:p>
    <w:p w:rsidR="00250AB6" w:rsidRPr="00621156" w:rsidRDefault="009E3C6D" w:rsidP="00D31D6F">
      <w:pPr>
        <w:pStyle w:val="ListParagraph"/>
        <w:numPr>
          <w:ilvl w:val="2"/>
          <w:numId w:val="26"/>
        </w:numPr>
        <w:ind w:left="1530" w:hanging="270"/>
        <w:jc w:val="both"/>
        <w:rPr>
          <w:rFonts w:ascii="Times New Roman" w:hAnsi="Times New Roman" w:cs="Times New Roman"/>
        </w:rPr>
      </w:pPr>
      <w:r w:rsidRPr="00621156">
        <w:rPr>
          <w:rFonts w:ascii="Times New Roman" w:hAnsi="Times New Roman" w:cs="Times New Roman"/>
        </w:rPr>
        <w:t>Threat of nuclear and other radioactive materials out of regulatory control: nuclear smuggling, orphan sources</w:t>
      </w:r>
    </w:p>
    <w:p w:rsidR="00C82B42" w:rsidRPr="00E35E54" w:rsidRDefault="00621156" w:rsidP="00D31D6F">
      <w:pPr>
        <w:pStyle w:val="ListParagraph"/>
        <w:numPr>
          <w:ilvl w:val="1"/>
          <w:numId w:val="26"/>
        </w:numPr>
        <w:jc w:val="both"/>
        <w:rPr>
          <w:rFonts w:ascii="Times New Roman" w:hAnsi="Times New Roman" w:cs="Times New Roman"/>
        </w:rPr>
      </w:pPr>
      <w:r>
        <w:rPr>
          <w:rFonts w:ascii="Times New Roman" w:hAnsi="Times New Roman" w:cs="Times New Roman"/>
        </w:rPr>
        <w:t xml:space="preserve">The IAEA’s </w:t>
      </w:r>
      <w:r w:rsidR="009E3C6D">
        <w:rPr>
          <w:rFonts w:ascii="Times New Roman" w:hAnsi="Times New Roman" w:cs="Times New Roman"/>
        </w:rPr>
        <w:t>I</w:t>
      </w:r>
      <w:r w:rsidR="009E3C6D" w:rsidRPr="00E35E54">
        <w:rPr>
          <w:rFonts w:ascii="Times New Roman" w:hAnsi="Times New Roman" w:cs="Times New Roman"/>
        </w:rPr>
        <w:t>ncident</w:t>
      </w:r>
      <w:r w:rsidR="009E3C6D">
        <w:rPr>
          <w:rFonts w:ascii="Times New Roman" w:hAnsi="Times New Roman" w:cs="Times New Roman"/>
        </w:rPr>
        <w:t xml:space="preserve"> and</w:t>
      </w:r>
      <w:r w:rsidR="009E3C6D" w:rsidRPr="00E35E54">
        <w:rPr>
          <w:rFonts w:ascii="Times New Roman" w:hAnsi="Times New Roman" w:cs="Times New Roman"/>
        </w:rPr>
        <w:t xml:space="preserve"> </w:t>
      </w:r>
      <w:r>
        <w:rPr>
          <w:rFonts w:ascii="Times New Roman" w:hAnsi="Times New Roman" w:cs="Times New Roman"/>
        </w:rPr>
        <w:t>T</w:t>
      </w:r>
      <w:r w:rsidR="009E3C6D" w:rsidRPr="00E35E54">
        <w:rPr>
          <w:rFonts w:ascii="Times New Roman" w:hAnsi="Times New Roman" w:cs="Times New Roman"/>
        </w:rPr>
        <w:t xml:space="preserve">rafficking </w:t>
      </w:r>
      <w:r>
        <w:rPr>
          <w:rFonts w:ascii="Times New Roman" w:hAnsi="Times New Roman" w:cs="Times New Roman"/>
        </w:rPr>
        <w:t>D</w:t>
      </w:r>
      <w:r w:rsidR="009E3C6D" w:rsidRPr="00E35E54">
        <w:rPr>
          <w:rFonts w:ascii="Times New Roman" w:hAnsi="Times New Roman" w:cs="Times New Roman"/>
        </w:rPr>
        <w:t>atabase (</w:t>
      </w:r>
      <w:r w:rsidR="007C4174" w:rsidRPr="00E35E54">
        <w:rPr>
          <w:rFonts w:ascii="Times New Roman" w:hAnsi="Times New Roman" w:cs="Times New Roman"/>
        </w:rPr>
        <w:t>ITDB</w:t>
      </w:r>
      <w:r w:rsidR="009E3C6D" w:rsidRPr="00E35E54">
        <w:rPr>
          <w:rFonts w:ascii="Times New Roman" w:hAnsi="Times New Roman" w:cs="Times New Roman"/>
        </w:rPr>
        <w:t>) findings and lessons</w:t>
      </w:r>
      <w:r w:rsidR="00383F53">
        <w:rPr>
          <w:rFonts w:ascii="Times New Roman" w:hAnsi="Times New Roman" w:cs="Times New Roman"/>
        </w:rPr>
        <w:t xml:space="preserve"> learned</w:t>
      </w:r>
    </w:p>
    <w:p w:rsidR="00E7559B" w:rsidRDefault="009E3C6D" w:rsidP="00D31D6F">
      <w:pPr>
        <w:pStyle w:val="ListParagraph"/>
        <w:numPr>
          <w:ilvl w:val="1"/>
          <w:numId w:val="26"/>
        </w:numPr>
        <w:jc w:val="both"/>
        <w:rPr>
          <w:rFonts w:ascii="Times New Roman" w:hAnsi="Times New Roman" w:cs="Times New Roman"/>
        </w:rPr>
      </w:pPr>
      <w:r>
        <w:rPr>
          <w:rFonts w:ascii="Times New Roman" w:hAnsi="Times New Roman" w:cs="Times New Roman"/>
        </w:rPr>
        <w:t>Nuclear f</w:t>
      </w:r>
      <w:r w:rsidRPr="00E35E54">
        <w:rPr>
          <w:rFonts w:ascii="Times New Roman" w:hAnsi="Times New Roman" w:cs="Times New Roman"/>
        </w:rPr>
        <w:t xml:space="preserve">orensics </w:t>
      </w:r>
      <w:r>
        <w:rPr>
          <w:rFonts w:ascii="Times New Roman" w:hAnsi="Times New Roman" w:cs="Times New Roman"/>
        </w:rPr>
        <w:t>a</w:t>
      </w:r>
      <w:r w:rsidRPr="00E35E54">
        <w:rPr>
          <w:rFonts w:ascii="Times New Roman" w:hAnsi="Times New Roman" w:cs="Times New Roman"/>
        </w:rPr>
        <w:t xml:space="preserve">wareness and </w:t>
      </w:r>
      <w:r>
        <w:rPr>
          <w:rFonts w:ascii="Times New Roman" w:hAnsi="Times New Roman" w:cs="Times New Roman"/>
        </w:rPr>
        <w:t>u</w:t>
      </w:r>
      <w:r w:rsidRPr="00E35E54">
        <w:rPr>
          <w:rFonts w:ascii="Times New Roman" w:hAnsi="Times New Roman" w:cs="Times New Roman"/>
        </w:rPr>
        <w:t>nderstanding</w:t>
      </w:r>
    </w:p>
    <w:p w:rsidR="00E7559B" w:rsidRPr="00C82B42" w:rsidRDefault="009E3C6D" w:rsidP="00D31D6F">
      <w:pPr>
        <w:pStyle w:val="ListParagraph"/>
        <w:numPr>
          <w:ilvl w:val="1"/>
          <w:numId w:val="26"/>
        </w:numPr>
        <w:jc w:val="both"/>
        <w:rPr>
          <w:rFonts w:ascii="Times New Roman" w:hAnsi="Times New Roman" w:cs="Times New Roman"/>
        </w:rPr>
      </w:pPr>
      <w:r>
        <w:rPr>
          <w:rFonts w:ascii="Times New Roman" w:hAnsi="Times New Roman" w:cs="Times New Roman"/>
        </w:rPr>
        <w:t>N</w:t>
      </w:r>
      <w:r w:rsidRPr="00C82B42">
        <w:rPr>
          <w:rFonts w:ascii="Times New Roman" w:hAnsi="Times New Roman" w:cs="Times New Roman"/>
        </w:rPr>
        <w:t>ational framework for implementing nuclear forensics capabilit</w:t>
      </w:r>
      <w:r w:rsidR="00621156">
        <w:rPr>
          <w:rFonts w:ascii="Times New Roman" w:hAnsi="Times New Roman" w:cs="Times New Roman"/>
        </w:rPr>
        <w:t>ies</w:t>
      </w:r>
    </w:p>
    <w:p w:rsidR="00E7559B" w:rsidRPr="00E35E54" w:rsidRDefault="009E3C6D" w:rsidP="00D31D6F">
      <w:pPr>
        <w:pStyle w:val="ListParagraph"/>
        <w:numPr>
          <w:ilvl w:val="1"/>
          <w:numId w:val="26"/>
        </w:numPr>
        <w:ind w:left="1077" w:hanging="357"/>
        <w:contextualSpacing w:val="0"/>
        <w:jc w:val="both"/>
        <w:rPr>
          <w:rFonts w:ascii="Times New Roman" w:hAnsi="Times New Roman" w:cs="Times New Roman"/>
        </w:rPr>
      </w:pPr>
      <w:r>
        <w:rPr>
          <w:rFonts w:ascii="Times New Roman" w:hAnsi="Times New Roman" w:cs="Times New Roman"/>
        </w:rPr>
        <w:t>I</w:t>
      </w:r>
      <w:r w:rsidRPr="00E35E54">
        <w:rPr>
          <w:rFonts w:ascii="Times New Roman" w:hAnsi="Times New Roman" w:cs="Times New Roman"/>
        </w:rPr>
        <w:t xml:space="preserve">nternational instruments </w:t>
      </w:r>
      <w:r w:rsidR="00383F53">
        <w:rPr>
          <w:rFonts w:ascii="Times New Roman" w:hAnsi="Times New Roman" w:cs="Times New Roman"/>
        </w:rPr>
        <w:t xml:space="preserve">and national legislation and regulations </w:t>
      </w:r>
      <w:r w:rsidRPr="00E35E54">
        <w:rPr>
          <w:rFonts w:ascii="Times New Roman" w:hAnsi="Times New Roman" w:cs="Times New Roman"/>
        </w:rPr>
        <w:t>bearing on nuclear forensics</w:t>
      </w:r>
    </w:p>
    <w:p w:rsidR="00E7559B" w:rsidRPr="00D31D6F" w:rsidRDefault="00820524" w:rsidP="00D31D6F">
      <w:pPr>
        <w:pStyle w:val="ListParagraph"/>
        <w:numPr>
          <w:ilvl w:val="0"/>
          <w:numId w:val="26"/>
        </w:numPr>
        <w:spacing w:before="200" w:after="0"/>
        <w:ind w:left="714" w:hanging="357"/>
        <w:contextualSpacing w:val="0"/>
        <w:jc w:val="both"/>
        <w:rPr>
          <w:rFonts w:ascii="Times New Roman" w:hAnsi="Times New Roman" w:cs="Times New Roman"/>
          <w:b/>
          <w:bCs/>
          <w:color w:val="000000" w:themeColor="text1"/>
        </w:rPr>
      </w:pPr>
      <w:r w:rsidRPr="00D31D6F">
        <w:rPr>
          <w:rFonts w:ascii="Times New Roman" w:hAnsi="Times New Roman" w:cs="Times New Roman"/>
          <w:b/>
          <w:bCs/>
          <w:color w:val="000000" w:themeColor="text1"/>
        </w:rPr>
        <w:t xml:space="preserve">Implementing </w:t>
      </w:r>
      <w:r w:rsidR="00621156" w:rsidRPr="00D31D6F">
        <w:rPr>
          <w:rFonts w:ascii="Times New Roman" w:hAnsi="Times New Roman" w:cs="Times New Roman"/>
          <w:b/>
          <w:bCs/>
          <w:color w:val="000000" w:themeColor="text1"/>
        </w:rPr>
        <w:t>N</w:t>
      </w:r>
      <w:r w:rsidR="009E3C6D" w:rsidRPr="00D31D6F">
        <w:rPr>
          <w:rFonts w:ascii="Times New Roman" w:hAnsi="Times New Roman" w:cs="Times New Roman"/>
          <w:b/>
          <w:bCs/>
          <w:color w:val="000000" w:themeColor="text1"/>
        </w:rPr>
        <w:t xml:space="preserve">uclear </w:t>
      </w:r>
      <w:r w:rsidR="00621156" w:rsidRPr="00D31D6F">
        <w:rPr>
          <w:rFonts w:ascii="Times New Roman" w:hAnsi="Times New Roman" w:cs="Times New Roman"/>
          <w:b/>
          <w:bCs/>
          <w:color w:val="000000" w:themeColor="text1"/>
        </w:rPr>
        <w:t>F</w:t>
      </w:r>
      <w:r w:rsidR="009E3C6D" w:rsidRPr="00D31D6F">
        <w:rPr>
          <w:rFonts w:ascii="Times New Roman" w:hAnsi="Times New Roman" w:cs="Times New Roman"/>
          <w:b/>
          <w:bCs/>
          <w:color w:val="000000" w:themeColor="text1"/>
        </w:rPr>
        <w:t xml:space="preserve">orensics </w:t>
      </w:r>
      <w:r w:rsidRPr="00D31D6F">
        <w:rPr>
          <w:rFonts w:ascii="Times New Roman" w:hAnsi="Times New Roman" w:cs="Times New Roman"/>
          <w:b/>
          <w:bCs/>
          <w:color w:val="000000" w:themeColor="text1"/>
        </w:rPr>
        <w:t xml:space="preserve">in </w:t>
      </w:r>
      <w:r w:rsidR="00621156" w:rsidRPr="00D31D6F">
        <w:rPr>
          <w:rFonts w:ascii="Times New Roman" w:hAnsi="Times New Roman" w:cs="Times New Roman"/>
          <w:b/>
          <w:bCs/>
          <w:color w:val="000000" w:themeColor="text1"/>
        </w:rPr>
        <w:t>S</w:t>
      </w:r>
      <w:r w:rsidRPr="00D31D6F">
        <w:rPr>
          <w:rFonts w:ascii="Times New Roman" w:hAnsi="Times New Roman" w:cs="Times New Roman"/>
          <w:b/>
          <w:bCs/>
          <w:color w:val="000000" w:themeColor="text1"/>
        </w:rPr>
        <w:t xml:space="preserve">upport of </w:t>
      </w:r>
      <w:r w:rsidR="00C94991">
        <w:rPr>
          <w:rFonts w:ascii="Times New Roman" w:hAnsi="Times New Roman" w:cs="Times New Roman"/>
          <w:b/>
          <w:bCs/>
          <w:color w:val="000000" w:themeColor="text1"/>
        </w:rPr>
        <w:t xml:space="preserve">Criminal </w:t>
      </w:r>
      <w:r w:rsidR="00621156" w:rsidRPr="00D31D6F">
        <w:rPr>
          <w:rFonts w:ascii="Times New Roman" w:hAnsi="Times New Roman" w:cs="Times New Roman"/>
          <w:b/>
          <w:bCs/>
          <w:color w:val="000000" w:themeColor="text1"/>
        </w:rPr>
        <w:t>I</w:t>
      </w:r>
      <w:r w:rsidRPr="00D31D6F">
        <w:rPr>
          <w:rFonts w:ascii="Times New Roman" w:hAnsi="Times New Roman" w:cs="Times New Roman"/>
          <w:b/>
          <w:bCs/>
          <w:color w:val="000000" w:themeColor="text1"/>
        </w:rPr>
        <w:t>nvestigations</w:t>
      </w:r>
    </w:p>
    <w:p w:rsidR="00820524" w:rsidRPr="0039696D" w:rsidRDefault="000A5EBD" w:rsidP="00D31D6F">
      <w:pPr>
        <w:pStyle w:val="ListParagraph"/>
        <w:numPr>
          <w:ilvl w:val="1"/>
          <w:numId w:val="26"/>
        </w:numPr>
        <w:jc w:val="both"/>
        <w:rPr>
          <w:rFonts w:ascii="Times New Roman" w:hAnsi="Times New Roman" w:cs="Times New Roman"/>
          <w:color w:val="000000" w:themeColor="text1"/>
        </w:rPr>
      </w:pPr>
      <w:r w:rsidRPr="0039696D">
        <w:rPr>
          <w:rFonts w:ascii="Times New Roman" w:hAnsi="Times New Roman" w:cs="Times New Roman"/>
          <w:color w:val="000000" w:themeColor="text1"/>
        </w:rPr>
        <w:t>Model Action P</w:t>
      </w:r>
      <w:r w:rsidR="00820524" w:rsidRPr="0039696D">
        <w:rPr>
          <w:rFonts w:ascii="Times New Roman" w:hAnsi="Times New Roman" w:cs="Times New Roman"/>
          <w:color w:val="000000" w:themeColor="text1"/>
        </w:rPr>
        <w:t>lan</w:t>
      </w:r>
      <w:r w:rsidR="00621156">
        <w:rPr>
          <w:rFonts w:ascii="Times New Roman" w:hAnsi="Times New Roman" w:cs="Times New Roman"/>
          <w:color w:val="000000" w:themeColor="text1"/>
        </w:rPr>
        <w:t xml:space="preserve"> for Nuclear Forensics and Nuclear Attribution</w:t>
      </w:r>
    </w:p>
    <w:p w:rsidR="00E7559B" w:rsidRPr="00E35E54" w:rsidRDefault="00820524" w:rsidP="00D31D6F">
      <w:pPr>
        <w:pStyle w:val="ListParagraph"/>
        <w:numPr>
          <w:ilvl w:val="2"/>
          <w:numId w:val="26"/>
        </w:numPr>
        <w:ind w:left="1440" w:hanging="270"/>
        <w:jc w:val="both"/>
        <w:rPr>
          <w:rFonts w:ascii="Times New Roman" w:hAnsi="Times New Roman" w:cs="Times New Roman"/>
        </w:rPr>
      </w:pPr>
      <w:r w:rsidRPr="0039696D">
        <w:rPr>
          <w:rFonts w:ascii="Times New Roman" w:hAnsi="Times New Roman" w:cs="Times New Roman"/>
          <w:color w:val="000000" w:themeColor="text1"/>
        </w:rPr>
        <w:t>O</w:t>
      </w:r>
      <w:r w:rsidR="002678EE" w:rsidRPr="0039696D">
        <w:rPr>
          <w:rFonts w:ascii="Times New Roman" w:hAnsi="Times New Roman" w:cs="Times New Roman"/>
          <w:color w:val="000000" w:themeColor="text1"/>
        </w:rPr>
        <w:t>r</w:t>
      </w:r>
      <w:r w:rsidRPr="0039696D">
        <w:rPr>
          <w:rFonts w:ascii="Times New Roman" w:hAnsi="Times New Roman" w:cs="Times New Roman"/>
          <w:color w:val="000000" w:themeColor="text1"/>
        </w:rPr>
        <w:t xml:space="preserve">ganizational </w:t>
      </w:r>
      <w:r>
        <w:rPr>
          <w:rFonts w:ascii="Times New Roman" w:hAnsi="Times New Roman" w:cs="Times New Roman"/>
        </w:rPr>
        <w:t>structure: administrative, technical</w:t>
      </w:r>
      <w:r w:rsidR="00E7559B" w:rsidRPr="00E35E54">
        <w:rPr>
          <w:rFonts w:ascii="Times New Roman" w:hAnsi="Times New Roman" w:cs="Times New Roman"/>
        </w:rPr>
        <w:t xml:space="preserve"> </w:t>
      </w:r>
      <w:r>
        <w:rPr>
          <w:rFonts w:ascii="Times New Roman" w:hAnsi="Times New Roman" w:cs="Times New Roman"/>
        </w:rPr>
        <w:t>and human capital</w:t>
      </w:r>
    </w:p>
    <w:p w:rsidR="00B2584C" w:rsidRDefault="00B2584C" w:rsidP="00D31D6F">
      <w:pPr>
        <w:pStyle w:val="ListParagraph"/>
        <w:numPr>
          <w:ilvl w:val="1"/>
          <w:numId w:val="26"/>
        </w:numPr>
        <w:jc w:val="both"/>
        <w:rPr>
          <w:rFonts w:ascii="Times New Roman" w:hAnsi="Times New Roman" w:cs="Times New Roman"/>
        </w:rPr>
      </w:pPr>
      <w:r>
        <w:rPr>
          <w:rFonts w:ascii="Times New Roman" w:hAnsi="Times New Roman" w:cs="Times New Roman"/>
        </w:rPr>
        <w:t xml:space="preserve"> Radiological crime scene management</w:t>
      </w:r>
    </w:p>
    <w:p w:rsidR="002678EE" w:rsidRDefault="002678EE" w:rsidP="00D31D6F">
      <w:pPr>
        <w:pStyle w:val="ListParagraph"/>
        <w:numPr>
          <w:ilvl w:val="1"/>
          <w:numId w:val="26"/>
        </w:numPr>
        <w:jc w:val="both"/>
        <w:rPr>
          <w:rFonts w:ascii="Times New Roman" w:hAnsi="Times New Roman" w:cs="Times New Roman"/>
        </w:rPr>
      </w:pPr>
      <w:r>
        <w:rPr>
          <w:rFonts w:ascii="Times New Roman" w:hAnsi="Times New Roman" w:cs="Times New Roman"/>
        </w:rPr>
        <w:t xml:space="preserve">Nuclear </w:t>
      </w:r>
      <w:r w:rsidR="009E3C6D">
        <w:rPr>
          <w:rFonts w:ascii="Times New Roman" w:hAnsi="Times New Roman" w:cs="Times New Roman"/>
        </w:rPr>
        <w:t>forensics laboratory</w:t>
      </w:r>
    </w:p>
    <w:p w:rsidR="000E5F22" w:rsidRDefault="002678EE" w:rsidP="001A7445">
      <w:pPr>
        <w:pStyle w:val="ListParagraph"/>
        <w:keepNext/>
        <w:keepLines/>
        <w:numPr>
          <w:ilvl w:val="1"/>
          <w:numId w:val="26"/>
        </w:numPr>
        <w:jc w:val="both"/>
        <w:rPr>
          <w:rFonts w:ascii="Times New Roman" w:hAnsi="Times New Roman" w:cs="Times New Roman"/>
        </w:rPr>
      </w:pPr>
      <w:r>
        <w:rPr>
          <w:rFonts w:ascii="Times New Roman" w:hAnsi="Times New Roman" w:cs="Times New Roman"/>
        </w:rPr>
        <w:lastRenderedPageBreak/>
        <w:t>Interpretation and attribution</w:t>
      </w:r>
    </w:p>
    <w:p w:rsidR="002678EE" w:rsidRDefault="000E5F22" w:rsidP="001A7445">
      <w:pPr>
        <w:pStyle w:val="ListParagraph"/>
        <w:keepNext/>
        <w:keepLines/>
        <w:numPr>
          <w:ilvl w:val="2"/>
          <w:numId w:val="26"/>
        </w:numPr>
        <w:ind w:left="1440" w:hanging="272"/>
        <w:contextualSpacing w:val="0"/>
        <w:jc w:val="both"/>
        <w:rPr>
          <w:rFonts w:ascii="Times New Roman" w:hAnsi="Times New Roman" w:cs="Times New Roman"/>
        </w:rPr>
      </w:pPr>
      <w:r>
        <w:rPr>
          <w:rFonts w:ascii="Times New Roman" w:hAnsi="Times New Roman" w:cs="Times New Roman"/>
        </w:rPr>
        <w:t xml:space="preserve">Utilization of a </w:t>
      </w:r>
      <w:r w:rsidR="009E3C6D">
        <w:rPr>
          <w:rFonts w:ascii="Times New Roman" w:hAnsi="Times New Roman" w:cs="Times New Roman"/>
        </w:rPr>
        <w:t>national nuclear forensics library</w:t>
      </w:r>
    </w:p>
    <w:p w:rsidR="002678EE" w:rsidRPr="00D31D6F" w:rsidRDefault="002678EE" w:rsidP="00AD1EEF">
      <w:pPr>
        <w:pStyle w:val="ListParagraph"/>
        <w:keepNext/>
        <w:keepLines/>
        <w:numPr>
          <w:ilvl w:val="0"/>
          <w:numId w:val="26"/>
        </w:numPr>
        <w:jc w:val="both"/>
        <w:rPr>
          <w:rFonts w:ascii="Times New Roman" w:hAnsi="Times New Roman" w:cs="Times New Roman"/>
          <w:b/>
          <w:bCs/>
        </w:rPr>
      </w:pPr>
      <w:r w:rsidRPr="00D31D6F">
        <w:rPr>
          <w:rFonts w:ascii="Times New Roman" w:hAnsi="Times New Roman" w:cs="Times New Roman"/>
          <w:b/>
          <w:bCs/>
        </w:rPr>
        <w:t xml:space="preserve">Applications of </w:t>
      </w:r>
      <w:r w:rsidR="00621156">
        <w:rPr>
          <w:rFonts w:ascii="Times New Roman" w:hAnsi="Times New Roman" w:cs="Times New Roman"/>
          <w:b/>
          <w:bCs/>
        </w:rPr>
        <w:t>N</w:t>
      </w:r>
      <w:r w:rsidR="009E3C6D" w:rsidRPr="00D31D6F">
        <w:rPr>
          <w:rFonts w:ascii="Times New Roman" w:hAnsi="Times New Roman" w:cs="Times New Roman"/>
          <w:b/>
          <w:bCs/>
        </w:rPr>
        <w:t xml:space="preserve">uclear </w:t>
      </w:r>
      <w:r w:rsidR="00621156">
        <w:rPr>
          <w:rFonts w:ascii="Times New Roman" w:hAnsi="Times New Roman" w:cs="Times New Roman"/>
          <w:b/>
          <w:bCs/>
        </w:rPr>
        <w:t>F</w:t>
      </w:r>
      <w:r w:rsidR="009E3C6D" w:rsidRPr="00D31D6F">
        <w:rPr>
          <w:rFonts w:ascii="Times New Roman" w:hAnsi="Times New Roman" w:cs="Times New Roman"/>
          <w:b/>
          <w:bCs/>
        </w:rPr>
        <w:t xml:space="preserve">orensics in </w:t>
      </w:r>
      <w:r w:rsidR="00621156">
        <w:rPr>
          <w:rFonts w:ascii="Times New Roman" w:hAnsi="Times New Roman" w:cs="Times New Roman"/>
          <w:b/>
          <w:bCs/>
        </w:rPr>
        <w:t>N</w:t>
      </w:r>
      <w:r w:rsidR="009E3C6D" w:rsidRPr="00D31D6F">
        <w:rPr>
          <w:rFonts w:ascii="Times New Roman" w:hAnsi="Times New Roman" w:cs="Times New Roman"/>
          <w:b/>
          <w:bCs/>
        </w:rPr>
        <w:t xml:space="preserve">uclear </w:t>
      </w:r>
      <w:r w:rsidR="00621156">
        <w:rPr>
          <w:rFonts w:ascii="Times New Roman" w:hAnsi="Times New Roman" w:cs="Times New Roman"/>
          <w:b/>
          <w:bCs/>
        </w:rPr>
        <w:t>S</w:t>
      </w:r>
      <w:r w:rsidR="009E3C6D" w:rsidRPr="00D31D6F">
        <w:rPr>
          <w:rFonts w:ascii="Times New Roman" w:hAnsi="Times New Roman" w:cs="Times New Roman"/>
          <w:b/>
          <w:bCs/>
        </w:rPr>
        <w:t>ecurity</w:t>
      </w:r>
    </w:p>
    <w:p w:rsidR="002678EE" w:rsidRDefault="002678EE" w:rsidP="00AD1EEF">
      <w:pPr>
        <w:pStyle w:val="ListParagraph"/>
        <w:keepNext/>
        <w:keepLines/>
        <w:numPr>
          <w:ilvl w:val="1"/>
          <w:numId w:val="26"/>
        </w:numPr>
        <w:jc w:val="both"/>
        <w:rPr>
          <w:rFonts w:ascii="Times New Roman" w:hAnsi="Times New Roman" w:cs="Times New Roman"/>
        </w:rPr>
      </w:pPr>
      <w:r>
        <w:rPr>
          <w:rFonts w:ascii="Times New Roman" w:hAnsi="Times New Roman" w:cs="Times New Roman"/>
        </w:rPr>
        <w:t>E</w:t>
      </w:r>
      <w:r w:rsidRPr="00E35E54">
        <w:rPr>
          <w:rFonts w:ascii="Times New Roman" w:hAnsi="Times New Roman" w:cs="Times New Roman"/>
        </w:rPr>
        <w:t xml:space="preserve">xamination of </w:t>
      </w:r>
      <w:r>
        <w:rPr>
          <w:rFonts w:ascii="Times New Roman" w:hAnsi="Times New Roman" w:cs="Times New Roman"/>
        </w:rPr>
        <w:t xml:space="preserve">nuclear and other radioactive </w:t>
      </w:r>
      <w:r w:rsidRPr="00E35E54">
        <w:rPr>
          <w:rFonts w:ascii="Times New Roman" w:hAnsi="Times New Roman" w:cs="Times New Roman"/>
        </w:rPr>
        <w:t>mate</w:t>
      </w:r>
      <w:r>
        <w:rPr>
          <w:rFonts w:ascii="Times New Roman" w:hAnsi="Times New Roman" w:cs="Times New Roman"/>
        </w:rPr>
        <w:t>rials</w:t>
      </w:r>
    </w:p>
    <w:p w:rsidR="002678EE" w:rsidRDefault="00A4543B" w:rsidP="00AD1EEF">
      <w:pPr>
        <w:pStyle w:val="ListParagraph"/>
        <w:keepNext/>
        <w:keepLines/>
        <w:numPr>
          <w:ilvl w:val="1"/>
          <w:numId w:val="26"/>
        </w:numPr>
        <w:jc w:val="both"/>
        <w:rPr>
          <w:rFonts w:ascii="Times New Roman" w:hAnsi="Times New Roman" w:cs="Times New Roman"/>
        </w:rPr>
      </w:pPr>
      <w:r>
        <w:rPr>
          <w:rFonts w:ascii="Times New Roman" w:hAnsi="Times New Roman" w:cs="Times New Roman"/>
        </w:rPr>
        <w:t>Handling</w:t>
      </w:r>
      <w:r w:rsidR="002678EE">
        <w:rPr>
          <w:rFonts w:ascii="Times New Roman" w:hAnsi="Times New Roman" w:cs="Times New Roman"/>
        </w:rPr>
        <w:t xml:space="preserve"> of evidence contaminated with radioactive material</w:t>
      </w:r>
    </w:p>
    <w:p w:rsidR="002678EE" w:rsidRPr="00E35E54" w:rsidRDefault="002678EE" w:rsidP="00AD1EEF">
      <w:pPr>
        <w:pStyle w:val="ListParagraph"/>
        <w:keepNext/>
        <w:keepLines/>
        <w:numPr>
          <w:ilvl w:val="1"/>
          <w:numId w:val="26"/>
        </w:numPr>
        <w:jc w:val="both"/>
        <w:rPr>
          <w:rFonts w:ascii="Times New Roman" w:hAnsi="Times New Roman" w:cs="Times New Roman"/>
        </w:rPr>
      </w:pPr>
      <w:r>
        <w:rPr>
          <w:rFonts w:ascii="Times New Roman" w:hAnsi="Times New Roman" w:cs="Times New Roman"/>
        </w:rPr>
        <w:t>Interactions with other investigating agencies</w:t>
      </w:r>
    </w:p>
    <w:p w:rsidR="002678EE" w:rsidRPr="00E35E54" w:rsidRDefault="002678EE" w:rsidP="00AD1EEF">
      <w:pPr>
        <w:pStyle w:val="ListParagraph"/>
        <w:keepNext/>
        <w:keepLines/>
        <w:numPr>
          <w:ilvl w:val="1"/>
          <w:numId w:val="26"/>
        </w:numPr>
        <w:ind w:left="1077" w:hanging="357"/>
        <w:contextualSpacing w:val="0"/>
        <w:jc w:val="both"/>
        <w:rPr>
          <w:rFonts w:ascii="Times New Roman" w:hAnsi="Times New Roman" w:cs="Times New Roman"/>
        </w:rPr>
      </w:pPr>
      <w:r>
        <w:rPr>
          <w:rFonts w:ascii="Times New Roman" w:hAnsi="Times New Roman" w:cs="Times New Roman"/>
        </w:rPr>
        <w:t xml:space="preserve">Synergies and utilizing existing resources </w:t>
      </w:r>
      <w:r w:rsidR="00621156">
        <w:rPr>
          <w:rFonts w:ascii="Times New Roman" w:hAnsi="Times New Roman" w:cs="Times New Roman"/>
        </w:rPr>
        <w:t xml:space="preserve">— </w:t>
      </w:r>
      <w:r>
        <w:rPr>
          <w:rFonts w:ascii="Times New Roman" w:hAnsi="Times New Roman" w:cs="Times New Roman"/>
        </w:rPr>
        <w:t>national experiences</w:t>
      </w:r>
    </w:p>
    <w:p w:rsidR="00E7559B" w:rsidRPr="00D31D6F" w:rsidRDefault="00E7559B" w:rsidP="00D31D6F">
      <w:pPr>
        <w:pStyle w:val="ListParagraph"/>
        <w:keepNext/>
        <w:keepLines/>
        <w:numPr>
          <w:ilvl w:val="0"/>
          <w:numId w:val="26"/>
        </w:numPr>
        <w:ind w:hanging="357"/>
        <w:jc w:val="both"/>
        <w:rPr>
          <w:rFonts w:ascii="Times New Roman" w:hAnsi="Times New Roman" w:cs="Times New Roman"/>
          <w:b/>
          <w:bCs/>
        </w:rPr>
      </w:pPr>
      <w:r w:rsidRPr="00D31D6F">
        <w:rPr>
          <w:rFonts w:ascii="Times New Roman" w:hAnsi="Times New Roman" w:cs="Times New Roman"/>
          <w:b/>
          <w:bCs/>
        </w:rPr>
        <w:t xml:space="preserve">Nuclear </w:t>
      </w:r>
      <w:r w:rsidR="00621156" w:rsidRPr="00D31D6F">
        <w:rPr>
          <w:rFonts w:ascii="Times New Roman" w:hAnsi="Times New Roman" w:cs="Times New Roman"/>
          <w:b/>
          <w:bCs/>
        </w:rPr>
        <w:t>F</w:t>
      </w:r>
      <w:r w:rsidR="009E3C6D" w:rsidRPr="00D31D6F">
        <w:rPr>
          <w:rFonts w:ascii="Times New Roman" w:hAnsi="Times New Roman" w:cs="Times New Roman"/>
          <w:b/>
          <w:bCs/>
        </w:rPr>
        <w:t xml:space="preserve">orensics </w:t>
      </w:r>
      <w:r w:rsidR="00621156" w:rsidRPr="00D31D6F">
        <w:rPr>
          <w:rFonts w:ascii="Times New Roman" w:hAnsi="Times New Roman" w:cs="Times New Roman"/>
          <w:b/>
          <w:bCs/>
        </w:rPr>
        <w:t>S</w:t>
      </w:r>
      <w:r w:rsidR="009E3C6D" w:rsidRPr="00D31D6F">
        <w:rPr>
          <w:rFonts w:ascii="Times New Roman" w:hAnsi="Times New Roman" w:cs="Times New Roman"/>
          <w:b/>
          <w:bCs/>
        </w:rPr>
        <w:t xml:space="preserve">cience </w:t>
      </w:r>
      <w:r w:rsidR="00621156" w:rsidRPr="00D31D6F">
        <w:rPr>
          <w:rFonts w:ascii="Times New Roman" w:hAnsi="Times New Roman" w:cs="Times New Roman"/>
          <w:b/>
          <w:bCs/>
        </w:rPr>
        <w:t>— An E</w:t>
      </w:r>
      <w:r w:rsidR="00844B5C" w:rsidRPr="00D31D6F">
        <w:rPr>
          <w:rFonts w:ascii="Times New Roman" w:hAnsi="Times New Roman" w:cs="Times New Roman"/>
          <w:b/>
          <w:bCs/>
        </w:rPr>
        <w:t xml:space="preserve">merging </w:t>
      </w:r>
      <w:r w:rsidR="00621156" w:rsidRPr="00D31D6F">
        <w:rPr>
          <w:rFonts w:ascii="Times New Roman" w:hAnsi="Times New Roman" w:cs="Times New Roman"/>
          <w:b/>
          <w:bCs/>
        </w:rPr>
        <w:t>D</w:t>
      </w:r>
      <w:r w:rsidR="00844B5C" w:rsidRPr="00D31D6F">
        <w:rPr>
          <w:rFonts w:ascii="Times New Roman" w:hAnsi="Times New Roman" w:cs="Times New Roman"/>
          <w:b/>
          <w:bCs/>
        </w:rPr>
        <w:t>iscipline</w:t>
      </w:r>
    </w:p>
    <w:p w:rsidR="00E7559B" w:rsidRPr="00E35E54" w:rsidRDefault="006003D1" w:rsidP="00D31D6F">
      <w:pPr>
        <w:pStyle w:val="ListParagraph"/>
        <w:keepNext/>
        <w:keepLines/>
        <w:numPr>
          <w:ilvl w:val="1"/>
          <w:numId w:val="26"/>
        </w:numPr>
        <w:ind w:hanging="357"/>
        <w:jc w:val="both"/>
        <w:rPr>
          <w:rFonts w:ascii="Times New Roman" w:hAnsi="Times New Roman" w:cs="Times New Roman"/>
        </w:rPr>
      </w:pPr>
      <w:r>
        <w:rPr>
          <w:rFonts w:ascii="Times New Roman" w:hAnsi="Times New Roman" w:cs="Times New Roman"/>
        </w:rPr>
        <w:t>S</w:t>
      </w:r>
      <w:r w:rsidR="00E7559B" w:rsidRPr="00E35E54">
        <w:rPr>
          <w:rFonts w:ascii="Times New Roman" w:hAnsi="Times New Roman" w:cs="Times New Roman"/>
        </w:rPr>
        <w:t>ignatures</w:t>
      </w:r>
    </w:p>
    <w:p w:rsidR="00E7559B" w:rsidRPr="00E35E54" w:rsidRDefault="00E7559B" w:rsidP="00D31D6F">
      <w:pPr>
        <w:pStyle w:val="ListParagraph"/>
        <w:numPr>
          <w:ilvl w:val="1"/>
          <w:numId w:val="26"/>
        </w:numPr>
        <w:jc w:val="both"/>
        <w:rPr>
          <w:rFonts w:ascii="Times New Roman" w:hAnsi="Times New Roman" w:cs="Times New Roman"/>
        </w:rPr>
      </w:pPr>
      <w:r w:rsidRPr="00E35E54">
        <w:rPr>
          <w:rFonts w:ascii="Times New Roman" w:hAnsi="Times New Roman" w:cs="Times New Roman"/>
        </w:rPr>
        <w:t xml:space="preserve"> </w:t>
      </w:r>
      <w:r w:rsidR="006003D1">
        <w:rPr>
          <w:rFonts w:ascii="Times New Roman" w:hAnsi="Times New Roman" w:cs="Times New Roman"/>
        </w:rPr>
        <w:t>Methods</w:t>
      </w:r>
    </w:p>
    <w:p w:rsidR="00E7559B" w:rsidRDefault="00E7559B" w:rsidP="00D31D6F">
      <w:pPr>
        <w:pStyle w:val="ListParagraph"/>
        <w:numPr>
          <w:ilvl w:val="1"/>
          <w:numId w:val="26"/>
        </w:numPr>
        <w:jc w:val="both"/>
        <w:rPr>
          <w:rFonts w:ascii="Times New Roman" w:hAnsi="Times New Roman" w:cs="Times New Roman"/>
        </w:rPr>
      </w:pPr>
      <w:r w:rsidRPr="00A74216">
        <w:rPr>
          <w:rFonts w:ascii="Times New Roman" w:hAnsi="Times New Roman" w:cs="Times New Roman"/>
        </w:rPr>
        <w:t xml:space="preserve"> </w:t>
      </w:r>
      <w:r w:rsidR="00A74216">
        <w:rPr>
          <w:rFonts w:ascii="Times New Roman" w:hAnsi="Times New Roman" w:cs="Times New Roman"/>
        </w:rPr>
        <w:t>Data interpretation</w:t>
      </w:r>
    </w:p>
    <w:p w:rsidR="00A4543B" w:rsidRPr="00A74216" w:rsidRDefault="00A4543B" w:rsidP="00D31D6F">
      <w:pPr>
        <w:pStyle w:val="ListParagraph"/>
        <w:numPr>
          <w:ilvl w:val="1"/>
          <w:numId w:val="26"/>
        </w:numPr>
        <w:jc w:val="both"/>
        <w:rPr>
          <w:rFonts w:ascii="Times New Roman" w:hAnsi="Times New Roman" w:cs="Times New Roman"/>
        </w:rPr>
      </w:pPr>
      <w:r w:rsidRPr="00A74216">
        <w:rPr>
          <w:rFonts w:ascii="Times New Roman" w:hAnsi="Times New Roman" w:cs="Times New Roman"/>
        </w:rPr>
        <w:t xml:space="preserve">The </w:t>
      </w:r>
      <w:r>
        <w:rPr>
          <w:rFonts w:ascii="Times New Roman" w:hAnsi="Times New Roman" w:cs="Times New Roman"/>
        </w:rPr>
        <w:t>effect</w:t>
      </w:r>
      <w:r w:rsidRPr="00A74216">
        <w:rPr>
          <w:rFonts w:ascii="Times New Roman" w:hAnsi="Times New Roman" w:cs="Times New Roman"/>
        </w:rPr>
        <w:t xml:space="preserve"> of</w:t>
      </w:r>
      <w:r>
        <w:rPr>
          <w:rFonts w:ascii="Times New Roman" w:hAnsi="Times New Roman" w:cs="Times New Roman"/>
        </w:rPr>
        <w:t xml:space="preserve"> radiation on</w:t>
      </w:r>
      <w:r w:rsidRPr="00A74216">
        <w:rPr>
          <w:rFonts w:ascii="Times New Roman" w:hAnsi="Times New Roman" w:cs="Times New Roman"/>
        </w:rPr>
        <w:t xml:space="preserve"> forensic</w:t>
      </w:r>
      <w:r>
        <w:rPr>
          <w:rFonts w:ascii="Times New Roman" w:hAnsi="Times New Roman" w:cs="Times New Roman"/>
        </w:rPr>
        <w:t xml:space="preserve"> evidence</w:t>
      </w:r>
    </w:p>
    <w:p w:rsidR="00A74216" w:rsidRDefault="006003D1" w:rsidP="00D31D6F">
      <w:pPr>
        <w:pStyle w:val="ListParagraph"/>
        <w:numPr>
          <w:ilvl w:val="1"/>
          <w:numId w:val="26"/>
        </w:numPr>
        <w:jc w:val="both"/>
        <w:rPr>
          <w:rFonts w:ascii="Times New Roman" w:hAnsi="Times New Roman" w:cs="Times New Roman"/>
        </w:rPr>
      </w:pPr>
      <w:r>
        <w:rPr>
          <w:rFonts w:ascii="Times New Roman" w:hAnsi="Times New Roman" w:cs="Times New Roman"/>
        </w:rPr>
        <w:t>F</w:t>
      </w:r>
      <w:r w:rsidR="00E7559B" w:rsidRPr="00E35E54">
        <w:rPr>
          <w:rFonts w:ascii="Times New Roman" w:hAnsi="Times New Roman" w:cs="Times New Roman"/>
        </w:rPr>
        <w:t xml:space="preserve">uture of nuclear forensics </w:t>
      </w:r>
      <w:r w:rsidR="00E5056A">
        <w:rPr>
          <w:rFonts w:ascii="Times New Roman" w:hAnsi="Times New Roman" w:cs="Times New Roman"/>
        </w:rPr>
        <w:t xml:space="preserve">(panel discussion </w:t>
      </w:r>
      <w:r w:rsidR="00621156">
        <w:rPr>
          <w:rFonts w:ascii="Times New Roman" w:hAnsi="Times New Roman" w:cs="Times New Roman"/>
        </w:rPr>
        <w:t xml:space="preserve">— </w:t>
      </w:r>
      <w:r w:rsidR="00E5056A">
        <w:rPr>
          <w:rFonts w:ascii="Times New Roman" w:hAnsi="Times New Roman" w:cs="Times New Roman"/>
        </w:rPr>
        <w:t>capacity building)</w:t>
      </w:r>
    </w:p>
    <w:p w:rsidR="006003D1" w:rsidRPr="006003D1" w:rsidRDefault="006003D1" w:rsidP="00D31D6F">
      <w:pPr>
        <w:pStyle w:val="ListParagraph"/>
        <w:numPr>
          <w:ilvl w:val="1"/>
          <w:numId w:val="26"/>
        </w:numPr>
        <w:ind w:left="1077" w:hanging="357"/>
        <w:contextualSpacing w:val="0"/>
        <w:jc w:val="both"/>
        <w:rPr>
          <w:rFonts w:ascii="Times New Roman" w:hAnsi="Times New Roman" w:cs="Times New Roman"/>
        </w:rPr>
      </w:pPr>
      <w:r>
        <w:rPr>
          <w:rFonts w:ascii="Times New Roman" w:hAnsi="Times New Roman" w:cs="Times New Roman"/>
        </w:rPr>
        <w:t xml:space="preserve">Synergies with other </w:t>
      </w:r>
      <w:r w:rsidR="00621156">
        <w:rPr>
          <w:rFonts w:ascii="Times New Roman" w:hAnsi="Times New Roman" w:cs="Times New Roman"/>
        </w:rPr>
        <w:t xml:space="preserve">scientific disciplines </w:t>
      </w:r>
      <w:r w:rsidR="00EA5CE2">
        <w:rPr>
          <w:rFonts w:ascii="Times New Roman" w:hAnsi="Times New Roman" w:cs="Times New Roman"/>
        </w:rPr>
        <w:t>(e</w:t>
      </w:r>
      <w:r w:rsidR="00621156">
        <w:rPr>
          <w:rFonts w:ascii="Times New Roman" w:hAnsi="Times New Roman" w:cs="Times New Roman"/>
        </w:rPr>
        <w:t>.</w:t>
      </w:r>
      <w:r w:rsidR="00EA5CE2">
        <w:rPr>
          <w:rFonts w:ascii="Times New Roman" w:hAnsi="Times New Roman" w:cs="Times New Roman"/>
        </w:rPr>
        <w:t xml:space="preserve">g. </w:t>
      </w:r>
      <w:r w:rsidR="009E3C6D">
        <w:rPr>
          <w:rFonts w:ascii="Times New Roman" w:hAnsi="Times New Roman" w:cs="Times New Roman"/>
        </w:rPr>
        <w:t>geology, material</w:t>
      </w:r>
      <w:r w:rsidR="00621156">
        <w:rPr>
          <w:rFonts w:ascii="Times New Roman" w:hAnsi="Times New Roman" w:cs="Times New Roman"/>
        </w:rPr>
        <w:t>s</w:t>
      </w:r>
      <w:r w:rsidR="009E3C6D">
        <w:rPr>
          <w:rFonts w:ascii="Times New Roman" w:hAnsi="Times New Roman" w:cs="Times New Roman"/>
        </w:rPr>
        <w:t xml:space="preserve"> science, </w:t>
      </w:r>
      <w:r w:rsidR="00EA5CE2">
        <w:rPr>
          <w:rFonts w:ascii="Times New Roman" w:hAnsi="Times New Roman" w:cs="Times New Roman"/>
        </w:rPr>
        <w:t>etc.)</w:t>
      </w:r>
    </w:p>
    <w:p w:rsidR="00112EA1" w:rsidRPr="00D31D6F" w:rsidRDefault="00A4543B" w:rsidP="00D31D6F">
      <w:pPr>
        <w:pStyle w:val="ListParagraph"/>
        <w:numPr>
          <w:ilvl w:val="0"/>
          <w:numId w:val="26"/>
        </w:numPr>
        <w:jc w:val="both"/>
        <w:rPr>
          <w:rFonts w:ascii="Times New Roman" w:hAnsi="Times New Roman" w:cs="Times New Roman"/>
          <w:b/>
          <w:bCs/>
        </w:rPr>
      </w:pPr>
      <w:r w:rsidRPr="00D31D6F">
        <w:rPr>
          <w:rFonts w:ascii="Times New Roman" w:hAnsi="Times New Roman" w:cs="Times New Roman"/>
          <w:b/>
          <w:bCs/>
        </w:rPr>
        <w:t xml:space="preserve">Nuclear </w:t>
      </w:r>
      <w:r w:rsidR="00621156" w:rsidRPr="00D31D6F">
        <w:rPr>
          <w:rFonts w:ascii="Times New Roman" w:hAnsi="Times New Roman" w:cs="Times New Roman"/>
          <w:b/>
          <w:bCs/>
        </w:rPr>
        <w:t>F</w:t>
      </w:r>
      <w:r w:rsidR="009E3C6D" w:rsidRPr="00D31D6F">
        <w:rPr>
          <w:rFonts w:ascii="Times New Roman" w:hAnsi="Times New Roman" w:cs="Times New Roman"/>
          <w:b/>
          <w:bCs/>
        </w:rPr>
        <w:t xml:space="preserve">orensics </w:t>
      </w:r>
      <w:r w:rsidR="00621156" w:rsidRPr="00D31D6F">
        <w:rPr>
          <w:rFonts w:ascii="Times New Roman" w:hAnsi="Times New Roman" w:cs="Times New Roman"/>
          <w:b/>
          <w:bCs/>
        </w:rPr>
        <w:t>F</w:t>
      </w:r>
      <w:r w:rsidR="009E3C6D" w:rsidRPr="00D31D6F">
        <w:rPr>
          <w:rFonts w:ascii="Times New Roman" w:hAnsi="Times New Roman" w:cs="Times New Roman"/>
          <w:b/>
          <w:bCs/>
        </w:rPr>
        <w:t>indings</w:t>
      </w:r>
    </w:p>
    <w:p w:rsidR="00A74216" w:rsidRPr="00E35E54" w:rsidRDefault="00A74216" w:rsidP="00D31D6F">
      <w:pPr>
        <w:pStyle w:val="ListParagraph"/>
        <w:numPr>
          <w:ilvl w:val="1"/>
          <w:numId w:val="26"/>
        </w:numPr>
        <w:jc w:val="both"/>
        <w:rPr>
          <w:rFonts w:ascii="Times New Roman" w:hAnsi="Times New Roman" w:cs="Times New Roman"/>
        </w:rPr>
      </w:pPr>
      <w:r w:rsidRPr="00E35E54">
        <w:rPr>
          <w:rFonts w:ascii="Times New Roman" w:hAnsi="Times New Roman" w:cs="Times New Roman"/>
        </w:rPr>
        <w:t>Confidence in nuclear forensics findings</w:t>
      </w:r>
      <w:r w:rsidR="00A4543B">
        <w:rPr>
          <w:rFonts w:ascii="Times New Roman" w:hAnsi="Times New Roman" w:cs="Times New Roman"/>
        </w:rPr>
        <w:t xml:space="preserve"> </w:t>
      </w:r>
      <w:r w:rsidR="00645C71">
        <w:rPr>
          <w:rFonts w:ascii="Times New Roman" w:hAnsi="Times New Roman" w:cs="Times New Roman"/>
        </w:rPr>
        <w:t>(e</w:t>
      </w:r>
      <w:r w:rsidR="00621156">
        <w:rPr>
          <w:rFonts w:ascii="Times New Roman" w:hAnsi="Times New Roman" w:cs="Times New Roman"/>
        </w:rPr>
        <w:t>.</w:t>
      </w:r>
      <w:r w:rsidR="00645C71">
        <w:rPr>
          <w:rFonts w:ascii="Times New Roman" w:hAnsi="Times New Roman" w:cs="Times New Roman"/>
        </w:rPr>
        <w:t xml:space="preserve">g. procedures, standards, </w:t>
      </w:r>
      <w:r w:rsidR="00381180">
        <w:rPr>
          <w:rFonts w:ascii="Times New Roman" w:hAnsi="Times New Roman" w:cs="Times New Roman"/>
        </w:rPr>
        <w:t xml:space="preserve">demonstrated </w:t>
      </w:r>
      <w:r w:rsidR="00645C71">
        <w:rPr>
          <w:rFonts w:ascii="Times New Roman" w:hAnsi="Times New Roman" w:cs="Times New Roman"/>
        </w:rPr>
        <w:t xml:space="preserve">competencies, </w:t>
      </w:r>
      <w:r w:rsidR="009E3C6D">
        <w:rPr>
          <w:rFonts w:ascii="Times New Roman" w:hAnsi="Times New Roman" w:cs="Times New Roman"/>
        </w:rPr>
        <w:t>national nuclear forensics library</w:t>
      </w:r>
      <w:r w:rsidR="00645C71">
        <w:rPr>
          <w:rFonts w:ascii="Times New Roman" w:hAnsi="Times New Roman" w:cs="Times New Roman"/>
        </w:rPr>
        <w:t>)</w:t>
      </w:r>
    </w:p>
    <w:p w:rsidR="005723AD" w:rsidRPr="005723AD" w:rsidRDefault="00645C71" w:rsidP="00D31D6F">
      <w:pPr>
        <w:pStyle w:val="ListParagraph"/>
        <w:numPr>
          <w:ilvl w:val="1"/>
          <w:numId w:val="26"/>
        </w:numPr>
        <w:ind w:left="1077" w:hanging="357"/>
        <w:contextualSpacing w:val="0"/>
        <w:jc w:val="both"/>
        <w:rPr>
          <w:rFonts w:ascii="Times New Roman" w:hAnsi="Times New Roman" w:cs="Times New Roman"/>
        </w:rPr>
      </w:pPr>
      <w:r>
        <w:rPr>
          <w:rFonts w:ascii="Times New Roman" w:hAnsi="Times New Roman" w:cs="Times New Roman"/>
        </w:rPr>
        <w:t>Reporting and communication of findings</w:t>
      </w:r>
    </w:p>
    <w:p w:rsidR="00E7559B" w:rsidRPr="00D31D6F" w:rsidRDefault="00E7559B" w:rsidP="00D31D6F">
      <w:pPr>
        <w:pStyle w:val="ListParagraph"/>
        <w:numPr>
          <w:ilvl w:val="0"/>
          <w:numId w:val="26"/>
        </w:numPr>
        <w:jc w:val="both"/>
        <w:rPr>
          <w:rFonts w:ascii="Times New Roman" w:hAnsi="Times New Roman" w:cs="Times New Roman"/>
          <w:b/>
          <w:bCs/>
        </w:rPr>
      </w:pPr>
      <w:r w:rsidRPr="00D31D6F">
        <w:rPr>
          <w:rFonts w:ascii="Times New Roman" w:hAnsi="Times New Roman" w:cs="Times New Roman"/>
          <w:b/>
          <w:bCs/>
        </w:rPr>
        <w:t xml:space="preserve">Nuclear </w:t>
      </w:r>
      <w:r w:rsidR="00621156" w:rsidRPr="00D31D6F">
        <w:rPr>
          <w:rFonts w:ascii="Times New Roman" w:hAnsi="Times New Roman" w:cs="Times New Roman"/>
          <w:b/>
          <w:bCs/>
        </w:rPr>
        <w:t>F</w:t>
      </w:r>
      <w:r w:rsidR="009E3C6D" w:rsidRPr="00D31D6F">
        <w:rPr>
          <w:rFonts w:ascii="Times New Roman" w:hAnsi="Times New Roman" w:cs="Times New Roman"/>
          <w:b/>
          <w:bCs/>
        </w:rPr>
        <w:t xml:space="preserve">orensics </w:t>
      </w:r>
      <w:r w:rsidR="00621156" w:rsidRPr="00D31D6F">
        <w:rPr>
          <w:rFonts w:ascii="Times New Roman" w:hAnsi="Times New Roman" w:cs="Times New Roman"/>
          <w:b/>
          <w:bCs/>
        </w:rPr>
        <w:t>C</w:t>
      </w:r>
      <w:r w:rsidR="009E3C6D" w:rsidRPr="00D31D6F">
        <w:rPr>
          <w:rFonts w:ascii="Times New Roman" w:hAnsi="Times New Roman" w:cs="Times New Roman"/>
          <w:b/>
          <w:bCs/>
        </w:rPr>
        <w:t xml:space="preserve">apacity </w:t>
      </w:r>
      <w:r w:rsidR="00621156" w:rsidRPr="00D31D6F">
        <w:rPr>
          <w:rFonts w:ascii="Times New Roman" w:hAnsi="Times New Roman" w:cs="Times New Roman"/>
          <w:b/>
          <w:bCs/>
        </w:rPr>
        <w:t>B</w:t>
      </w:r>
      <w:r w:rsidR="009E3C6D" w:rsidRPr="00D31D6F">
        <w:rPr>
          <w:rFonts w:ascii="Times New Roman" w:hAnsi="Times New Roman" w:cs="Times New Roman"/>
          <w:b/>
          <w:bCs/>
        </w:rPr>
        <w:t>uilding</w:t>
      </w:r>
    </w:p>
    <w:p w:rsidR="00E7559B" w:rsidRPr="00E7559B" w:rsidRDefault="00645C71" w:rsidP="00D31D6F">
      <w:pPr>
        <w:pStyle w:val="ListParagraph"/>
        <w:numPr>
          <w:ilvl w:val="1"/>
          <w:numId w:val="26"/>
        </w:numPr>
        <w:jc w:val="both"/>
        <w:rPr>
          <w:rFonts w:ascii="Times New Roman" w:hAnsi="Times New Roman" w:cs="Times New Roman"/>
        </w:rPr>
      </w:pPr>
      <w:r>
        <w:rPr>
          <w:rFonts w:ascii="Times New Roman" w:hAnsi="Times New Roman" w:cs="Times New Roman"/>
        </w:rPr>
        <w:t>Awareness</w:t>
      </w:r>
      <w:r w:rsidR="009E3C6D">
        <w:rPr>
          <w:rFonts w:ascii="Times New Roman" w:hAnsi="Times New Roman" w:cs="Times New Roman"/>
        </w:rPr>
        <w:t xml:space="preserve">, </w:t>
      </w:r>
      <w:r w:rsidR="009E3C6D" w:rsidRPr="00E7559B">
        <w:rPr>
          <w:rFonts w:ascii="Times New Roman" w:hAnsi="Times New Roman" w:cs="Times New Roman"/>
        </w:rPr>
        <w:t>training and exercises</w:t>
      </w:r>
    </w:p>
    <w:p w:rsidR="00E7559B" w:rsidRPr="00E7559B" w:rsidRDefault="00E7559B" w:rsidP="00D31D6F">
      <w:pPr>
        <w:pStyle w:val="ListParagraph"/>
        <w:numPr>
          <w:ilvl w:val="1"/>
          <w:numId w:val="26"/>
        </w:numPr>
        <w:jc w:val="both"/>
        <w:rPr>
          <w:rFonts w:ascii="Times New Roman" w:hAnsi="Times New Roman" w:cs="Times New Roman"/>
        </w:rPr>
      </w:pPr>
      <w:r w:rsidRPr="00E7559B">
        <w:rPr>
          <w:rFonts w:ascii="Times New Roman" w:hAnsi="Times New Roman" w:cs="Times New Roman"/>
        </w:rPr>
        <w:t xml:space="preserve">Research and </w:t>
      </w:r>
      <w:r w:rsidR="009E3C6D">
        <w:rPr>
          <w:rFonts w:ascii="Times New Roman" w:hAnsi="Times New Roman" w:cs="Times New Roman"/>
        </w:rPr>
        <w:t>d</w:t>
      </w:r>
      <w:r w:rsidRPr="00E7559B">
        <w:rPr>
          <w:rFonts w:ascii="Times New Roman" w:hAnsi="Times New Roman" w:cs="Times New Roman"/>
        </w:rPr>
        <w:t>evelopment</w:t>
      </w:r>
    </w:p>
    <w:p w:rsidR="00E7559B" w:rsidRPr="00E7559B" w:rsidRDefault="00E7559B" w:rsidP="00D31D6F">
      <w:pPr>
        <w:pStyle w:val="ListParagraph"/>
        <w:numPr>
          <w:ilvl w:val="1"/>
          <w:numId w:val="26"/>
        </w:numPr>
        <w:ind w:left="1077" w:hanging="357"/>
        <w:contextualSpacing w:val="0"/>
        <w:jc w:val="both"/>
        <w:rPr>
          <w:rFonts w:ascii="Times New Roman" w:hAnsi="Times New Roman" w:cs="Times New Roman"/>
        </w:rPr>
      </w:pPr>
      <w:r w:rsidRPr="00E7559B">
        <w:rPr>
          <w:rFonts w:ascii="Times New Roman" w:hAnsi="Times New Roman" w:cs="Times New Roman"/>
        </w:rPr>
        <w:t xml:space="preserve">Education and </w:t>
      </w:r>
      <w:r w:rsidR="00621156" w:rsidRPr="00E7559B">
        <w:rPr>
          <w:rFonts w:ascii="Times New Roman" w:hAnsi="Times New Roman" w:cs="Times New Roman"/>
        </w:rPr>
        <w:t>development</w:t>
      </w:r>
      <w:r w:rsidR="00621156">
        <w:rPr>
          <w:rFonts w:ascii="Times New Roman" w:hAnsi="Times New Roman" w:cs="Times New Roman"/>
        </w:rPr>
        <w:t xml:space="preserve"> of </w:t>
      </w:r>
      <w:r w:rsidRPr="00E7559B">
        <w:rPr>
          <w:rFonts w:ascii="Times New Roman" w:hAnsi="Times New Roman" w:cs="Times New Roman"/>
        </w:rPr>
        <w:t>expertise</w:t>
      </w:r>
    </w:p>
    <w:p w:rsidR="00E7559B" w:rsidRPr="00D31D6F" w:rsidRDefault="00E7559B" w:rsidP="00D31D6F">
      <w:pPr>
        <w:pStyle w:val="ListParagraph"/>
        <w:numPr>
          <w:ilvl w:val="0"/>
          <w:numId w:val="26"/>
        </w:numPr>
        <w:jc w:val="both"/>
        <w:rPr>
          <w:rFonts w:ascii="Times New Roman" w:hAnsi="Times New Roman" w:cs="Times New Roman"/>
          <w:b/>
          <w:bCs/>
        </w:rPr>
      </w:pPr>
      <w:r w:rsidRPr="00D31D6F">
        <w:rPr>
          <w:rFonts w:ascii="Times New Roman" w:hAnsi="Times New Roman" w:cs="Times New Roman"/>
          <w:b/>
          <w:bCs/>
        </w:rPr>
        <w:t>International</w:t>
      </w:r>
      <w:r w:rsidR="00645C71" w:rsidRPr="00D31D6F">
        <w:rPr>
          <w:rFonts w:ascii="Times New Roman" w:hAnsi="Times New Roman" w:cs="Times New Roman"/>
          <w:b/>
          <w:bCs/>
        </w:rPr>
        <w:t xml:space="preserve"> </w:t>
      </w:r>
      <w:r w:rsidR="00621156" w:rsidRPr="00D31D6F">
        <w:rPr>
          <w:rFonts w:ascii="Times New Roman" w:hAnsi="Times New Roman" w:cs="Times New Roman"/>
          <w:b/>
          <w:bCs/>
        </w:rPr>
        <w:t>and</w:t>
      </w:r>
      <w:r w:rsidR="00645C71" w:rsidRPr="00D31D6F">
        <w:rPr>
          <w:rFonts w:ascii="Times New Roman" w:hAnsi="Times New Roman" w:cs="Times New Roman"/>
          <w:b/>
          <w:bCs/>
        </w:rPr>
        <w:t xml:space="preserve"> </w:t>
      </w:r>
      <w:r w:rsidR="00621156" w:rsidRPr="00D31D6F">
        <w:rPr>
          <w:rFonts w:ascii="Times New Roman" w:hAnsi="Times New Roman" w:cs="Times New Roman"/>
          <w:b/>
          <w:bCs/>
        </w:rPr>
        <w:t>R</w:t>
      </w:r>
      <w:r w:rsidR="009E3C6D" w:rsidRPr="00D31D6F">
        <w:rPr>
          <w:rFonts w:ascii="Times New Roman" w:hAnsi="Times New Roman" w:cs="Times New Roman"/>
          <w:b/>
          <w:bCs/>
        </w:rPr>
        <w:t xml:space="preserve">egional </w:t>
      </w:r>
      <w:r w:rsidR="00621156" w:rsidRPr="00D31D6F">
        <w:rPr>
          <w:rFonts w:ascii="Times New Roman" w:hAnsi="Times New Roman" w:cs="Times New Roman"/>
          <w:b/>
          <w:bCs/>
        </w:rPr>
        <w:t>C</w:t>
      </w:r>
      <w:r w:rsidR="009E3C6D" w:rsidRPr="00D31D6F">
        <w:rPr>
          <w:rFonts w:ascii="Times New Roman" w:hAnsi="Times New Roman" w:cs="Times New Roman"/>
          <w:b/>
          <w:bCs/>
        </w:rPr>
        <w:t xml:space="preserve">oordination and </w:t>
      </w:r>
      <w:r w:rsidR="00621156" w:rsidRPr="00D31D6F">
        <w:rPr>
          <w:rFonts w:ascii="Times New Roman" w:hAnsi="Times New Roman" w:cs="Times New Roman"/>
          <w:b/>
          <w:bCs/>
        </w:rPr>
        <w:t>C</w:t>
      </w:r>
      <w:r w:rsidR="009E3C6D" w:rsidRPr="00D31D6F">
        <w:rPr>
          <w:rFonts w:ascii="Times New Roman" w:hAnsi="Times New Roman" w:cs="Times New Roman"/>
          <w:b/>
          <w:bCs/>
        </w:rPr>
        <w:t xml:space="preserve">ooperation </w:t>
      </w:r>
      <w:r w:rsidR="00621156">
        <w:rPr>
          <w:rFonts w:ascii="Times New Roman" w:hAnsi="Times New Roman" w:cs="Times New Roman"/>
          <w:b/>
          <w:bCs/>
        </w:rPr>
        <w:t>to Provide</w:t>
      </w:r>
      <w:r w:rsidR="00621156" w:rsidRPr="00D31D6F">
        <w:rPr>
          <w:rFonts w:ascii="Times New Roman" w:hAnsi="Times New Roman" w:cs="Times New Roman"/>
          <w:b/>
          <w:bCs/>
        </w:rPr>
        <w:t xml:space="preserve"> A</w:t>
      </w:r>
      <w:r w:rsidR="009E3C6D" w:rsidRPr="00D31D6F">
        <w:rPr>
          <w:rFonts w:ascii="Times New Roman" w:hAnsi="Times New Roman" w:cs="Times New Roman"/>
          <w:b/>
          <w:bCs/>
        </w:rPr>
        <w:t xml:space="preserve">ssistance in </w:t>
      </w:r>
      <w:r w:rsidR="00621156" w:rsidRPr="00D31D6F">
        <w:rPr>
          <w:rFonts w:ascii="Times New Roman" w:hAnsi="Times New Roman" w:cs="Times New Roman"/>
          <w:b/>
          <w:bCs/>
        </w:rPr>
        <w:t>N</w:t>
      </w:r>
      <w:r w:rsidR="009E3C6D" w:rsidRPr="00D31D6F">
        <w:rPr>
          <w:rFonts w:ascii="Times New Roman" w:hAnsi="Times New Roman" w:cs="Times New Roman"/>
          <w:b/>
          <w:bCs/>
        </w:rPr>
        <w:t xml:space="preserve">uclear </w:t>
      </w:r>
      <w:r w:rsidR="00621156" w:rsidRPr="00D31D6F">
        <w:rPr>
          <w:rFonts w:ascii="Times New Roman" w:hAnsi="Times New Roman" w:cs="Times New Roman"/>
          <w:b/>
          <w:bCs/>
        </w:rPr>
        <w:t>F</w:t>
      </w:r>
      <w:r w:rsidR="009E3C6D" w:rsidRPr="00D31D6F">
        <w:rPr>
          <w:rFonts w:ascii="Times New Roman" w:hAnsi="Times New Roman" w:cs="Times New Roman"/>
          <w:b/>
          <w:bCs/>
        </w:rPr>
        <w:t>orensics</w:t>
      </w:r>
    </w:p>
    <w:p w:rsidR="00A76444" w:rsidRPr="00E35E54" w:rsidRDefault="00A76444" w:rsidP="00D31D6F">
      <w:pPr>
        <w:pStyle w:val="ListParagraph"/>
        <w:numPr>
          <w:ilvl w:val="1"/>
          <w:numId w:val="26"/>
        </w:numPr>
        <w:jc w:val="both"/>
        <w:rPr>
          <w:rFonts w:ascii="Times New Roman" w:hAnsi="Times New Roman" w:cs="Times New Roman"/>
        </w:rPr>
      </w:pPr>
      <w:r w:rsidRPr="00E35E54">
        <w:rPr>
          <w:rFonts w:ascii="Times New Roman" w:hAnsi="Times New Roman" w:cs="Times New Roman"/>
        </w:rPr>
        <w:t>IAEA nuclear security recommendations and guidance and the relevant national experience</w:t>
      </w:r>
    </w:p>
    <w:p w:rsidR="00796E57" w:rsidRPr="00E35E54" w:rsidRDefault="009E3C6D" w:rsidP="00D31D6F">
      <w:pPr>
        <w:pStyle w:val="ListParagraph"/>
        <w:numPr>
          <w:ilvl w:val="1"/>
          <w:numId w:val="26"/>
        </w:numPr>
        <w:jc w:val="both"/>
        <w:rPr>
          <w:rFonts w:ascii="Times New Roman" w:hAnsi="Times New Roman" w:cs="Times New Roman"/>
        </w:rPr>
      </w:pPr>
      <w:r w:rsidRPr="00E35E54">
        <w:rPr>
          <w:rFonts w:ascii="Times New Roman" w:hAnsi="Times New Roman" w:cs="Times New Roman"/>
        </w:rPr>
        <w:t xml:space="preserve">Nuclear Forensics </w:t>
      </w:r>
      <w:r w:rsidR="00796E57" w:rsidRPr="00E35E54">
        <w:rPr>
          <w:rFonts w:ascii="Times New Roman" w:hAnsi="Times New Roman" w:cs="Times New Roman"/>
        </w:rPr>
        <w:t xml:space="preserve">International Technical Working Group </w:t>
      </w:r>
      <w:r>
        <w:rPr>
          <w:rFonts w:ascii="Times New Roman" w:hAnsi="Times New Roman" w:cs="Times New Roman"/>
        </w:rPr>
        <w:t>(ITWG)</w:t>
      </w:r>
    </w:p>
    <w:p w:rsidR="00C86898" w:rsidRPr="00E35E54" w:rsidRDefault="00C86898" w:rsidP="00D31D6F">
      <w:pPr>
        <w:pStyle w:val="ListParagraph"/>
        <w:numPr>
          <w:ilvl w:val="1"/>
          <w:numId w:val="26"/>
        </w:numPr>
        <w:jc w:val="both"/>
        <w:rPr>
          <w:rFonts w:ascii="Times New Roman" w:hAnsi="Times New Roman" w:cs="Times New Roman"/>
        </w:rPr>
      </w:pPr>
      <w:r w:rsidRPr="00E35E54">
        <w:rPr>
          <w:rFonts w:ascii="Times New Roman" w:hAnsi="Times New Roman" w:cs="Times New Roman"/>
        </w:rPr>
        <w:t>Global Initiative to Combat Nuclear Terrorism</w:t>
      </w:r>
      <w:r w:rsidR="009E3C6D">
        <w:rPr>
          <w:rFonts w:ascii="Times New Roman" w:hAnsi="Times New Roman" w:cs="Times New Roman"/>
        </w:rPr>
        <w:t xml:space="preserve"> (GICNT)</w:t>
      </w:r>
    </w:p>
    <w:p w:rsidR="008876ED" w:rsidRPr="00E35E54" w:rsidRDefault="008876ED" w:rsidP="00D31D6F">
      <w:pPr>
        <w:pStyle w:val="ListParagraph"/>
        <w:numPr>
          <w:ilvl w:val="1"/>
          <w:numId w:val="26"/>
        </w:numPr>
        <w:jc w:val="both"/>
        <w:rPr>
          <w:rFonts w:ascii="Times New Roman" w:hAnsi="Times New Roman" w:cs="Times New Roman"/>
        </w:rPr>
      </w:pPr>
      <w:r>
        <w:rPr>
          <w:rFonts w:ascii="Times New Roman" w:hAnsi="Times New Roman" w:cs="Times New Roman"/>
        </w:rPr>
        <w:t xml:space="preserve">Other </w:t>
      </w:r>
      <w:r w:rsidR="007F5BBE">
        <w:rPr>
          <w:rFonts w:ascii="Times New Roman" w:hAnsi="Times New Roman" w:cs="Times New Roman"/>
        </w:rPr>
        <w:t>i</w:t>
      </w:r>
      <w:r>
        <w:rPr>
          <w:rFonts w:ascii="Times New Roman" w:hAnsi="Times New Roman" w:cs="Times New Roman"/>
        </w:rPr>
        <w:t>nitiatives</w:t>
      </w:r>
    </w:p>
    <w:p w:rsidR="00E7559B" w:rsidRDefault="00E7559B" w:rsidP="00D31D6F">
      <w:pPr>
        <w:pStyle w:val="ListParagraph"/>
        <w:numPr>
          <w:ilvl w:val="1"/>
          <w:numId w:val="26"/>
        </w:numPr>
        <w:ind w:left="1077" w:hanging="357"/>
        <w:contextualSpacing w:val="0"/>
        <w:jc w:val="both"/>
        <w:rPr>
          <w:rFonts w:ascii="Times New Roman" w:hAnsi="Times New Roman" w:cs="Times New Roman"/>
        </w:rPr>
      </w:pPr>
      <w:r w:rsidRPr="00E7559B">
        <w:rPr>
          <w:rFonts w:ascii="Times New Roman" w:hAnsi="Times New Roman" w:cs="Times New Roman"/>
        </w:rPr>
        <w:t>Current and future role of the IAEA</w:t>
      </w:r>
      <w:r w:rsidR="00383F53">
        <w:rPr>
          <w:rFonts w:ascii="Times New Roman" w:hAnsi="Times New Roman" w:cs="Times New Roman"/>
        </w:rPr>
        <w:t xml:space="preserve"> in nuclear forensics</w:t>
      </w:r>
    </w:p>
    <w:p w:rsidR="008876ED" w:rsidRPr="00D31D6F" w:rsidRDefault="00645C71" w:rsidP="00D31D6F">
      <w:pPr>
        <w:pStyle w:val="ListParagraph"/>
        <w:numPr>
          <w:ilvl w:val="0"/>
          <w:numId w:val="26"/>
        </w:numPr>
        <w:jc w:val="both"/>
        <w:rPr>
          <w:rFonts w:ascii="Times New Roman" w:hAnsi="Times New Roman" w:cs="Times New Roman"/>
          <w:b/>
          <w:bCs/>
        </w:rPr>
      </w:pPr>
      <w:r w:rsidRPr="00D31D6F">
        <w:rPr>
          <w:rFonts w:ascii="Times New Roman" w:hAnsi="Times New Roman" w:cs="Times New Roman"/>
          <w:b/>
          <w:bCs/>
        </w:rPr>
        <w:t>Conclusion</w:t>
      </w:r>
      <w:r w:rsidR="00876CBE" w:rsidRPr="00D31D6F">
        <w:rPr>
          <w:rFonts w:ascii="Times New Roman" w:hAnsi="Times New Roman" w:cs="Times New Roman"/>
          <w:b/>
          <w:bCs/>
        </w:rPr>
        <w:t>s</w:t>
      </w:r>
    </w:p>
    <w:p w:rsidR="00733D7D" w:rsidRDefault="003704BD" w:rsidP="00253BFC">
      <w:pPr>
        <w:pStyle w:val="Heading1"/>
        <w:spacing w:before="840" w:after="360"/>
      </w:pPr>
      <w:r>
        <w:t>Conference Structure</w:t>
      </w:r>
    </w:p>
    <w:p w:rsidR="00611C65" w:rsidRDefault="00F26F69" w:rsidP="007F5BBE">
      <w:pPr>
        <w:pStyle w:val="BodyText"/>
      </w:pPr>
      <w:r>
        <w:t xml:space="preserve">The conference programme will consist of an </w:t>
      </w:r>
      <w:r w:rsidR="003704BD">
        <w:t>o</w:t>
      </w:r>
      <w:r>
        <w:t xml:space="preserve">pening </w:t>
      </w:r>
      <w:r w:rsidR="003704BD">
        <w:t>p</w:t>
      </w:r>
      <w:r>
        <w:t xml:space="preserve">lenary </w:t>
      </w:r>
      <w:r w:rsidR="003704BD">
        <w:t>s</w:t>
      </w:r>
      <w:r>
        <w:t xml:space="preserve">ession, a </w:t>
      </w:r>
      <w:r w:rsidR="003704BD">
        <w:t>g</w:t>
      </w:r>
      <w:r>
        <w:t xml:space="preserve">eneral </w:t>
      </w:r>
      <w:r w:rsidR="003704BD">
        <w:t>p</w:t>
      </w:r>
      <w:r>
        <w:t xml:space="preserve">lenary </w:t>
      </w:r>
      <w:r w:rsidR="003704BD">
        <w:t>s</w:t>
      </w:r>
      <w:r>
        <w:t xml:space="preserve">ession, </w:t>
      </w:r>
      <w:r w:rsidR="003704BD">
        <w:t>t</w:t>
      </w:r>
      <w:r>
        <w:t xml:space="preserve">echnical </w:t>
      </w:r>
      <w:r w:rsidR="003704BD">
        <w:t>s</w:t>
      </w:r>
      <w:r>
        <w:t>essio</w:t>
      </w:r>
      <w:r w:rsidR="00314E7A">
        <w:t xml:space="preserve">ns, a </w:t>
      </w:r>
      <w:r w:rsidR="003704BD">
        <w:t>p</w:t>
      </w:r>
      <w:r w:rsidR="00314E7A">
        <w:t xml:space="preserve">oster </w:t>
      </w:r>
      <w:r w:rsidR="003704BD">
        <w:t>s</w:t>
      </w:r>
      <w:r w:rsidR="00314E7A">
        <w:t xml:space="preserve">ession, </w:t>
      </w:r>
      <w:r w:rsidR="008C1C74">
        <w:t xml:space="preserve">a </w:t>
      </w:r>
      <w:r w:rsidR="00E5056A">
        <w:t xml:space="preserve">panel </w:t>
      </w:r>
      <w:r w:rsidR="006900C2">
        <w:t>discussion</w:t>
      </w:r>
      <w:r w:rsidR="00E5056A">
        <w:t xml:space="preserve"> </w:t>
      </w:r>
      <w:r>
        <w:t xml:space="preserve">and a closing </w:t>
      </w:r>
      <w:r w:rsidR="003704BD">
        <w:t>p</w:t>
      </w:r>
      <w:r>
        <w:t xml:space="preserve">lenary </w:t>
      </w:r>
      <w:r w:rsidR="003704BD">
        <w:t>s</w:t>
      </w:r>
      <w:r>
        <w:t>ession.</w:t>
      </w:r>
    </w:p>
    <w:p w:rsidR="0039696D" w:rsidRDefault="0071327B" w:rsidP="009F6113">
      <w:pPr>
        <w:spacing w:after="170" w:line="280" w:lineRule="atLeast"/>
        <w:jc w:val="both"/>
      </w:pPr>
      <w:r w:rsidRPr="00D437E3">
        <w:t xml:space="preserve">The opening </w:t>
      </w:r>
      <w:r>
        <w:t xml:space="preserve">plenary </w:t>
      </w:r>
      <w:r w:rsidRPr="00D437E3">
        <w:t xml:space="preserve">session will include welcoming addresses by </w:t>
      </w:r>
      <w:r>
        <w:t xml:space="preserve">representatives of the </w:t>
      </w:r>
      <w:r w:rsidRPr="00D437E3">
        <w:t>IAEA</w:t>
      </w:r>
      <w:r>
        <w:t>, cooperating organizations and other relevant organizations, and high level keynote presentations</w:t>
      </w:r>
      <w:r w:rsidRPr="00D437E3">
        <w:t xml:space="preserve">. </w:t>
      </w:r>
      <w:r>
        <w:t xml:space="preserve">The </w:t>
      </w:r>
      <w:r w:rsidR="008C1C74">
        <w:t>general plenary</w:t>
      </w:r>
      <w:r>
        <w:t xml:space="preserve"> session </w:t>
      </w:r>
      <w:r w:rsidR="006900C2">
        <w:t xml:space="preserve">and the technical sessions </w:t>
      </w:r>
      <w:r>
        <w:t>will continue with a combination of</w:t>
      </w:r>
      <w:r w:rsidRPr="00D437E3">
        <w:t xml:space="preserve"> </w:t>
      </w:r>
      <w:r>
        <w:t>invited presentations</w:t>
      </w:r>
      <w:r w:rsidR="006900C2">
        <w:t>,</w:t>
      </w:r>
      <w:r>
        <w:t xml:space="preserve"> submitted papers </w:t>
      </w:r>
      <w:r w:rsidR="006900C2">
        <w:t>and discussions</w:t>
      </w:r>
      <w:r w:rsidRPr="00D437E3">
        <w:t xml:space="preserve">. </w:t>
      </w:r>
      <w:r w:rsidR="00E90701">
        <w:t xml:space="preserve">The panel discussion </w:t>
      </w:r>
      <w:r w:rsidR="00A23939">
        <w:t xml:space="preserve">will focus </w:t>
      </w:r>
      <w:r w:rsidR="00E90701">
        <w:t>on</w:t>
      </w:r>
      <w:r w:rsidR="00FD248A">
        <w:t xml:space="preserve"> the path forward </w:t>
      </w:r>
      <w:r w:rsidR="00FD248A">
        <w:lastRenderedPageBreak/>
        <w:t>in</w:t>
      </w:r>
      <w:r w:rsidR="00E90701">
        <w:t xml:space="preserve"> nuclear forensics</w:t>
      </w:r>
      <w:r w:rsidR="000A3E9B">
        <w:t xml:space="preserve"> and</w:t>
      </w:r>
      <w:r w:rsidR="00FD248A">
        <w:t xml:space="preserve"> </w:t>
      </w:r>
      <w:r w:rsidR="000A3E9B">
        <w:t>t</w:t>
      </w:r>
      <w:r w:rsidR="006900C2">
        <w:t>he poster session will provide an oppo</w:t>
      </w:r>
      <w:r w:rsidR="000A3E9B">
        <w:t>r</w:t>
      </w:r>
      <w:r w:rsidR="006900C2">
        <w:t xml:space="preserve">tunity </w:t>
      </w:r>
      <w:r w:rsidR="00FD248A">
        <w:t>for</w:t>
      </w:r>
      <w:r w:rsidR="00FD248A" w:rsidRPr="00D437E3">
        <w:t xml:space="preserve"> discussion and interaction with colleagues.</w:t>
      </w:r>
      <w:r w:rsidR="00FD248A">
        <w:t xml:space="preserve"> </w:t>
      </w:r>
      <w:r>
        <w:t xml:space="preserve">The </w:t>
      </w:r>
      <w:r w:rsidR="006900C2">
        <w:t>closing</w:t>
      </w:r>
      <w:r w:rsidRPr="00D437E3">
        <w:t xml:space="preserve"> </w:t>
      </w:r>
      <w:r>
        <w:t xml:space="preserve">plenary </w:t>
      </w:r>
      <w:r w:rsidRPr="00D437E3">
        <w:t xml:space="preserve">session will be dedicated to </w:t>
      </w:r>
      <w:r w:rsidR="00FD248A">
        <w:t>conclusions and recommendations</w:t>
      </w:r>
      <w:r w:rsidRPr="00D437E3">
        <w:t>.</w:t>
      </w:r>
    </w:p>
    <w:p w:rsidR="00733D7D" w:rsidRPr="00B03DCD" w:rsidRDefault="00B41377" w:rsidP="00D31D6F">
      <w:pPr>
        <w:pStyle w:val="Heading1"/>
        <w:keepNext/>
        <w:keepLines/>
      </w:pPr>
      <w:r w:rsidRPr="00B03DCD">
        <w:t>Synopses</w:t>
      </w:r>
      <w:r w:rsidR="00D34E35">
        <w:t>,</w:t>
      </w:r>
      <w:r w:rsidR="00640DC6">
        <w:t xml:space="preserve"> </w:t>
      </w:r>
      <w:r w:rsidR="00BB7A68" w:rsidRPr="00B03DCD">
        <w:t>P</w:t>
      </w:r>
      <w:r w:rsidR="008B70D1" w:rsidRPr="00B03DCD">
        <w:t>apers</w:t>
      </w:r>
      <w:r w:rsidR="00D34E35">
        <w:t xml:space="preserve"> and Proceedings</w:t>
      </w:r>
    </w:p>
    <w:p w:rsidR="00AC5D34" w:rsidRDefault="00AC5D34" w:rsidP="00D31D6F">
      <w:pPr>
        <w:pStyle w:val="BodyText"/>
        <w:keepNext/>
        <w:keepLines/>
        <w:widowControl w:val="0"/>
      </w:pPr>
      <w:r>
        <w:t>All papers submitted — other than invited keynote papers — must present original work and should not have been published elsewhere.</w:t>
      </w:r>
    </w:p>
    <w:p w:rsidR="00B03DCD" w:rsidRPr="00B51DA0" w:rsidRDefault="00AC5D34" w:rsidP="00AC5D34">
      <w:pPr>
        <w:overflowPunct/>
        <w:autoSpaceDE/>
        <w:autoSpaceDN/>
        <w:adjustRightInd/>
        <w:spacing w:after="170" w:line="280" w:lineRule="atLeast"/>
        <w:jc w:val="both"/>
        <w:textAlignment w:val="auto"/>
        <w:rPr>
          <w:szCs w:val="22"/>
        </w:rPr>
      </w:pPr>
      <w:r>
        <w:t>Persons who wish to present a paper at the conference — either orally or in the form of a poster — must submit a synops</w:t>
      </w:r>
      <w:r w:rsidR="00F834DC">
        <w:t>i</w:t>
      </w:r>
      <w:r>
        <w:t>s of 800 words maximum on one of the topics listed under Section C. The synopsis should give enough information on the contents of the proposed paper to enable the Programme Committee to evaluate it. Including too many introductory and general matters should be avoided.</w:t>
      </w:r>
      <w:r w:rsidRPr="007D0B5E">
        <w:rPr>
          <w:szCs w:val="22"/>
        </w:rPr>
        <w:t xml:space="preserve"> </w:t>
      </w:r>
      <w:r>
        <w:rPr>
          <w:szCs w:val="22"/>
        </w:rPr>
        <w:t xml:space="preserve">The accepted synopses will be reproduced </w:t>
      </w:r>
      <w:r w:rsidR="007F5BBE">
        <w:rPr>
          <w:szCs w:val="22"/>
        </w:rPr>
        <w:t xml:space="preserve">in </w:t>
      </w:r>
      <w:r>
        <w:rPr>
          <w:szCs w:val="22"/>
        </w:rPr>
        <w:t>unedited</w:t>
      </w:r>
      <w:r w:rsidR="007F5BBE">
        <w:rPr>
          <w:szCs w:val="22"/>
        </w:rPr>
        <w:t xml:space="preserve"> form</w:t>
      </w:r>
      <w:r>
        <w:rPr>
          <w:szCs w:val="22"/>
        </w:rPr>
        <w:t xml:space="preserve"> in the electronic</w:t>
      </w:r>
      <w:r w:rsidRPr="00F85478">
        <w:rPr>
          <w:szCs w:val="22"/>
        </w:rPr>
        <w:t xml:space="preserve"> </w:t>
      </w:r>
      <w:r w:rsidRPr="00AC5D34">
        <w:rPr>
          <w:i/>
          <w:szCs w:val="22"/>
        </w:rPr>
        <w:t>Book of Extended Synopses</w:t>
      </w:r>
      <w:r>
        <w:rPr>
          <w:szCs w:val="22"/>
        </w:rPr>
        <w:t xml:space="preserve"> which will be distributed to all participants at the conference</w:t>
      </w:r>
      <w:r w:rsidR="00B03DCD" w:rsidRPr="00B51DA0">
        <w:rPr>
          <w:szCs w:val="22"/>
        </w:rPr>
        <w:t>.</w:t>
      </w:r>
    </w:p>
    <w:p w:rsidR="002F70C7" w:rsidRPr="00B03DCD" w:rsidRDefault="002F70C7" w:rsidP="00B03DCD">
      <w:pPr>
        <w:pStyle w:val="Heading2"/>
        <w:rPr>
          <w:sz w:val="24"/>
          <w:szCs w:val="24"/>
        </w:rPr>
      </w:pPr>
      <w:r w:rsidRPr="00B03DCD">
        <w:rPr>
          <w:sz w:val="24"/>
          <w:szCs w:val="24"/>
        </w:rPr>
        <w:t xml:space="preserve">Submission of </w:t>
      </w:r>
      <w:r w:rsidR="006B7102" w:rsidRPr="00B03DCD">
        <w:rPr>
          <w:sz w:val="24"/>
          <w:szCs w:val="24"/>
        </w:rPr>
        <w:t>synopses</w:t>
      </w:r>
    </w:p>
    <w:p w:rsidR="00B03DCD" w:rsidRPr="00601424" w:rsidRDefault="00B03DCD" w:rsidP="007F5BBE">
      <w:pPr>
        <w:pStyle w:val="BodyText"/>
        <w:rPr>
          <w:rFonts w:cs="Arial"/>
          <w:szCs w:val="22"/>
          <w:u w:val="single"/>
        </w:rPr>
      </w:pPr>
      <w:r w:rsidRPr="00F85478">
        <w:rPr>
          <w:szCs w:val="22"/>
        </w:rPr>
        <w:t xml:space="preserve">Persons who wish to present a </w:t>
      </w:r>
      <w:r>
        <w:rPr>
          <w:szCs w:val="22"/>
        </w:rPr>
        <w:t xml:space="preserve">paper or </w:t>
      </w:r>
      <w:r w:rsidRPr="00F85478">
        <w:rPr>
          <w:szCs w:val="22"/>
        </w:rPr>
        <w:t xml:space="preserve">poster at the </w:t>
      </w:r>
      <w:r>
        <w:rPr>
          <w:szCs w:val="22"/>
        </w:rPr>
        <w:t>conference</w:t>
      </w:r>
      <w:r w:rsidRPr="00F85478">
        <w:rPr>
          <w:szCs w:val="22"/>
        </w:rPr>
        <w:t xml:space="preserve"> must submit</w:t>
      </w:r>
      <w:r w:rsidRPr="00F85478">
        <w:rPr>
          <w:b/>
          <w:szCs w:val="22"/>
        </w:rPr>
        <w:t xml:space="preserve"> </w:t>
      </w:r>
      <w:r w:rsidRPr="00F85478">
        <w:rPr>
          <w:bCs/>
          <w:szCs w:val="22"/>
        </w:rPr>
        <w:t xml:space="preserve">a </w:t>
      </w:r>
      <w:r>
        <w:rPr>
          <w:bCs/>
          <w:szCs w:val="22"/>
        </w:rPr>
        <w:t xml:space="preserve">synopsis </w:t>
      </w:r>
      <w:r w:rsidRPr="00605484">
        <w:rPr>
          <w:b/>
          <w:bCs/>
        </w:rPr>
        <w:t>in electronic format</w:t>
      </w:r>
      <w:r w:rsidRPr="00605484">
        <w:t xml:space="preserve"> (no paper copies) directly to the IAEA. Instructions on how to upload the </w:t>
      </w:r>
      <w:r>
        <w:t>synopsis</w:t>
      </w:r>
      <w:r w:rsidRPr="00605484">
        <w:t xml:space="preserve"> to the </w:t>
      </w:r>
      <w:r>
        <w:t>conference</w:t>
      </w:r>
      <w:r w:rsidRPr="00605484">
        <w:t xml:space="preserve">’s web browser-based file submission system (IAEA-INDICO) will be available on the </w:t>
      </w:r>
      <w:r>
        <w:t>conference</w:t>
      </w:r>
      <w:r w:rsidRPr="00605484">
        <w:t xml:space="preserve"> web</w:t>
      </w:r>
      <w:r>
        <w:t xml:space="preserve"> page</w:t>
      </w:r>
      <w:r w:rsidRPr="00605484">
        <w:t xml:space="preserve"> (see Section </w:t>
      </w:r>
      <w:r w:rsidR="005B6CB9">
        <w:t>M</w:t>
      </w:r>
      <w:r w:rsidRPr="00605484">
        <w:t xml:space="preserve">) as of </w:t>
      </w:r>
      <w:r w:rsidR="00F834DC" w:rsidRPr="00884875">
        <w:rPr>
          <w:b/>
        </w:rPr>
        <w:t>1</w:t>
      </w:r>
      <w:r w:rsidR="0049492F">
        <w:rPr>
          <w:b/>
        </w:rPr>
        <w:t>6</w:t>
      </w:r>
      <w:r w:rsidR="00F834DC" w:rsidRPr="00884875">
        <w:rPr>
          <w:b/>
        </w:rPr>
        <w:t xml:space="preserve"> </w:t>
      </w:r>
      <w:r w:rsidR="0049492F">
        <w:rPr>
          <w:b/>
        </w:rPr>
        <w:t>September</w:t>
      </w:r>
      <w:r w:rsidRPr="00884875">
        <w:rPr>
          <w:b/>
        </w:rPr>
        <w:t xml:space="preserve"> 2013</w:t>
      </w:r>
      <w:r w:rsidRPr="00605484">
        <w:t xml:space="preserve">. The </w:t>
      </w:r>
      <w:r>
        <w:t>synopse</w:t>
      </w:r>
      <w:r w:rsidRPr="00605484">
        <w:t xml:space="preserve">s </w:t>
      </w:r>
      <w:r w:rsidRPr="00605484">
        <w:rPr>
          <w:b/>
          <w:bCs/>
        </w:rPr>
        <w:t>must</w:t>
      </w:r>
      <w:r w:rsidRPr="00605484">
        <w:t xml:space="preserve"> be submitted through this system</w:t>
      </w:r>
      <w:r>
        <w:t xml:space="preserve"> </w:t>
      </w:r>
      <w:r w:rsidRPr="00601424">
        <w:t xml:space="preserve">by </w:t>
      </w:r>
      <w:r w:rsidR="001160EC">
        <w:rPr>
          <w:b/>
          <w:bCs/>
        </w:rPr>
        <w:t>15 December</w:t>
      </w:r>
      <w:r w:rsidR="000C7642">
        <w:rPr>
          <w:b/>
          <w:bCs/>
        </w:rPr>
        <w:t xml:space="preserve"> </w:t>
      </w:r>
      <w:r>
        <w:rPr>
          <w:b/>
          <w:bCs/>
        </w:rPr>
        <w:t>2013</w:t>
      </w:r>
      <w:r w:rsidRPr="00A86483">
        <w:t>.</w:t>
      </w:r>
      <w:r w:rsidRPr="00605484">
        <w:t xml:space="preserve"> No other </w:t>
      </w:r>
      <w:r w:rsidR="007F5BBE" w:rsidRPr="00605484">
        <w:t xml:space="preserve">submission </w:t>
      </w:r>
      <w:r w:rsidR="007F5BBE">
        <w:t>route</w:t>
      </w:r>
      <w:r w:rsidRPr="00605484">
        <w:t xml:space="preserve"> will be </w:t>
      </w:r>
      <w:r w:rsidRPr="005F5A3D">
        <w:t>accepted.</w:t>
      </w:r>
    </w:p>
    <w:p w:rsidR="00B03DCD" w:rsidRPr="00605484" w:rsidRDefault="00B03DCD" w:rsidP="00B03DCD">
      <w:pPr>
        <w:pStyle w:val="BodyText"/>
      </w:pPr>
      <w:r>
        <w:t>In addition, a</w:t>
      </w:r>
      <w:r w:rsidRPr="00605484">
        <w:t xml:space="preserve">uthors </w:t>
      </w:r>
      <w:r>
        <w:t xml:space="preserve">must </w:t>
      </w:r>
      <w:r w:rsidRPr="00605484">
        <w:t xml:space="preserve">submit the following two forms to their appropriate governmental authority (see section </w:t>
      </w:r>
      <w:r w:rsidR="00F834DC">
        <w:t>F</w:t>
      </w:r>
      <w:r w:rsidRPr="00605484">
        <w:t xml:space="preserve">) for transmission to the IAEA. These forms must be received by the IAEA no later than </w:t>
      </w:r>
      <w:r w:rsidR="001160EC">
        <w:rPr>
          <w:b/>
        </w:rPr>
        <w:t>15 December</w:t>
      </w:r>
      <w:r w:rsidR="000C7642">
        <w:rPr>
          <w:b/>
        </w:rPr>
        <w:t xml:space="preserve"> </w:t>
      </w:r>
      <w:r>
        <w:rPr>
          <w:b/>
        </w:rPr>
        <w:t>2013</w:t>
      </w:r>
      <w:r w:rsidRPr="00605484">
        <w:t>.</w:t>
      </w:r>
    </w:p>
    <w:p w:rsidR="00B03DCD" w:rsidRPr="00605484" w:rsidRDefault="00B03DCD" w:rsidP="00B03DCD">
      <w:pPr>
        <w:numPr>
          <w:ilvl w:val="0"/>
          <w:numId w:val="34"/>
        </w:numPr>
        <w:spacing w:before="120" w:after="120"/>
        <w:rPr>
          <w:color w:val="000000"/>
          <w:szCs w:val="11"/>
        </w:rPr>
      </w:pPr>
      <w:r w:rsidRPr="00605484">
        <w:rPr>
          <w:color w:val="000000"/>
          <w:szCs w:val="11"/>
        </w:rPr>
        <w:t>Participation Form (</w:t>
      </w:r>
      <w:r w:rsidRPr="002909DA">
        <w:rPr>
          <w:color w:val="000000"/>
          <w:szCs w:val="11"/>
        </w:rPr>
        <w:t>F</w:t>
      </w:r>
      <w:r w:rsidRPr="00605484">
        <w:rPr>
          <w:color w:val="000000"/>
          <w:szCs w:val="11"/>
        </w:rPr>
        <w:t>orm</w:t>
      </w:r>
      <w:r w:rsidRPr="002909DA">
        <w:rPr>
          <w:color w:val="000000"/>
          <w:szCs w:val="11"/>
        </w:rPr>
        <w:t xml:space="preserve"> A</w:t>
      </w:r>
      <w:r w:rsidRPr="00605484">
        <w:rPr>
          <w:color w:val="000000"/>
          <w:szCs w:val="11"/>
        </w:rPr>
        <w:t>)</w:t>
      </w:r>
    </w:p>
    <w:p w:rsidR="00B03DCD" w:rsidRPr="00605484" w:rsidRDefault="00B03DCD" w:rsidP="00B03DCD">
      <w:pPr>
        <w:numPr>
          <w:ilvl w:val="0"/>
          <w:numId w:val="34"/>
        </w:numPr>
        <w:spacing w:before="120" w:after="120"/>
        <w:ind w:left="714" w:hanging="357"/>
        <w:rPr>
          <w:bCs/>
          <w:color w:val="000000"/>
        </w:rPr>
      </w:pPr>
      <w:r w:rsidRPr="00605484">
        <w:rPr>
          <w:color w:val="000000"/>
          <w:szCs w:val="11"/>
        </w:rPr>
        <w:t>Form for Submission of a Paper (</w:t>
      </w:r>
      <w:r w:rsidRPr="002909DA">
        <w:rPr>
          <w:color w:val="000000"/>
          <w:szCs w:val="11"/>
        </w:rPr>
        <w:t>F</w:t>
      </w:r>
      <w:r w:rsidRPr="00605484">
        <w:rPr>
          <w:color w:val="000000"/>
          <w:szCs w:val="11"/>
        </w:rPr>
        <w:t>orm</w:t>
      </w:r>
      <w:r w:rsidRPr="002909DA">
        <w:rPr>
          <w:color w:val="000000"/>
          <w:szCs w:val="11"/>
        </w:rPr>
        <w:t xml:space="preserve"> B</w:t>
      </w:r>
      <w:r w:rsidRPr="00605484">
        <w:rPr>
          <w:color w:val="000000"/>
          <w:szCs w:val="11"/>
        </w:rPr>
        <w:t>)</w:t>
      </w:r>
    </w:p>
    <w:p w:rsidR="00B03DCD" w:rsidRPr="00605484" w:rsidRDefault="00B03DCD" w:rsidP="00B03DCD">
      <w:pPr>
        <w:pStyle w:val="BodyText"/>
      </w:pPr>
      <w:r w:rsidRPr="00605484">
        <w:rPr>
          <w:b/>
          <w:bCs/>
          <w:color w:val="000000"/>
        </w:rPr>
        <w:t>IMPORTANT:</w:t>
      </w:r>
      <w:r w:rsidRPr="00605484">
        <w:rPr>
          <w:bCs/>
          <w:color w:val="000000"/>
        </w:rPr>
        <w:t xml:space="preserve"> </w:t>
      </w:r>
      <w:r w:rsidRPr="00605484">
        <w:t xml:space="preserve">The electronically received </w:t>
      </w:r>
      <w:r>
        <w:t>synopses</w:t>
      </w:r>
      <w:r w:rsidRPr="00605484">
        <w:t xml:space="preserve"> will be considered by the Programme Committee only if these two forms have been received by the IAEA through the </w:t>
      </w:r>
      <w:r>
        <w:t>established</w:t>
      </w:r>
      <w:r w:rsidRPr="00605484">
        <w:t xml:space="preserve"> official channels (see Section</w:t>
      </w:r>
      <w:r>
        <w:t xml:space="preserve"> </w:t>
      </w:r>
      <w:r w:rsidR="00F834DC">
        <w:t>F</w:t>
      </w:r>
      <w:r>
        <w:t>)</w:t>
      </w:r>
      <w:r w:rsidRPr="00605484">
        <w:t>.</w:t>
      </w:r>
    </w:p>
    <w:p w:rsidR="00A85CBF" w:rsidRPr="00B03DCD" w:rsidRDefault="00A85CBF" w:rsidP="00B03DCD">
      <w:pPr>
        <w:pStyle w:val="Heading2"/>
        <w:rPr>
          <w:sz w:val="24"/>
          <w:szCs w:val="24"/>
        </w:rPr>
      </w:pPr>
      <w:r w:rsidRPr="00B03DCD">
        <w:rPr>
          <w:sz w:val="24"/>
          <w:szCs w:val="24"/>
        </w:rPr>
        <w:t xml:space="preserve">Acceptance of </w:t>
      </w:r>
      <w:r w:rsidR="00B41377" w:rsidRPr="00B03DCD">
        <w:rPr>
          <w:sz w:val="24"/>
          <w:szCs w:val="24"/>
        </w:rPr>
        <w:t>synopses</w:t>
      </w:r>
    </w:p>
    <w:p w:rsidR="00B41377" w:rsidRDefault="00B41377" w:rsidP="00B41377">
      <w:pPr>
        <w:pStyle w:val="BodyText"/>
      </w:pPr>
      <w:r>
        <w:t>Given the number of synopses anticipated and the need to provide ample time for discussion, the number of papers that can be accepted for oral presentation is limited. Authors who prefer to present their papers as posters are requested to indicate this preference on Form</w:t>
      </w:r>
      <w:r w:rsidR="00640DC6">
        <w:t> </w:t>
      </w:r>
      <w:r>
        <w:t>A.</w:t>
      </w:r>
    </w:p>
    <w:p w:rsidR="00F834DC" w:rsidRDefault="00F834DC" w:rsidP="00B41377">
      <w:pPr>
        <w:pStyle w:val="BodyText"/>
      </w:pPr>
      <w:r w:rsidRPr="00F85478">
        <w:rPr>
          <w:szCs w:val="22"/>
        </w:rPr>
        <w:t xml:space="preserve">Authors will be </w:t>
      </w:r>
      <w:r>
        <w:rPr>
          <w:szCs w:val="22"/>
        </w:rPr>
        <w:t>notified</w:t>
      </w:r>
      <w:r w:rsidRPr="00F85478">
        <w:rPr>
          <w:szCs w:val="22"/>
        </w:rPr>
        <w:t xml:space="preserve"> </w:t>
      </w:r>
      <w:r>
        <w:rPr>
          <w:szCs w:val="22"/>
        </w:rPr>
        <w:t xml:space="preserve">by </w:t>
      </w:r>
      <w:r w:rsidRPr="00B03DCD">
        <w:rPr>
          <w:b/>
          <w:szCs w:val="22"/>
        </w:rPr>
        <w:t>14 February 2014</w:t>
      </w:r>
      <w:r>
        <w:rPr>
          <w:szCs w:val="22"/>
        </w:rPr>
        <w:t xml:space="preserve"> </w:t>
      </w:r>
      <w:r w:rsidRPr="00F85478">
        <w:rPr>
          <w:szCs w:val="22"/>
        </w:rPr>
        <w:t xml:space="preserve">whether their papers have been accepted for </w:t>
      </w:r>
      <w:r>
        <w:rPr>
          <w:szCs w:val="22"/>
        </w:rPr>
        <w:t xml:space="preserve">oral presentation or poster </w:t>
      </w:r>
      <w:r w:rsidRPr="00F85478">
        <w:rPr>
          <w:szCs w:val="22"/>
        </w:rPr>
        <w:t>presentation</w:t>
      </w:r>
      <w:r>
        <w:rPr>
          <w:szCs w:val="22"/>
        </w:rPr>
        <w:t>.</w:t>
      </w:r>
    </w:p>
    <w:p w:rsidR="00640DC6" w:rsidRPr="00D34E35" w:rsidRDefault="00640DC6" w:rsidP="00F834DC">
      <w:pPr>
        <w:pStyle w:val="Heading2"/>
        <w:rPr>
          <w:sz w:val="24"/>
          <w:szCs w:val="24"/>
        </w:rPr>
      </w:pPr>
      <w:r w:rsidRPr="00D34E35">
        <w:rPr>
          <w:sz w:val="24"/>
          <w:szCs w:val="24"/>
        </w:rPr>
        <w:t xml:space="preserve">Submission of full </w:t>
      </w:r>
      <w:r w:rsidR="000B2BE1" w:rsidRPr="00D34E35">
        <w:rPr>
          <w:sz w:val="24"/>
          <w:szCs w:val="24"/>
        </w:rPr>
        <w:t>papers</w:t>
      </w:r>
    </w:p>
    <w:p w:rsidR="00F834DC" w:rsidRDefault="00F834DC" w:rsidP="00F834DC">
      <w:pPr>
        <w:pStyle w:val="BodyTextMultiline"/>
        <w:numPr>
          <w:ilvl w:val="0"/>
          <w:numId w:val="0"/>
        </w:numPr>
      </w:pPr>
      <w:r>
        <w:rPr>
          <w:szCs w:val="22"/>
        </w:rPr>
        <w:t xml:space="preserve">Only authors of </w:t>
      </w:r>
      <w:r w:rsidR="00D34E35">
        <w:rPr>
          <w:szCs w:val="22"/>
        </w:rPr>
        <w:t>papers selected for oral presentation</w:t>
      </w:r>
      <w:r>
        <w:rPr>
          <w:szCs w:val="22"/>
        </w:rPr>
        <w:t xml:space="preserve"> are requested to submit a full paper. </w:t>
      </w:r>
      <w:r>
        <w:t xml:space="preserve">Full papers must </w:t>
      </w:r>
      <w:r w:rsidR="007F5BBE">
        <w:t xml:space="preserve">also </w:t>
      </w:r>
      <w:r>
        <w:t xml:space="preserve">be submitted through the IAEA-INDICO file submission system. Specifications for the layout and electronic format of the full papers will be available on the conference web page. The deadline for electronic submission of the full papers as PDF files is </w:t>
      </w:r>
      <w:r w:rsidRPr="00F834DC">
        <w:rPr>
          <w:b/>
        </w:rPr>
        <w:t>2 June</w:t>
      </w:r>
      <w:r w:rsidRPr="00036DA5">
        <w:rPr>
          <w:b/>
        </w:rPr>
        <w:t xml:space="preserve"> 2014</w:t>
      </w:r>
      <w:r>
        <w:t>.</w:t>
      </w:r>
    </w:p>
    <w:p w:rsidR="00F834DC" w:rsidRDefault="00F834DC" w:rsidP="00F834DC">
      <w:pPr>
        <w:pStyle w:val="BodyTextMultiline"/>
        <w:numPr>
          <w:ilvl w:val="0"/>
          <w:numId w:val="0"/>
        </w:numPr>
      </w:pPr>
      <w:r w:rsidRPr="008C1C74">
        <w:rPr>
          <w:b/>
        </w:rPr>
        <w:lastRenderedPageBreak/>
        <w:t>IMPORTANT:</w:t>
      </w:r>
      <w:r>
        <w:t xml:space="preserve"> The system for electronic submission of papers, IAEA-INDICO, is the sole mechanism for submission of regular papers. Authors are encouraged to submit papers as early as possible.</w:t>
      </w:r>
    </w:p>
    <w:p w:rsidR="0039696D" w:rsidRPr="00792232" w:rsidRDefault="0039696D" w:rsidP="00F834DC">
      <w:pPr>
        <w:pStyle w:val="BodyTextMultiline"/>
        <w:numPr>
          <w:ilvl w:val="0"/>
          <w:numId w:val="0"/>
        </w:numPr>
      </w:pPr>
    </w:p>
    <w:p w:rsidR="00733D7D" w:rsidRPr="00D34E35" w:rsidRDefault="00733D7D" w:rsidP="00F834DC">
      <w:pPr>
        <w:pStyle w:val="Heading2"/>
        <w:rPr>
          <w:sz w:val="24"/>
          <w:szCs w:val="24"/>
        </w:rPr>
      </w:pPr>
      <w:r w:rsidRPr="00D34E35">
        <w:rPr>
          <w:sz w:val="24"/>
          <w:szCs w:val="24"/>
        </w:rPr>
        <w:t xml:space="preserve">Conference </w:t>
      </w:r>
      <w:r w:rsidR="00CE1415" w:rsidRPr="00D34E35">
        <w:rPr>
          <w:sz w:val="24"/>
          <w:szCs w:val="24"/>
        </w:rPr>
        <w:t>P</w:t>
      </w:r>
      <w:r w:rsidRPr="00D34E35">
        <w:rPr>
          <w:sz w:val="24"/>
          <w:szCs w:val="24"/>
        </w:rPr>
        <w:t>roceedings</w:t>
      </w:r>
    </w:p>
    <w:p w:rsidR="00733D7D" w:rsidRDefault="00733D7D" w:rsidP="00CE1415">
      <w:pPr>
        <w:pStyle w:val="BodyText"/>
      </w:pPr>
      <w:r>
        <w:t>The proceedings</w:t>
      </w:r>
      <w:r w:rsidR="008B7EE7">
        <w:t xml:space="preserve"> containing</w:t>
      </w:r>
      <w:r w:rsidR="008B28E7">
        <w:t xml:space="preserve"> summar</w:t>
      </w:r>
      <w:r w:rsidR="00CE1415">
        <w:t>ies</w:t>
      </w:r>
      <w:r w:rsidR="008B28E7">
        <w:t xml:space="preserve"> of the plenary and technical sessions as well as full papers presented at the </w:t>
      </w:r>
      <w:r w:rsidR="002A4E69">
        <w:t>c</w:t>
      </w:r>
      <w:r w:rsidR="008B28E7">
        <w:t>onference</w:t>
      </w:r>
      <w:r w:rsidR="008B7EE7">
        <w:t xml:space="preserve"> </w:t>
      </w:r>
      <w:r>
        <w:t>will be published by the IAEA as soon as possible after the conference</w:t>
      </w:r>
      <w:r w:rsidR="008B7EE7">
        <w:t xml:space="preserve">. The proceedings can be ordered, </w:t>
      </w:r>
      <w:r w:rsidR="008B7EE7" w:rsidRPr="008B7EE7">
        <w:t>at a special discounted price</w:t>
      </w:r>
      <w:r w:rsidR="008B7EE7">
        <w:t xml:space="preserve">, during </w:t>
      </w:r>
      <w:r w:rsidR="002C7E3B">
        <w:t xml:space="preserve">or after </w:t>
      </w:r>
      <w:r w:rsidR="008B7EE7">
        <w:t>the conference.</w:t>
      </w:r>
    </w:p>
    <w:p w:rsidR="00733D7D" w:rsidRDefault="00A8775D" w:rsidP="005137FE">
      <w:pPr>
        <w:pStyle w:val="Heading1"/>
        <w:numPr>
          <w:ilvl w:val="0"/>
          <w:numId w:val="21"/>
        </w:numPr>
        <w:spacing w:before="840" w:after="360"/>
      </w:pPr>
      <w:r>
        <w:t xml:space="preserve">Participation and </w:t>
      </w:r>
      <w:r w:rsidR="000A5FE0">
        <w:t>Registration</w:t>
      </w:r>
    </w:p>
    <w:p w:rsidR="00733D7D" w:rsidRDefault="00733D7D" w:rsidP="00253BFC">
      <w:pPr>
        <w:pStyle w:val="BodyText"/>
      </w:pPr>
      <w:r>
        <w:t xml:space="preserve">All persons wishing to participate in the conference are requested to </w:t>
      </w:r>
      <w:r w:rsidRPr="0033018A">
        <w:rPr>
          <w:b/>
        </w:rPr>
        <w:t>register online in advance</w:t>
      </w:r>
      <w:r w:rsidR="0033018A">
        <w:rPr>
          <w:b/>
        </w:rPr>
        <w:t xml:space="preserve"> </w:t>
      </w:r>
      <w:r w:rsidR="0033018A" w:rsidRPr="0033018A">
        <w:t>through the conference web page</w:t>
      </w:r>
      <w:r>
        <w:t xml:space="preserve">. </w:t>
      </w:r>
      <w:r w:rsidRPr="00F51FB9">
        <w:rPr>
          <w:b/>
        </w:rPr>
        <w:t>In addition</w:t>
      </w:r>
      <w:r>
        <w:t xml:space="preserve">, they </w:t>
      </w:r>
      <w:r w:rsidR="0033018A">
        <w:t>are required to</w:t>
      </w:r>
      <w:r>
        <w:t xml:space="preserve"> send a completed Participation Form (Form A)</w:t>
      </w:r>
      <w:r w:rsidR="0033018A">
        <w:t xml:space="preserve"> and, if applicable</w:t>
      </w:r>
      <w:r>
        <w:t>, the Form</w:t>
      </w:r>
      <w:r w:rsidR="00A33BA4">
        <w:t xml:space="preserve"> for Submission of a Paper</w:t>
      </w:r>
      <w:r>
        <w:t xml:space="preserve"> (Form B) and the Grant Application Form (Form C) to the</w:t>
      </w:r>
      <w:r w:rsidR="0033018A">
        <w:t>ir</w:t>
      </w:r>
      <w:r>
        <w:t xml:space="preserve"> competent </w:t>
      </w:r>
      <w:r w:rsidR="0033018A">
        <w:t>national</w:t>
      </w:r>
      <w:r>
        <w:t xml:space="preserve"> authority </w:t>
      </w:r>
      <w:r w:rsidR="002C7E3B">
        <w:t>(</w:t>
      </w:r>
      <w:r w:rsidR="0033018A">
        <w:t xml:space="preserve">e.g. </w:t>
      </w:r>
      <w:r w:rsidR="002C7E3B">
        <w:t>Ministry of Foreign Affairs or National Atomic Energy Authority)</w:t>
      </w:r>
      <w:r w:rsidR="0033018A">
        <w:t>, or to one of the organizations invited to participate,</w:t>
      </w:r>
      <w:r w:rsidR="002C7E3B">
        <w:t xml:space="preserve"> </w:t>
      </w:r>
      <w:r>
        <w:t xml:space="preserve">for subsequent </w:t>
      </w:r>
      <w:r w:rsidR="0033018A">
        <w:t xml:space="preserve">electronic </w:t>
      </w:r>
      <w:r>
        <w:t>transmission to the IAEA</w:t>
      </w:r>
      <w:r w:rsidR="009B3DA9">
        <w:t xml:space="preserve"> </w:t>
      </w:r>
      <w:r w:rsidR="0033018A">
        <w:t>(</w:t>
      </w:r>
      <w:hyperlink r:id="rId13" w:history="1">
        <w:r w:rsidR="009B3DA9" w:rsidRPr="00093AA6">
          <w:rPr>
            <w:rStyle w:val="Hyperlink"/>
          </w:rPr>
          <w:t>official.mail@iaea.org</w:t>
        </w:r>
      </w:hyperlink>
      <w:r w:rsidR="0033018A">
        <w:rPr>
          <w:rStyle w:val="Hyperlink"/>
        </w:rPr>
        <w:t>)</w:t>
      </w:r>
      <w:r>
        <w:t>.</w:t>
      </w:r>
    </w:p>
    <w:p w:rsidR="00AE293E" w:rsidRDefault="00AE293E" w:rsidP="00CC5B05">
      <w:pPr>
        <w:pStyle w:val="BodyText"/>
      </w:pPr>
      <w:r w:rsidRPr="00AE293E">
        <w:t>A participant will be accepted only if the Participation Form is transmitted through the competent national authority of a Member State of the IAEA or by an organization invited to participate.</w:t>
      </w:r>
    </w:p>
    <w:p w:rsidR="00733D7D" w:rsidRDefault="00733D7D" w:rsidP="00CC5B05">
      <w:pPr>
        <w:pStyle w:val="BodyText"/>
      </w:pPr>
      <w:r>
        <w:t xml:space="preserve">Participants whose official designations have been received by the IAEA will receive further information on the conference at least three months before the </w:t>
      </w:r>
      <w:r w:rsidR="00AE293E">
        <w:t>opening</w:t>
      </w:r>
      <w:r w:rsidR="00051966">
        <w:t xml:space="preserve"> of the conference</w:t>
      </w:r>
      <w:r>
        <w:t xml:space="preserve">. This information will also be </w:t>
      </w:r>
      <w:r w:rsidR="00AE293E">
        <w:t>posted</w:t>
      </w:r>
      <w:r w:rsidR="006E42FC">
        <w:t xml:space="preserve"> on the conference web</w:t>
      </w:r>
      <w:r w:rsidR="00AE293E">
        <w:t xml:space="preserve"> page</w:t>
      </w:r>
      <w:r w:rsidRPr="006E42FC">
        <w:t>.</w:t>
      </w:r>
    </w:p>
    <w:p w:rsidR="00733D7D" w:rsidRPr="006E42FC" w:rsidRDefault="00733D7D" w:rsidP="005137FE">
      <w:pPr>
        <w:pStyle w:val="Heading1"/>
        <w:spacing w:before="840" w:after="360"/>
      </w:pPr>
      <w:r w:rsidRPr="006E42FC">
        <w:t>Expenditures</w:t>
      </w:r>
      <w:r w:rsidR="007F5BBE">
        <w:t xml:space="preserve"> and </w:t>
      </w:r>
      <w:r w:rsidR="00DC40A6" w:rsidRPr="006E42FC">
        <w:t>Grants</w:t>
      </w:r>
    </w:p>
    <w:p w:rsidR="002B1DAF" w:rsidRPr="00C362C4" w:rsidRDefault="002B1DAF" w:rsidP="002B1DAF">
      <w:pPr>
        <w:pStyle w:val="BodyText"/>
      </w:pPr>
      <w:r w:rsidRPr="00C362C4">
        <w:t>No registration fee is charged to participants.</w:t>
      </w:r>
    </w:p>
    <w:p w:rsidR="002B1DAF" w:rsidRPr="00755F46" w:rsidRDefault="002B1DAF" w:rsidP="007F5BBE">
      <w:pPr>
        <w:pStyle w:val="BodyText"/>
        <w:rPr>
          <w:szCs w:val="22"/>
        </w:rPr>
      </w:pPr>
      <w:r w:rsidRPr="00755F46">
        <w:rPr>
          <w:szCs w:val="22"/>
        </w:rPr>
        <w:t xml:space="preserve">The IAEA is generally not in a position to bear the travel and other costs of participants </w:t>
      </w:r>
      <w:r>
        <w:rPr>
          <w:szCs w:val="22"/>
        </w:rPr>
        <w:t>in</w:t>
      </w:r>
      <w:r w:rsidRPr="00755F46">
        <w:rPr>
          <w:szCs w:val="22"/>
        </w:rPr>
        <w:t xml:space="preserve"> the conference. The IAEA has, however, limited funds at its disposal to help </w:t>
      </w:r>
      <w:r w:rsidR="007F5BBE">
        <w:rPr>
          <w:szCs w:val="22"/>
        </w:rPr>
        <w:t>meet</w:t>
      </w:r>
      <w:r w:rsidR="007F5BBE" w:rsidRPr="00755F46">
        <w:rPr>
          <w:szCs w:val="22"/>
        </w:rPr>
        <w:t xml:space="preserve"> </w:t>
      </w:r>
      <w:r w:rsidRPr="00755F46">
        <w:rPr>
          <w:szCs w:val="22"/>
        </w:rPr>
        <w:t xml:space="preserve">the cost of attendance of </w:t>
      </w:r>
      <w:r w:rsidR="007F5BBE">
        <w:rPr>
          <w:szCs w:val="22"/>
        </w:rPr>
        <w:t>certain</w:t>
      </w:r>
      <w:r w:rsidR="007F5BBE" w:rsidRPr="00755F46">
        <w:rPr>
          <w:szCs w:val="22"/>
        </w:rPr>
        <w:t xml:space="preserve"> </w:t>
      </w:r>
      <w:r>
        <w:rPr>
          <w:szCs w:val="22"/>
        </w:rPr>
        <w:t>participants</w:t>
      </w:r>
      <w:r w:rsidRPr="00755F46">
        <w:rPr>
          <w:szCs w:val="22"/>
        </w:rPr>
        <w:t>. Such assistance may be offered upon specific request</w:t>
      </w:r>
      <w:r>
        <w:rPr>
          <w:szCs w:val="22"/>
        </w:rPr>
        <w:t xml:space="preserve"> to normally one participant per country</w:t>
      </w:r>
      <w:r w:rsidRPr="00755F46">
        <w:rPr>
          <w:szCs w:val="22"/>
        </w:rPr>
        <w:t xml:space="preserve"> provided that</w:t>
      </w:r>
      <w:r>
        <w:rPr>
          <w:szCs w:val="22"/>
        </w:rPr>
        <w:t>,</w:t>
      </w:r>
      <w:r w:rsidRPr="00755F46">
        <w:rPr>
          <w:szCs w:val="22"/>
        </w:rPr>
        <w:t xml:space="preserve"> in the IAEA</w:t>
      </w:r>
      <w:r>
        <w:rPr>
          <w:szCs w:val="22"/>
        </w:rPr>
        <w:t>’</w:t>
      </w:r>
      <w:r w:rsidRPr="00755F46">
        <w:rPr>
          <w:szCs w:val="22"/>
        </w:rPr>
        <w:t>s view</w:t>
      </w:r>
      <w:r>
        <w:rPr>
          <w:szCs w:val="22"/>
        </w:rPr>
        <w:t>,</w:t>
      </w:r>
      <w:r w:rsidRPr="00755F46">
        <w:rPr>
          <w:szCs w:val="22"/>
        </w:rPr>
        <w:t xml:space="preserve"> the participant </w:t>
      </w:r>
      <w:r>
        <w:rPr>
          <w:szCs w:val="22"/>
        </w:rPr>
        <w:t xml:space="preserve">on whose behalf assistance is requested </w:t>
      </w:r>
      <w:r w:rsidRPr="00755F46">
        <w:rPr>
          <w:szCs w:val="22"/>
        </w:rPr>
        <w:t xml:space="preserve">will make an important contribution to the </w:t>
      </w:r>
      <w:r>
        <w:rPr>
          <w:szCs w:val="22"/>
        </w:rPr>
        <w:t>conference</w:t>
      </w:r>
      <w:r w:rsidRPr="00755F46">
        <w:rPr>
          <w:szCs w:val="22"/>
        </w:rPr>
        <w:t>.</w:t>
      </w:r>
    </w:p>
    <w:p w:rsidR="002B1DAF" w:rsidRPr="00755F46" w:rsidRDefault="002B1DAF" w:rsidP="002B1DAF">
      <w:pPr>
        <w:pStyle w:val="BodyText"/>
        <w:rPr>
          <w:szCs w:val="22"/>
        </w:rPr>
      </w:pPr>
      <w:r w:rsidRPr="00755F46">
        <w:rPr>
          <w:szCs w:val="22"/>
        </w:rPr>
        <w:t>If governments wish to apply for a grant on behalf of one of their specialists, they should address specific requests to the IAEA to this effect. Governments should ensure that applications for grants are:</w:t>
      </w:r>
    </w:p>
    <w:p w:rsidR="002B1DAF" w:rsidRPr="008E11A1" w:rsidRDefault="002B1DAF" w:rsidP="002B1DAF">
      <w:pPr>
        <w:pStyle w:val="BodyText"/>
        <w:ind w:left="567"/>
        <w:rPr>
          <w:szCs w:val="22"/>
        </w:rPr>
      </w:pPr>
      <w:r w:rsidRPr="008E11A1">
        <w:rPr>
          <w:szCs w:val="22"/>
        </w:rPr>
        <w:t>1.</w:t>
      </w:r>
      <w:r w:rsidRPr="008E11A1">
        <w:rPr>
          <w:szCs w:val="22"/>
        </w:rPr>
        <w:tab/>
        <w:t xml:space="preserve">Submitted </w:t>
      </w:r>
      <w:r w:rsidRPr="00014337">
        <w:rPr>
          <w:szCs w:val="22"/>
        </w:rPr>
        <w:t>by</w:t>
      </w:r>
      <w:r>
        <w:rPr>
          <w:b/>
          <w:szCs w:val="22"/>
        </w:rPr>
        <w:t xml:space="preserve"> </w:t>
      </w:r>
      <w:r w:rsidR="001160EC">
        <w:rPr>
          <w:b/>
          <w:szCs w:val="22"/>
        </w:rPr>
        <w:t>15 December</w:t>
      </w:r>
      <w:r w:rsidR="00CC5AD0">
        <w:rPr>
          <w:b/>
          <w:szCs w:val="22"/>
        </w:rPr>
        <w:t xml:space="preserve"> 2013</w:t>
      </w:r>
      <w:r w:rsidRPr="008E11A1">
        <w:rPr>
          <w:szCs w:val="22"/>
        </w:rPr>
        <w:t>;</w:t>
      </w:r>
    </w:p>
    <w:p w:rsidR="002B1DAF" w:rsidRPr="008E11A1" w:rsidRDefault="002B1DAF" w:rsidP="002B1DAF">
      <w:pPr>
        <w:pStyle w:val="BodyText"/>
        <w:ind w:left="567"/>
        <w:rPr>
          <w:szCs w:val="22"/>
        </w:rPr>
      </w:pPr>
      <w:r w:rsidRPr="008E11A1">
        <w:rPr>
          <w:szCs w:val="22"/>
        </w:rPr>
        <w:t>2.</w:t>
      </w:r>
      <w:r w:rsidRPr="008E11A1">
        <w:rPr>
          <w:szCs w:val="22"/>
        </w:rPr>
        <w:tab/>
        <w:t>Accompanied by a completed and signed Grant Application Form (Form C);</w:t>
      </w:r>
      <w:r>
        <w:rPr>
          <w:szCs w:val="22"/>
        </w:rPr>
        <w:t xml:space="preserve"> and</w:t>
      </w:r>
    </w:p>
    <w:p w:rsidR="002B1DAF" w:rsidRDefault="002B1DAF" w:rsidP="002B1DAF">
      <w:pPr>
        <w:pStyle w:val="BodyText"/>
        <w:ind w:left="567"/>
        <w:rPr>
          <w:szCs w:val="22"/>
        </w:rPr>
      </w:pPr>
      <w:r w:rsidRPr="008E11A1">
        <w:rPr>
          <w:szCs w:val="22"/>
        </w:rPr>
        <w:t>3.</w:t>
      </w:r>
      <w:r w:rsidRPr="008E11A1">
        <w:rPr>
          <w:szCs w:val="22"/>
        </w:rPr>
        <w:tab/>
        <w:t>Accompanied by a completed Participation Form (Form A).</w:t>
      </w:r>
    </w:p>
    <w:p w:rsidR="002B1DAF" w:rsidRPr="00755F46" w:rsidRDefault="002B1DAF" w:rsidP="002B1DAF">
      <w:pPr>
        <w:pStyle w:val="BodyText"/>
      </w:pPr>
      <w:r w:rsidRPr="00755F46">
        <w:lastRenderedPageBreak/>
        <w:t>Applications that do not comply with the above conditions cannot be considered.</w:t>
      </w:r>
    </w:p>
    <w:p w:rsidR="002B1DAF" w:rsidRPr="00C362C4" w:rsidRDefault="002B1DAF" w:rsidP="002B1DAF">
      <w:pPr>
        <w:pStyle w:val="BodyText"/>
      </w:pPr>
      <w:r w:rsidRPr="00755F46">
        <w:t xml:space="preserve">Approved grants will be issued in the form of a lump sum payment that usually </w:t>
      </w:r>
      <w:r w:rsidRPr="00A23F13">
        <w:rPr>
          <w:b/>
        </w:rPr>
        <w:t>covers only part of the cost of attendance</w:t>
      </w:r>
      <w:r w:rsidRPr="00C362C4">
        <w:t>.</w:t>
      </w:r>
    </w:p>
    <w:p w:rsidR="00733D7D" w:rsidRDefault="00733D7D" w:rsidP="005137FE">
      <w:pPr>
        <w:pStyle w:val="Heading1"/>
        <w:spacing w:before="840" w:after="360"/>
      </w:pPr>
      <w:r>
        <w:t>Working Language</w:t>
      </w:r>
    </w:p>
    <w:p w:rsidR="00AF50D5" w:rsidRDefault="00733D7D" w:rsidP="00733D7D">
      <w:pPr>
        <w:pStyle w:val="BodyText"/>
      </w:pPr>
      <w:r>
        <w:t>The working language of the conference will be English.</w:t>
      </w:r>
      <w:r w:rsidR="002B1DAF">
        <w:t xml:space="preserve"> </w:t>
      </w:r>
      <w:r w:rsidR="002B1DAF" w:rsidRPr="002B1DAF">
        <w:t>All communications and papers must be sent to the IAEA in English.</w:t>
      </w:r>
    </w:p>
    <w:p w:rsidR="009F44B5" w:rsidRPr="009F44B5" w:rsidRDefault="009F44B5" w:rsidP="005137FE">
      <w:pPr>
        <w:pStyle w:val="Heading1"/>
        <w:spacing w:before="840" w:after="360"/>
      </w:pPr>
      <w:r w:rsidRPr="009F44B5">
        <w:t>Conference Venue and Accommodation</w:t>
      </w:r>
    </w:p>
    <w:p w:rsidR="002B1DAF" w:rsidRDefault="002B1DAF" w:rsidP="002B1DAF">
      <w:pPr>
        <w:pStyle w:val="BodyText"/>
        <w:rPr>
          <w:szCs w:val="22"/>
        </w:rPr>
      </w:pPr>
      <w:r w:rsidRPr="00755F46">
        <w:rPr>
          <w:szCs w:val="22"/>
        </w:rPr>
        <w:t xml:space="preserve">The conference will be held </w:t>
      </w:r>
      <w:r w:rsidRPr="002B5BAE">
        <w:rPr>
          <w:szCs w:val="22"/>
        </w:rPr>
        <w:t>at the IAEA’s Headquarters in Vienna, Austria</w:t>
      </w:r>
      <w:r w:rsidRPr="00755F46">
        <w:rPr>
          <w:szCs w:val="22"/>
        </w:rPr>
        <w:t xml:space="preserve">. Detailed information on accommodation and other relevant matters will be sent directly to all designated participants approximately three months before the </w:t>
      </w:r>
      <w:r>
        <w:rPr>
          <w:szCs w:val="22"/>
        </w:rPr>
        <w:t>opening of the conference</w:t>
      </w:r>
      <w:r w:rsidRPr="00755F46">
        <w:rPr>
          <w:szCs w:val="22"/>
        </w:rPr>
        <w:t xml:space="preserve">. This information will also be made available on the </w:t>
      </w:r>
      <w:r>
        <w:rPr>
          <w:szCs w:val="22"/>
        </w:rPr>
        <w:t>c</w:t>
      </w:r>
      <w:r w:rsidRPr="00755F46">
        <w:rPr>
          <w:szCs w:val="22"/>
        </w:rPr>
        <w:t>onference web page as soon as possible</w:t>
      </w:r>
      <w:r>
        <w:rPr>
          <w:szCs w:val="22"/>
        </w:rPr>
        <w:t>.</w:t>
      </w:r>
    </w:p>
    <w:p w:rsidR="00733D7D" w:rsidRDefault="00733D7D" w:rsidP="005137FE">
      <w:pPr>
        <w:pStyle w:val="Heading1"/>
        <w:spacing w:before="840" w:after="360"/>
      </w:pPr>
      <w:r>
        <w:t>Visa</w:t>
      </w:r>
      <w:r w:rsidR="00877F18">
        <w:t>s</w:t>
      </w:r>
    </w:p>
    <w:p w:rsidR="002B1DAF" w:rsidRPr="00A23F13" w:rsidRDefault="002B1DAF" w:rsidP="002B1DAF">
      <w:pPr>
        <w:overflowPunct/>
        <w:spacing w:after="170" w:line="280" w:lineRule="atLeast"/>
        <w:jc w:val="both"/>
        <w:textAlignment w:val="auto"/>
      </w:pPr>
      <w:r w:rsidRPr="00A23F13">
        <w:t>Designated participants who require a visa to enter Austria should submit the necessary application to</w:t>
      </w:r>
      <w:r>
        <w:t xml:space="preserve"> </w:t>
      </w:r>
      <w:r w:rsidRPr="00A23F13">
        <w:t>the nearest diplomatic or consular representative of Austria at least four weeks before they travel to</w:t>
      </w:r>
      <w:r>
        <w:t xml:space="preserve"> </w:t>
      </w:r>
      <w:r w:rsidRPr="00A23F13">
        <w:t>Austria. Since Austria is a Schengen State, persons requiring a visa will have to apply for a Schengen</w:t>
      </w:r>
      <w:r>
        <w:t xml:space="preserve"> </w:t>
      </w:r>
      <w:r w:rsidRPr="00A23F13">
        <w:t>visa. In States where Austria has no diplomatic mission, visas can be obtained from the consular</w:t>
      </w:r>
      <w:r>
        <w:t xml:space="preserve"> </w:t>
      </w:r>
      <w:r w:rsidRPr="002B5BAE">
        <w:rPr>
          <w:szCs w:val="22"/>
          <w:lang w:eastAsia="en-GB"/>
        </w:rPr>
        <w:t>authority of a Schengen Partner State representing Austria in the country in question.</w:t>
      </w:r>
    </w:p>
    <w:p w:rsidR="00733D7D" w:rsidRPr="00A76996" w:rsidRDefault="00F82C2F" w:rsidP="00253BFC">
      <w:pPr>
        <w:pStyle w:val="Heading1"/>
        <w:spacing w:before="840" w:after="360"/>
      </w:pPr>
      <w:r w:rsidRPr="00A76996">
        <w:t>Key Deadlines</w:t>
      </w:r>
      <w:r w:rsidR="003F552A">
        <w:t xml:space="preserve"> and Dates</w:t>
      </w:r>
    </w:p>
    <w:p w:rsidR="002B1DAF" w:rsidRPr="009E3C6D" w:rsidRDefault="002B1DAF" w:rsidP="00D31D6F">
      <w:pPr>
        <w:pStyle w:val="BodyText"/>
        <w:rPr>
          <w:color w:val="000000" w:themeColor="text1"/>
        </w:rPr>
      </w:pPr>
      <w:r w:rsidRPr="00280ABF">
        <w:t xml:space="preserve">Submission of </w:t>
      </w:r>
      <w:r>
        <w:t>Form for Submission of a Paper (</w:t>
      </w:r>
      <w:r w:rsidRPr="00280ABF">
        <w:t>Form B</w:t>
      </w:r>
      <w:r>
        <w:t>)</w:t>
      </w:r>
      <w:r w:rsidRPr="00280ABF">
        <w:t xml:space="preserve"> and </w:t>
      </w:r>
      <w:r w:rsidR="00A936F4">
        <w:t>synopsis</w:t>
      </w:r>
      <w:r>
        <w:t>:</w:t>
      </w:r>
      <w:r>
        <w:tab/>
      </w:r>
      <w:r w:rsidR="001160EC">
        <w:rPr>
          <w:b/>
          <w:bCs/>
          <w:color w:val="000000" w:themeColor="text1"/>
        </w:rPr>
        <w:t>15 December</w:t>
      </w:r>
      <w:r w:rsidR="000819E0" w:rsidRPr="00D31D6F">
        <w:rPr>
          <w:b/>
          <w:bCs/>
          <w:color w:val="000000" w:themeColor="text1"/>
        </w:rPr>
        <w:t xml:space="preserve"> 2013</w:t>
      </w:r>
    </w:p>
    <w:p w:rsidR="002B1DAF" w:rsidRPr="00D31D6F" w:rsidRDefault="002B1DAF" w:rsidP="00D31D6F">
      <w:pPr>
        <w:pStyle w:val="BodyText"/>
        <w:rPr>
          <w:b/>
          <w:bCs/>
          <w:color w:val="000000" w:themeColor="text1"/>
        </w:rPr>
      </w:pPr>
      <w:r w:rsidRPr="009E3C6D">
        <w:rPr>
          <w:color w:val="000000" w:themeColor="text1"/>
        </w:rPr>
        <w:t>Submission of Grant Application Form (Form C):</w:t>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001160EC">
        <w:rPr>
          <w:b/>
          <w:bCs/>
          <w:color w:val="000000" w:themeColor="text1"/>
        </w:rPr>
        <w:t xml:space="preserve">15 December </w:t>
      </w:r>
      <w:r w:rsidR="00CC5AD0" w:rsidRPr="00D31D6F">
        <w:rPr>
          <w:b/>
          <w:bCs/>
          <w:color w:val="000000" w:themeColor="text1"/>
        </w:rPr>
        <w:t>2013</w:t>
      </w:r>
    </w:p>
    <w:p w:rsidR="002B1DAF" w:rsidRPr="00D31D6F" w:rsidRDefault="002B1DAF" w:rsidP="00D31D6F">
      <w:pPr>
        <w:pStyle w:val="BodyText"/>
        <w:rPr>
          <w:b/>
          <w:bCs/>
          <w:color w:val="000000" w:themeColor="text1"/>
        </w:rPr>
      </w:pPr>
      <w:r w:rsidRPr="009E3C6D">
        <w:rPr>
          <w:color w:val="000000" w:themeColor="text1"/>
        </w:rPr>
        <w:t>Notification of acceptance of papers:</w:t>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000819E0" w:rsidRPr="00D31D6F">
        <w:rPr>
          <w:b/>
          <w:bCs/>
          <w:color w:val="000000" w:themeColor="text1"/>
        </w:rPr>
        <w:t>14 February 2014</w:t>
      </w:r>
    </w:p>
    <w:p w:rsidR="0039696D" w:rsidRDefault="002B1DAF" w:rsidP="00D31D6F">
      <w:pPr>
        <w:pStyle w:val="BodyText"/>
        <w:rPr>
          <w:color w:val="000000" w:themeColor="text1"/>
        </w:rPr>
      </w:pPr>
      <w:r w:rsidRPr="009E3C6D">
        <w:rPr>
          <w:color w:val="000000" w:themeColor="text1"/>
        </w:rPr>
        <w:t>Submission of accepted full paper (</w:t>
      </w:r>
      <w:r w:rsidR="000819E0" w:rsidRPr="009E3C6D">
        <w:rPr>
          <w:color w:val="000000" w:themeColor="text1"/>
        </w:rPr>
        <w:t>10</w:t>
      </w:r>
      <w:r w:rsidRPr="009E3C6D">
        <w:rPr>
          <w:color w:val="000000" w:themeColor="text1"/>
        </w:rPr>
        <w:t xml:space="preserve"> pages max.):</w:t>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000819E0" w:rsidRPr="008A741F">
        <w:rPr>
          <w:b/>
          <w:color w:val="000000" w:themeColor="text1"/>
        </w:rPr>
        <w:t>2 June 2014</w:t>
      </w:r>
    </w:p>
    <w:p w:rsidR="00733D7D" w:rsidRDefault="00F82C2F" w:rsidP="00D31D6F">
      <w:pPr>
        <w:pStyle w:val="Heading1"/>
        <w:keepNext/>
        <w:keepLines/>
        <w:spacing w:before="840" w:after="360"/>
      </w:pPr>
      <w:r>
        <w:lastRenderedPageBreak/>
        <w:t>Conference Secretariat</w:t>
      </w:r>
    </w:p>
    <w:p w:rsidR="00797EF7" w:rsidRPr="00C362C4" w:rsidRDefault="00797EF7" w:rsidP="007F5BBE">
      <w:pPr>
        <w:pStyle w:val="BodyText"/>
        <w:keepNext/>
        <w:keepLines/>
        <w:rPr>
          <w:b/>
        </w:rPr>
      </w:pPr>
      <w:r>
        <w:rPr>
          <w:b/>
        </w:rPr>
        <w:t>General contact details</w:t>
      </w:r>
      <w:r w:rsidRPr="00C362C4">
        <w:rPr>
          <w:b/>
        </w:rPr>
        <w:t xml:space="preserve"> of the Conference Secretariat:</w:t>
      </w:r>
    </w:p>
    <w:p w:rsidR="00797EF7" w:rsidRDefault="00797EF7" w:rsidP="007F5BBE">
      <w:pPr>
        <w:pStyle w:val="BodyText"/>
        <w:keepNext/>
        <w:keepLines/>
      </w:pPr>
      <w:r w:rsidRPr="006F271E">
        <w:rPr>
          <w:rFonts w:eastAsia="MS Mincho"/>
          <w:szCs w:val="22"/>
        </w:rPr>
        <w:t>International Atomic Energy Agency</w:t>
      </w:r>
      <w:r w:rsidRPr="00755F46">
        <w:br/>
      </w:r>
      <w:r w:rsidRPr="006F271E">
        <w:rPr>
          <w:rFonts w:eastAsia="MS Mincho"/>
          <w:szCs w:val="22"/>
        </w:rPr>
        <w:t>Vienna International Centre</w:t>
      </w:r>
      <w:r>
        <w:rPr>
          <w:rFonts w:eastAsia="MS Mincho"/>
          <w:szCs w:val="22"/>
        </w:rPr>
        <w:br/>
      </w:r>
      <w:r w:rsidRPr="006F271E">
        <w:rPr>
          <w:rFonts w:eastAsia="MS Mincho"/>
          <w:szCs w:val="22"/>
        </w:rPr>
        <w:t>PO Box 100</w:t>
      </w:r>
      <w:r w:rsidRPr="00755F46">
        <w:br/>
      </w:r>
      <w:r w:rsidRPr="006F271E">
        <w:rPr>
          <w:rFonts w:eastAsia="MS Mincho"/>
          <w:szCs w:val="22"/>
        </w:rPr>
        <w:t>1400 V</w:t>
      </w:r>
      <w:r>
        <w:rPr>
          <w:rFonts w:eastAsia="MS Mincho"/>
          <w:szCs w:val="22"/>
        </w:rPr>
        <w:t>IENNA</w:t>
      </w:r>
      <w:r>
        <w:rPr>
          <w:rFonts w:eastAsia="MS Mincho"/>
          <w:szCs w:val="22"/>
        </w:rPr>
        <w:br/>
      </w:r>
      <w:r w:rsidRPr="006F271E">
        <w:rPr>
          <w:rFonts w:eastAsia="MS Mincho"/>
          <w:szCs w:val="22"/>
        </w:rPr>
        <w:t>A</w:t>
      </w:r>
      <w:r>
        <w:rPr>
          <w:rFonts w:eastAsia="MS Mincho"/>
          <w:szCs w:val="22"/>
        </w:rPr>
        <w:t>USTRIA</w:t>
      </w:r>
      <w:r w:rsidRPr="00755F46">
        <w:br/>
      </w:r>
      <w:r w:rsidRPr="006F271E">
        <w:rPr>
          <w:rFonts w:eastAsia="MS Mincho"/>
          <w:szCs w:val="22"/>
          <w:lang w:eastAsia="ja-JP"/>
        </w:rPr>
        <w:t>Tel.: +43 1 2600</w:t>
      </w:r>
      <w:r w:rsidRPr="00755F46">
        <w:br/>
      </w:r>
      <w:r w:rsidRPr="006F271E">
        <w:rPr>
          <w:rFonts w:eastAsia="MS Mincho"/>
          <w:szCs w:val="22"/>
          <w:lang w:eastAsia="ja-JP"/>
        </w:rPr>
        <w:t>Fax: +43 1 2600 2007</w:t>
      </w:r>
      <w:r w:rsidRPr="00755F46">
        <w:br/>
      </w:r>
      <w:r w:rsidRPr="00C362C4">
        <w:rPr>
          <w:rFonts w:eastAsia="MS Mincho"/>
          <w:szCs w:val="22"/>
          <w:lang w:eastAsia="ja-JP"/>
        </w:rPr>
        <w:t xml:space="preserve">Email: </w:t>
      </w:r>
      <w:hyperlink r:id="rId14" w:history="1">
        <w:r w:rsidRPr="005F7FDC">
          <w:rPr>
            <w:rStyle w:val="Hyperlink"/>
            <w:rFonts w:eastAsia="Batang"/>
            <w:szCs w:val="22"/>
            <w:lang w:eastAsia="ko-KR"/>
          </w:rPr>
          <w:t>official.mail@iaea.org</w:t>
        </w:r>
      </w:hyperlink>
    </w:p>
    <w:p w:rsidR="0039696D" w:rsidRDefault="0039696D" w:rsidP="006B683F">
      <w:pPr>
        <w:pStyle w:val="Heading4"/>
      </w:pPr>
    </w:p>
    <w:p w:rsidR="00733D7D" w:rsidRPr="00203954" w:rsidRDefault="00A76996" w:rsidP="006B683F">
      <w:pPr>
        <w:pStyle w:val="Heading4"/>
      </w:pPr>
      <w:r>
        <w:t>Scientific Secretar</w:t>
      </w:r>
      <w:r w:rsidR="00797EF7">
        <w:t>y</w:t>
      </w:r>
      <w:r w:rsidR="00203954" w:rsidRPr="00203954">
        <w:t xml:space="preserve"> </w:t>
      </w:r>
      <w:r w:rsidR="00797EF7">
        <w:t>of the conference</w:t>
      </w:r>
      <w:r w:rsidR="00733D7D" w:rsidRPr="00203954">
        <w:t>:</w:t>
      </w:r>
    </w:p>
    <w:p w:rsidR="009B4FE3" w:rsidRDefault="009B4FE3" w:rsidP="00203954">
      <w:pPr>
        <w:pStyle w:val="BodyText"/>
        <w:spacing w:after="0"/>
      </w:pPr>
    </w:p>
    <w:p w:rsidR="00797EF7" w:rsidRDefault="00A303CE" w:rsidP="00A303CE">
      <w:pPr>
        <w:pStyle w:val="BodyText"/>
        <w:spacing w:after="0"/>
      </w:pPr>
      <w:r>
        <w:rPr>
          <w:b/>
        </w:rPr>
        <w:t xml:space="preserve">Mr </w:t>
      </w:r>
      <w:r w:rsidR="00797EF7">
        <w:rPr>
          <w:b/>
        </w:rPr>
        <w:t>David K</w:t>
      </w:r>
      <w:r w:rsidR="009E3C6D">
        <w:rPr>
          <w:b/>
        </w:rPr>
        <w:t>enneth</w:t>
      </w:r>
      <w:r w:rsidR="00797EF7">
        <w:rPr>
          <w:b/>
        </w:rPr>
        <w:t xml:space="preserve"> Smith</w:t>
      </w:r>
      <w:r w:rsidRPr="009B4FE3">
        <w:rPr>
          <w:b/>
        </w:rPr>
        <w:br/>
      </w:r>
      <w:r w:rsidR="00797EF7">
        <w:t>Nuclear Security Coordinator (Forensics)</w:t>
      </w:r>
    </w:p>
    <w:p w:rsidR="00A303CE" w:rsidRDefault="00797EF7" w:rsidP="00A303CE">
      <w:pPr>
        <w:pStyle w:val="BodyText"/>
        <w:spacing w:after="0"/>
      </w:pPr>
      <w:r>
        <w:t>Office of Nuclear Security</w:t>
      </w:r>
      <w:r w:rsidR="00B22274">
        <w:br/>
      </w:r>
      <w:r>
        <w:t>Department of Nuclear Safety and Security</w:t>
      </w:r>
    </w:p>
    <w:p w:rsidR="007F5BBE" w:rsidRDefault="00A303CE" w:rsidP="00B22274">
      <w:pPr>
        <w:pStyle w:val="BodyText"/>
        <w:spacing w:after="0"/>
        <w:jc w:val="left"/>
      </w:pPr>
      <w:r w:rsidRPr="00D31D6F">
        <w:t>Tel.: +</w:t>
      </w:r>
      <w:r w:rsidR="00AF50D5" w:rsidRPr="00D31D6F">
        <w:t>43</w:t>
      </w:r>
      <w:r w:rsidR="00B22274" w:rsidRPr="00D31D6F">
        <w:t xml:space="preserve"> </w:t>
      </w:r>
      <w:r w:rsidR="00AF50D5" w:rsidRPr="00D31D6F">
        <w:t>1</w:t>
      </w:r>
      <w:r w:rsidR="00B22274" w:rsidRPr="00D31D6F">
        <w:t xml:space="preserve"> </w:t>
      </w:r>
      <w:r w:rsidRPr="00D31D6F">
        <w:t xml:space="preserve">2600 </w:t>
      </w:r>
      <w:r w:rsidR="00797EF7" w:rsidRPr="00D31D6F">
        <w:t>26248</w:t>
      </w:r>
    </w:p>
    <w:p w:rsidR="00366C44" w:rsidRPr="008B6322" w:rsidRDefault="00A303CE" w:rsidP="00B22274">
      <w:pPr>
        <w:pStyle w:val="BodyText"/>
        <w:spacing w:after="0"/>
        <w:jc w:val="left"/>
      </w:pPr>
      <w:r w:rsidRPr="008B6322">
        <w:t xml:space="preserve">Email: </w:t>
      </w:r>
      <w:hyperlink r:id="rId15" w:history="1">
        <w:r w:rsidR="00366C44" w:rsidRPr="008B6322">
          <w:rPr>
            <w:rStyle w:val="Hyperlink"/>
          </w:rPr>
          <w:t>NuclearForensics2014@iaea.org</w:t>
        </w:r>
      </w:hyperlink>
    </w:p>
    <w:p w:rsidR="00A303CE" w:rsidRPr="008B6322" w:rsidRDefault="00A303CE" w:rsidP="00D10DE9">
      <w:pPr>
        <w:pStyle w:val="BodyText"/>
        <w:spacing w:after="0"/>
        <w:rPr>
          <w:b/>
        </w:rPr>
      </w:pPr>
    </w:p>
    <w:p w:rsidR="00733D7D" w:rsidRDefault="00733D7D" w:rsidP="00B22274">
      <w:pPr>
        <w:pStyle w:val="Heading4"/>
      </w:pPr>
      <w:r w:rsidRPr="00E02D1C">
        <w:t xml:space="preserve">Administration and </w:t>
      </w:r>
      <w:r w:rsidR="00B22274">
        <w:t>o</w:t>
      </w:r>
      <w:r w:rsidRPr="00E02D1C">
        <w:t>rganization:</w:t>
      </w:r>
    </w:p>
    <w:p w:rsidR="00D10DE9" w:rsidRPr="00D10DE9" w:rsidRDefault="00D10DE9" w:rsidP="00AE2E9B">
      <w:pPr>
        <w:pStyle w:val="BodyTextMultiline"/>
        <w:numPr>
          <w:ilvl w:val="0"/>
          <w:numId w:val="0"/>
        </w:numPr>
        <w:spacing w:after="0"/>
        <w:rPr>
          <w:lang w:val="en-US"/>
        </w:rPr>
      </w:pPr>
    </w:p>
    <w:p w:rsidR="007532E2" w:rsidRPr="007532E2" w:rsidRDefault="007532E2" w:rsidP="007532E2">
      <w:pPr>
        <w:pStyle w:val="BodyText"/>
        <w:spacing w:after="0"/>
        <w:rPr>
          <w:b/>
          <w:bCs/>
        </w:rPr>
      </w:pPr>
      <w:r w:rsidRPr="007532E2">
        <w:rPr>
          <w:b/>
          <w:bCs/>
        </w:rPr>
        <w:t>Ms Martina Khaelss</w:t>
      </w:r>
    </w:p>
    <w:p w:rsidR="00733D7D" w:rsidRDefault="00733D7D" w:rsidP="00B22274">
      <w:pPr>
        <w:pStyle w:val="BodyText"/>
        <w:rPr>
          <w:rStyle w:val="Hyperlink"/>
        </w:rPr>
      </w:pPr>
      <w:r>
        <w:t>Conference Services Section</w:t>
      </w:r>
      <w:r w:rsidR="00D219E7">
        <w:br/>
      </w:r>
      <w:r>
        <w:t>Division of Conference and Document Services</w:t>
      </w:r>
      <w:r w:rsidR="00ED5825">
        <w:br/>
        <w:t>Department of Management</w:t>
      </w:r>
      <w:r w:rsidR="00D219E7">
        <w:br/>
      </w:r>
      <w:r>
        <w:t>IAEA-CN-</w:t>
      </w:r>
      <w:r w:rsidR="00797EF7">
        <w:t>218</w:t>
      </w:r>
      <w:r w:rsidR="00D219E7">
        <w:br/>
      </w:r>
      <w:r>
        <w:t>Tel.: +</w:t>
      </w:r>
      <w:r w:rsidR="00AF50D5">
        <w:t>43</w:t>
      </w:r>
      <w:r w:rsidR="00B22274">
        <w:t xml:space="preserve"> </w:t>
      </w:r>
      <w:r w:rsidR="00AF50D5">
        <w:t>1</w:t>
      </w:r>
      <w:r w:rsidR="00B22274">
        <w:t xml:space="preserve"> </w:t>
      </w:r>
      <w:r>
        <w:t xml:space="preserve">2600 </w:t>
      </w:r>
      <w:r w:rsidR="009F44B5">
        <w:t>2131</w:t>
      </w:r>
      <w:r w:rsidR="007532E2">
        <w:t>5</w:t>
      </w:r>
      <w:r w:rsidR="00D219E7">
        <w:br/>
      </w:r>
      <w:r w:rsidRPr="00D219E7">
        <w:t xml:space="preserve">Email: </w:t>
      </w:r>
      <w:hyperlink r:id="rId16" w:history="1">
        <w:r w:rsidR="00366C44" w:rsidRPr="00FA10F2">
          <w:rPr>
            <w:rStyle w:val="Hyperlink"/>
          </w:rPr>
          <w:t>M.Khaelss@iaea.org</w:t>
        </w:r>
      </w:hyperlink>
    </w:p>
    <w:p w:rsidR="00733D7D" w:rsidRDefault="00733D7D" w:rsidP="00733D7D">
      <w:pPr>
        <w:pStyle w:val="BodyText"/>
      </w:pPr>
      <w:r>
        <w:t>Subsequent correspondence on scientific matters should be sent to the Scientific Secretar</w:t>
      </w:r>
      <w:r w:rsidR="00797EF7">
        <w:t>y</w:t>
      </w:r>
      <w:r>
        <w:t xml:space="preserve"> and correspondence on administrative matters to the IAEA</w:t>
      </w:r>
      <w:r w:rsidR="009302ED">
        <w:t>’s</w:t>
      </w:r>
      <w:r>
        <w:t xml:space="preserve"> Conference Services Section.</w:t>
      </w:r>
    </w:p>
    <w:p w:rsidR="00733D7D" w:rsidRDefault="00F82C2F" w:rsidP="005137FE">
      <w:pPr>
        <w:pStyle w:val="Heading1"/>
        <w:spacing w:before="840" w:after="360"/>
      </w:pPr>
      <w:r>
        <w:t xml:space="preserve">Conference </w:t>
      </w:r>
      <w:r w:rsidR="00797EF7">
        <w:t>W</w:t>
      </w:r>
      <w:r>
        <w:t>eb</w:t>
      </w:r>
      <w:r w:rsidR="00797EF7">
        <w:t xml:space="preserve"> Page</w:t>
      </w:r>
    </w:p>
    <w:p w:rsidR="00733D7D" w:rsidRDefault="00733D7D" w:rsidP="003F552A">
      <w:pPr>
        <w:pStyle w:val="BodyText"/>
      </w:pPr>
      <w:r>
        <w:t>Please visit the IAEA conference web</w:t>
      </w:r>
      <w:r w:rsidR="00797EF7">
        <w:t xml:space="preserve"> page</w:t>
      </w:r>
      <w:r>
        <w:t xml:space="preserve"> regularly for new information regarding this conference:</w:t>
      </w:r>
    </w:p>
    <w:p w:rsidR="00366C44" w:rsidRDefault="00BF32D2" w:rsidP="00A64393">
      <w:pPr>
        <w:pStyle w:val="BodyText"/>
      </w:pPr>
      <w:hyperlink r:id="rId17" w:history="1">
        <w:r w:rsidR="001C594E" w:rsidRPr="001C594E">
          <w:rPr>
            <w:rStyle w:val="Hyperlink"/>
          </w:rPr>
          <w:t>http://www-pub.iaea.org/iaeameetings/46088/International Conference on Advances-in-Nuclear-Forensics-Countering-the-Evolving-Threat-of-Nuclear-and-Other-Radioactive-Material-out-of-Regulatory-Control</w:t>
        </w:r>
      </w:hyperlink>
    </w:p>
    <w:sectPr w:rsidR="00366C44" w:rsidSect="00621156">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531" w:right="1418"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1C" w:rsidRDefault="0056241C">
      <w:r>
        <w:separator/>
      </w:r>
    </w:p>
  </w:endnote>
  <w:endnote w:type="continuationSeparator" w:id="0">
    <w:p w:rsidR="0056241C" w:rsidRDefault="0056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6" w:rsidRDefault="00621156">
    <w:pPr>
      <w:pStyle w:val="zyxClassification1"/>
    </w:pPr>
    <w:r>
      <w:fldChar w:fldCharType="begin"/>
    </w:r>
    <w:r>
      <w:instrText xml:space="preserve"> DOCPROPERTY "IaeaClassification"  \* MERGEFORMAT </w:instrText>
    </w:r>
    <w:r>
      <w:fldChar w:fldCharType="end"/>
    </w:r>
  </w:p>
  <w:p w:rsidR="00621156" w:rsidRDefault="00621156">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6" w:rsidRDefault="00621156">
    <w:pPr>
      <w:pStyle w:val="zyxClassification1"/>
    </w:pPr>
    <w:r>
      <w:fldChar w:fldCharType="begin"/>
    </w:r>
    <w:r>
      <w:instrText xml:space="preserve"> DOCPROPERTY "IaeaClassification"  \* MERGEFORMAT </w:instrText>
    </w:r>
    <w:r>
      <w:fldChar w:fldCharType="end"/>
    </w:r>
  </w:p>
  <w:p w:rsidR="00621156" w:rsidRDefault="00621156">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21156">
      <w:trPr>
        <w:cantSplit/>
      </w:trPr>
      <w:tc>
        <w:tcPr>
          <w:tcW w:w="4644" w:type="dxa"/>
        </w:tcPr>
        <w:p w:rsidR="00621156" w:rsidRDefault="00621156">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621156" w:rsidRDefault="00621156">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rsidR="00621156" w:rsidRDefault="00621156">
          <w:pPr>
            <w:pStyle w:val="zyxConfidBlack"/>
            <w:framePr w:wrap="auto" w:vAnchor="margin" w:hAnchor="text" w:xAlign="left" w:yAlign="inline"/>
            <w:suppressOverlap w:val="0"/>
          </w:pPr>
          <w:bookmarkStart w:id="2" w:name="DOC_bkmClassification2"/>
        </w:p>
        <w:bookmarkEnd w:id="2"/>
        <w:p w:rsidR="00621156" w:rsidRDefault="00621156">
          <w:pPr>
            <w:spacing w:after="20" w:line="220" w:lineRule="exact"/>
            <w:jc w:val="right"/>
            <w:rPr>
              <w:rFonts w:ascii="Arial" w:hAnsi="Arial" w:cs="Arial"/>
              <w:color w:val="FF0000"/>
            </w:rPr>
          </w:pPr>
        </w:p>
      </w:tc>
    </w:tr>
  </w:tbl>
  <w:p w:rsidR="00621156" w:rsidRDefault="006211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1C" w:rsidRDefault="0056241C">
      <w:r>
        <w:t>___________________________________________________________________________</w:t>
      </w:r>
    </w:p>
  </w:footnote>
  <w:footnote w:type="continuationSeparator" w:id="0">
    <w:p w:rsidR="0056241C" w:rsidRDefault="0056241C">
      <w:r>
        <w:t>___________________________________________________________________________</w:t>
      </w:r>
    </w:p>
  </w:footnote>
  <w:footnote w:type="continuationNotice" w:id="1">
    <w:p w:rsidR="0056241C" w:rsidRDefault="00562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6" w:rsidRDefault="00621156">
    <w:pPr>
      <w:pStyle w:val="Header"/>
      <w:spacing w:after="0"/>
      <w:rPr>
        <w:sz w:val="8"/>
      </w:rPr>
    </w:pPr>
    <w:r>
      <w:br/>
      <w:t xml:space="preserve">Page </w:t>
    </w:r>
    <w:r>
      <w:fldChar w:fldCharType="begin"/>
    </w:r>
    <w:r>
      <w:instrText xml:space="preserve"> PAGE </w:instrText>
    </w:r>
    <w:r>
      <w:fldChar w:fldCharType="separate"/>
    </w:r>
    <w:r w:rsidR="00BF32D2">
      <w:rPr>
        <w:noProof/>
      </w:rPr>
      <w:t>8</w:t>
    </w:r>
    <w:r>
      <w:fldChar w:fldCharType="end"/>
    </w:r>
    <w:r>
      <w:br/>
    </w:r>
  </w:p>
  <w:p w:rsidR="00621156" w:rsidRDefault="00621156">
    <w:pPr>
      <w:pStyle w:val="zyxClassification1"/>
    </w:pPr>
    <w:r>
      <w:fldChar w:fldCharType="begin"/>
    </w:r>
    <w:r>
      <w:instrText xml:space="preserve"> DOCPROPERTY "IaeaClassification"  \* MERGEFORMAT </w:instrText>
    </w:r>
    <w:r>
      <w:fldChar w:fldCharType="end"/>
    </w:r>
  </w:p>
  <w:p w:rsidR="00621156" w:rsidRDefault="00621156">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6" w:rsidRDefault="00621156">
    <w:pPr>
      <w:pStyle w:val="Header"/>
      <w:spacing w:after="0"/>
      <w:jc w:val="right"/>
      <w:rPr>
        <w:sz w:val="8"/>
      </w:rPr>
    </w:pPr>
    <w:r>
      <w:br/>
      <w:t xml:space="preserve">Page </w:t>
    </w:r>
    <w:r>
      <w:fldChar w:fldCharType="begin"/>
    </w:r>
    <w:r>
      <w:instrText xml:space="preserve"> PAGE </w:instrText>
    </w:r>
    <w:r>
      <w:fldChar w:fldCharType="separate"/>
    </w:r>
    <w:r w:rsidR="00BF32D2">
      <w:rPr>
        <w:noProof/>
      </w:rPr>
      <w:t>7</w:t>
    </w:r>
    <w:r>
      <w:fldChar w:fldCharType="end"/>
    </w:r>
    <w:r>
      <w:br/>
    </w:r>
  </w:p>
  <w:p w:rsidR="00621156" w:rsidRDefault="00621156">
    <w:pPr>
      <w:pStyle w:val="zyxClassification1"/>
    </w:pPr>
    <w:r>
      <w:fldChar w:fldCharType="begin"/>
    </w:r>
    <w:r>
      <w:instrText xml:space="preserve"> DOCPROPERTY "IaeaClassification"  \* MERGEFORMAT </w:instrText>
    </w:r>
    <w:r>
      <w:fldChar w:fldCharType="end"/>
    </w:r>
  </w:p>
  <w:p w:rsidR="00621156" w:rsidRDefault="00621156">
    <w:pPr>
      <w:pStyle w:val="zyxClassification2"/>
    </w:pPr>
    <w:r>
      <w:fldChar w:fldCharType="begin"/>
    </w:r>
    <w:r>
      <w:instrText>DOCPROPERTY "IaeaClassification2"  \* MERGEFORMAT</w:instrText>
    </w:r>
    <w:r>
      <w:fldChar w:fldCharType="end"/>
    </w:r>
  </w:p>
  <w:p w:rsidR="00621156" w:rsidRDefault="00621156">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21156">
      <w:trPr>
        <w:cantSplit/>
        <w:trHeight w:val="716"/>
      </w:trPr>
      <w:tc>
        <w:tcPr>
          <w:tcW w:w="979" w:type="dxa"/>
          <w:vMerge w:val="restart"/>
        </w:tcPr>
        <w:p w:rsidR="00621156" w:rsidRDefault="00621156">
          <w:pPr>
            <w:spacing w:before="180"/>
            <w:ind w:left="17"/>
          </w:pPr>
        </w:p>
      </w:tc>
      <w:tc>
        <w:tcPr>
          <w:tcW w:w="3638" w:type="dxa"/>
          <w:vAlign w:val="bottom"/>
        </w:tcPr>
        <w:p w:rsidR="00621156" w:rsidRDefault="00621156">
          <w:pPr>
            <w:spacing w:after="20"/>
          </w:pPr>
        </w:p>
      </w:tc>
      <w:tc>
        <w:tcPr>
          <w:tcW w:w="5702" w:type="dxa"/>
          <w:vMerge w:val="restart"/>
          <w:tcMar>
            <w:right w:w="193" w:type="dxa"/>
          </w:tcMar>
        </w:tcPr>
        <w:p w:rsidR="00621156" w:rsidRDefault="00621156">
          <w:pPr>
            <w:pStyle w:val="zyxConfidBlack"/>
            <w:framePr w:wrap="auto" w:vAnchor="margin" w:hAnchor="text" w:xAlign="left" w:yAlign="inline"/>
            <w:suppressOverlap w:val="0"/>
          </w:pPr>
          <w:bookmarkStart w:id="1" w:name="DOC_bkmClassification1"/>
        </w:p>
        <w:bookmarkEnd w:id="1"/>
        <w:p w:rsidR="00621156" w:rsidRDefault="00621156">
          <w:pPr>
            <w:pStyle w:val="zyxConfid2Red"/>
          </w:pPr>
        </w:p>
      </w:tc>
    </w:tr>
    <w:tr w:rsidR="00621156">
      <w:trPr>
        <w:cantSplit/>
        <w:trHeight w:val="167"/>
      </w:trPr>
      <w:tc>
        <w:tcPr>
          <w:tcW w:w="979" w:type="dxa"/>
          <w:vMerge/>
        </w:tcPr>
        <w:p w:rsidR="00621156" w:rsidRDefault="00621156">
          <w:pPr>
            <w:spacing w:before="57"/>
          </w:pPr>
        </w:p>
      </w:tc>
      <w:tc>
        <w:tcPr>
          <w:tcW w:w="3638" w:type="dxa"/>
          <w:vAlign w:val="bottom"/>
        </w:tcPr>
        <w:p w:rsidR="00621156" w:rsidRDefault="00621156">
          <w:pPr>
            <w:pStyle w:val="Heading9"/>
            <w:spacing w:before="0" w:after="10"/>
          </w:pPr>
        </w:p>
      </w:tc>
      <w:tc>
        <w:tcPr>
          <w:tcW w:w="5702" w:type="dxa"/>
          <w:vMerge/>
          <w:vAlign w:val="bottom"/>
        </w:tcPr>
        <w:p w:rsidR="00621156" w:rsidRDefault="00621156">
          <w:pPr>
            <w:pStyle w:val="Heading9"/>
            <w:spacing w:before="0" w:after="10"/>
          </w:pPr>
        </w:p>
      </w:tc>
    </w:tr>
  </w:tbl>
  <w:p w:rsidR="00621156" w:rsidRDefault="0080726F" w:rsidP="00AD1EEF">
    <w:pPr>
      <w:jc w:val="right"/>
    </w:pPr>
    <w:r>
      <w:rPr>
        <w:b/>
        <w:spacing w:val="-3"/>
        <w:sz w:val="28"/>
      </w:rPr>
      <w:t>IAEA-CN-218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E99"/>
    <w:multiLevelType w:val="hybridMultilevel"/>
    <w:tmpl w:val="3044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91762"/>
    <w:multiLevelType w:val="hybridMultilevel"/>
    <w:tmpl w:val="5B84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F583872"/>
    <w:multiLevelType w:val="hybridMultilevel"/>
    <w:tmpl w:val="5A167A8E"/>
    <w:lvl w:ilvl="0" w:tplc="0809000F">
      <w:start w:val="1"/>
      <w:numFmt w:val="decimal"/>
      <w:pStyle w:val="BodyTextSummary"/>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70C78"/>
    <w:multiLevelType w:val="hybridMultilevel"/>
    <w:tmpl w:val="1FE604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F816D0D"/>
    <w:multiLevelType w:val="hybridMultilevel"/>
    <w:tmpl w:val="D4E63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356AB9"/>
    <w:multiLevelType w:val="multilevel"/>
    <w:tmpl w:val="68E6D5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lowerLetter"/>
      <w:lvlText w:val="%3."/>
      <w:lvlJc w:val="left"/>
      <w:pPr>
        <w:ind w:left="198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4CF81AE1"/>
    <w:multiLevelType w:val="hybridMultilevel"/>
    <w:tmpl w:val="D84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6F34B9"/>
    <w:multiLevelType w:val="hybridMultilevel"/>
    <w:tmpl w:val="5A167A8E"/>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202B4B"/>
    <w:multiLevelType w:val="hybridMultilevel"/>
    <w:tmpl w:val="4ADE91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F03FE1"/>
    <w:multiLevelType w:val="hybridMultilevel"/>
    <w:tmpl w:val="AEF8ED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434836"/>
    <w:multiLevelType w:val="hybridMultilevel"/>
    <w:tmpl w:val="CD7224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61F12F5B"/>
    <w:multiLevelType w:val="hybridMultilevel"/>
    <w:tmpl w:val="FC0C01A2"/>
    <w:lvl w:ilvl="0" w:tplc="BF7ED7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2A1870"/>
    <w:multiLevelType w:val="hybridMultilevel"/>
    <w:tmpl w:val="527E10F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490355E"/>
    <w:multiLevelType w:val="hybridMultilevel"/>
    <w:tmpl w:val="C346F196"/>
    <w:lvl w:ilvl="0" w:tplc="59DEF0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146C46"/>
    <w:multiLevelType w:val="hybridMultilevel"/>
    <w:tmpl w:val="5A167A8E"/>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7E4919"/>
    <w:multiLevelType w:val="hybridMultilevel"/>
    <w:tmpl w:val="8E4A1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3D3C0F"/>
    <w:multiLevelType w:val="hybridMultilevel"/>
    <w:tmpl w:val="A4F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D51093"/>
    <w:multiLevelType w:val="multilevel"/>
    <w:tmpl w:val="EEEA3452"/>
    <w:lvl w:ilvl="0">
      <w:start w:val="1"/>
      <w:numFmt w:val="upperLetter"/>
      <w:lvlRestart w:val="0"/>
      <w:pStyle w:val="Heading1"/>
      <w:lvlText w:val="%1."/>
      <w:lvlJc w:val="left"/>
      <w:pPr>
        <w:tabs>
          <w:tab w:val="num" w:pos="459"/>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color w:val="auto"/>
        <w:sz w:val="24"/>
        <w:szCs w:val="24"/>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EC93FB0"/>
    <w:multiLevelType w:val="hybridMultilevel"/>
    <w:tmpl w:val="2F22B4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2"/>
  </w:num>
  <w:num w:numId="4">
    <w:abstractNumId w:val="22"/>
  </w:num>
  <w:num w:numId="5">
    <w:abstractNumId w:val="22"/>
  </w:num>
  <w:num w:numId="6">
    <w:abstractNumId w:val="6"/>
  </w:num>
  <w:num w:numId="7">
    <w:abstractNumId w:val="11"/>
  </w:num>
  <w:num w:numId="8">
    <w:abstractNumId w:val="23"/>
  </w:num>
  <w:num w:numId="9">
    <w:abstractNumId w:val="2"/>
  </w:num>
  <w:num w:numId="10">
    <w:abstractNumId w:val="22"/>
  </w:num>
  <w:num w:numId="11">
    <w:abstractNumId w:val="18"/>
  </w:num>
  <w:num w:numId="12">
    <w:abstractNumId w:val="22"/>
  </w:num>
  <w:num w:numId="13">
    <w:abstractNumId w:val="22"/>
  </w:num>
  <w:num w:numId="14">
    <w:abstractNumId w:val="22"/>
  </w:num>
  <w:num w:numId="15">
    <w:abstractNumId w:val="22"/>
  </w:num>
  <w:num w:numId="16">
    <w:abstractNumId w:val="22"/>
  </w:num>
  <w:num w:numId="17">
    <w:abstractNumId w:val="9"/>
  </w:num>
  <w:num w:numId="18">
    <w:abstractNumId w:val="22"/>
  </w:num>
  <w:num w:numId="19">
    <w:abstractNumId w:val="21"/>
  </w:num>
  <w:num w:numId="20">
    <w:abstractNumId w:val="15"/>
  </w:num>
  <w:num w:numId="2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19"/>
  </w:num>
  <w:num w:numId="25">
    <w:abstractNumId w:val="1"/>
  </w:num>
  <w:num w:numId="26">
    <w:abstractNumId w:val="8"/>
  </w:num>
  <w:num w:numId="27">
    <w:abstractNumId w:val="20"/>
  </w:num>
  <w:num w:numId="28">
    <w:abstractNumId w:val="5"/>
  </w:num>
  <w:num w:numId="29">
    <w:abstractNumId w:val="7"/>
  </w:num>
  <w:num w:numId="30">
    <w:abstractNumId w:val="16"/>
  </w:num>
  <w:num w:numId="31">
    <w:abstractNumId w:val="0"/>
  </w:num>
  <w:num w:numId="32">
    <w:abstractNumId w:val="13"/>
  </w:num>
  <w:num w:numId="33">
    <w:abstractNumId w:val="17"/>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5275"/>
    <w:rsid w:val="0002496B"/>
    <w:rsid w:val="00027E8C"/>
    <w:rsid w:val="0003246E"/>
    <w:rsid w:val="0003668A"/>
    <w:rsid w:val="00043063"/>
    <w:rsid w:val="00047488"/>
    <w:rsid w:val="00051966"/>
    <w:rsid w:val="00053B5C"/>
    <w:rsid w:val="00053D48"/>
    <w:rsid w:val="00056E27"/>
    <w:rsid w:val="00057258"/>
    <w:rsid w:val="000736AA"/>
    <w:rsid w:val="000769AD"/>
    <w:rsid w:val="0008195F"/>
    <w:rsid w:val="000819E0"/>
    <w:rsid w:val="00082306"/>
    <w:rsid w:val="00083455"/>
    <w:rsid w:val="00083555"/>
    <w:rsid w:val="00095EE8"/>
    <w:rsid w:val="000966A6"/>
    <w:rsid w:val="000A00F5"/>
    <w:rsid w:val="000A23FB"/>
    <w:rsid w:val="000A2BF9"/>
    <w:rsid w:val="000A3E9B"/>
    <w:rsid w:val="000A5EBD"/>
    <w:rsid w:val="000A5FE0"/>
    <w:rsid w:val="000B0EB5"/>
    <w:rsid w:val="000B2BE1"/>
    <w:rsid w:val="000B42D4"/>
    <w:rsid w:val="000B4304"/>
    <w:rsid w:val="000C035E"/>
    <w:rsid w:val="000C6EB7"/>
    <w:rsid w:val="000C7642"/>
    <w:rsid w:val="000D2BDF"/>
    <w:rsid w:val="000E4618"/>
    <w:rsid w:val="000E5F22"/>
    <w:rsid w:val="000F3F6B"/>
    <w:rsid w:val="001049CA"/>
    <w:rsid w:val="001054E2"/>
    <w:rsid w:val="00105DF3"/>
    <w:rsid w:val="001064AF"/>
    <w:rsid w:val="00112EA1"/>
    <w:rsid w:val="001160EC"/>
    <w:rsid w:val="001307BA"/>
    <w:rsid w:val="00131688"/>
    <w:rsid w:val="0013263F"/>
    <w:rsid w:val="00137A13"/>
    <w:rsid w:val="00146922"/>
    <w:rsid w:val="00152BD1"/>
    <w:rsid w:val="001549C1"/>
    <w:rsid w:val="00155858"/>
    <w:rsid w:val="00163004"/>
    <w:rsid w:val="001652E3"/>
    <w:rsid w:val="0017336F"/>
    <w:rsid w:val="00175088"/>
    <w:rsid w:val="001806BD"/>
    <w:rsid w:val="00190BA7"/>
    <w:rsid w:val="00193421"/>
    <w:rsid w:val="00195AAA"/>
    <w:rsid w:val="00196484"/>
    <w:rsid w:val="001A33C0"/>
    <w:rsid w:val="001A51EB"/>
    <w:rsid w:val="001A7445"/>
    <w:rsid w:val="001B0D1A"/>
    <w:rsid w:val="001B6E5A"/>
    <w:rsid w:val="001C3B0D"/>
    <w:rsid w:val="001C3D9A"/>
    <w:rsid w:val="001C588B"/>
    <w:rsid w:val="001C594E"/>
    <w:rsid w:val="001D6D76"/>
    <w:rsid w:val="001D6DEA"/>
    <w:rsid w:val="001E6E10"/>
    <w:rsid w:val="001F386C"/>
    <w:rsid w:val="001F6BFE"/>
    <w:rsid w:val="00203954"/>
    <w:rsid w:val="0022392C"/>
    <w:rsid w:val="00225310"/>
    <w:rsid w:val="0023320C"/>
    <w:rsid w:val="00245D80"/>
    <w:rsid w:val="00250AB6"/>
    <w:rsid w:val="00253BFC"/>
    <w:rsid w:val="0025453F"/>
    <w:rsid w:val="00260177"/>
    <w:rsid w:val="002614ED"/>
    <w:rsid w:val="00261CCC"/>
    <w:rsid w:val="00263DD2"/>
    <w:rsid w:val="002640E3"/>
    <w:rsid w:val="002678EE"/>
    <w:rsid w:val="00277571"/>
    <w:rsid w:val="002820A3"/>
    <w:rsid w:val="00292F7A"/>
    <w:rsid w:val="00293C84"/>
    <w:rsid w:val="00294DAD"/>
    <w:rsid w:val="002A12C2"/>
    <w:rsid w:val="002A3BE7"/>
    <w:rsid w:val="002A4E69"/>
    <w:rsid w:val="002B03B1"/>
    <w:rsid w:val="002B1DAF"/>
    <w:rsid w:val="002B694C"/>
    <w:rsid w:val="002C2BDB"/>
    <w:rsid w:val="002C51F2"/>
    <w:rsid w:val="002C63ED"/>
    <w:rsid w:val="002C7E3B"/>
    <w:rsid w:val="002D0C52"/>
    <w:rsid w:val="002D0FE5"/>
    <w:rsid w:val="002E1B9F"/>
    <w:rsid w:val="002E45C7"/>
    <w:rsid w:val="002F27B6"/>
    <w:rsid w:val="002F70C7"/>
    <w:rsid w:val="00314E7A"/>
    <w:rsid w:val="00316091"/>
    <w:rsid w:val="0033018A"/>
    <w:rsid w:val="00332A75"/>
    <w:rsid w:val="003335A7"/>
    <w:rsid w:val="003341CA"/>
    <w:rsid w:val="00335480"/>
    <w:rsid w:val="00340C55"/>
    <w:rsid w:val="00341C44"/>
    <w:rsid w:val="0035799C"/>
    <w:rsid w:val="00363484"/>
    <w:rsid w:val="00366C44"/>
    <w:rsid w:val="003704BD"/>
    <w:rsid w:val="00374267"/>
    <w:rsid w:val="00381180"/>
    <w:rsid w:val="00383F53"/>
    <w:rsid w:val="003876C2"/>
    <w:rsid w:val="003917FF"/>
    <w:rsid w:val="0039696D"/>
    <w:rsid w:val="0039786B"/>
    <w:rsid w:val="003A22B8"/>
    <w:rsid w:val="003A3674"/>
    <w:rsid w:val="003B7368"/>
    <w:rsid w:val="003C1ECE"/>
    <w:rsid w:val="003D6D56"/>
    <w:rsid w:val="003E5F48"/>
    <w:rsid w:val="003F15CB"/>
    <w:rsid w:val="003F552A"/>
    <w:rsid w:val="003F6EE6"/>
    <w:rsid w:val="003F74BC"/>
    <w:rsid w:val="00407DFB"/>
    <w:rsid w:val="00413370"/>
    <w:rsid w:val="004136B4"/>
    <w:rsid w:val="00414F8E"/>
    <w:rsid w:val="00422052"/>
    <w:rsid w:val="00423668"/>
    <w:rsid w:val="00434737"/>
    <w:rsid w:val="004422AF"/>
    <w:rsid w:val="00455CA7"/>
    <w:rsid w:val="004674B3"/>
    <w:rsid w:val="004738BE"/>
    <w:rsid w:val="004810E4"/>
    <w:rsid w:val="0048161E"/>
    <w:rsid w:val="0048264A"/>
    <w:rsid w:val="0049492F"/>
    <w:rsid w:val="004A2FB6"/>
    <w:rsid w:val="004A5E02"/>
    <w:rsid w:val="004B10D6"/>
    <w:rsid w:val="004C4B0D"/>
    <w:rsid w:val="004C4FA0"/>
    <w:rsid w:val="004D380E"/>
    <w:rsid w:val="004D4482"/>
    <w:rsid w:val="004D7066"/>
    <w:rsid w:val="004F0777"/>
    <w:rsid w:val="004F0CD2"/>
    <w:rsid w:val="004F1F53"/>
    <w:rsid w:val="004F40EB"/>
    <w:rsid w:val="005016F7"/>
    <w:rsid w:val="00501C22"/>
    <w:rsid w:val="00502A95"/>
    <w:rsid w:val="00503B68"/>
    <w:rsid w:val="0050557B"/>
    <w:rsid w:val="005079BD"/>
    <w:rsid w:val="005137FE"/>
    <w:rsid w:val="00515853"/>
    <w:rsid w:val="0052332D"/>
    <w:rsid w:val="005330CC"/>
    <w:rsid w:val="00534472"/>
    <w:rsid w:val="005421E1"/>
    <w:rsid w:val="00545BAD"/>
    <w:rsid w:val="00545F5F"/>
    <w:rsid w:val="00546765"/>
    <w:rsid w:val="005612CD"/>
    <w:rsid w:val="0056241C"/>
    <w:rsid w:val="005723AD"/>
    <w:rsid w:val="00577C93"/>
    <w:rsid w:val="00585E62"/>
    <w:rsid w:val="005A7152"/>
    <w:rsid w:val="005B6CB9"/>
    <w:rsid w:val="005C0A3F"/>
    <w:rsid w:val="005C1DB3"/>
    <w:rsid w:val="005D3B2A"/>
    <w:rsid w:val="005E0C09"/>
    <w:rsid w:val="005E4F9B"/>
    <w:rsid w:val="005F1038"/>
    <w:rsid w:val="005F7A87"/>
    <w:rsid w:val="006003D1"/>
    <w:rsid w:val="00604A60"/>
    <w:rsid w:val="00606404"/>
    <w:rsid w:val="00611908"/>
    <w:rsid w:val="00611C65"/>
    <w:rsid w:val="006156B8"/>
    <w:rsid w:val="006165FD"/>
    <w:rsid w:val="006201BE"/>
    <w:rsid w:val="00621156"/>
    <w:rsid w:val="0062656A"/>
    <w:rsid w:val="00631C99"/>
    <w:rsid w:val="00633B7A"/>
    <w:rsid w:val="00637558"/>
    <w:rsid w:val="0063783D"/>
    <w:rsid w:val="00640DC6"/>
    <w:rsid w:val="00645C71"/>
    <w:rsid w:val="006502DF"/>
    <w:rsid w:val="00655CD1"/>
    <w:rsid w:val="00661DDC"/>
    <w:rsid w:val="006646E9"/>
    <w:rsid w:val="00666D06"/>
    <w:rsid w:val="00672AAD"/>
    <w:rsid w:val="00680F98"/>
    <w:rsid w:val="00685FB0"/>
    <w:rsid w:val="00686D90"/>
    <w:rsid w:val="00687C55"/>
    <w:rsid w:val="006900C2"/>
    <w:rsid w:val="00693AD7"/>
    <w:rsid w:val="00696922"/>
    <w:rsid w:val="00696F8A"/>
    <w:rsid w:val="006A32E0"/>
    <w:rsid w:val="006A3FF9"/>
    <w:rsid w:val="006A67FD"/>
    <w:rsid w:val="006B683F"/>
    <w:rsid w:val="006B7102"/>
    <w:rsid w:val="006C30FC"/>
    <w:rsid w:val="006C6C80"/>
    <w:rsid w:val="006D237E"/>
    <w:rsid w:val="006D36BE"/>
    <w:rsid w:val="006D7ED9"/>
    <w:rsid w:val="006E42FC"/>
    <w:rsid w:val="006E67D3"/>
    <w:rsid w:val="006F0023"/>
    <w:rsid w:val="006F1D5E"/>
    <w:rsid w:val="006F4C10"/>
    <w:rsid w:val="006F5493"/>
    <w:rsid w:val="006F64CB"/>
    <w:rsid w:val="006F7CFA"/>
    <w:rsid w:val="00700015"/>
    <w:rsid w:val="00701779"/>
    <w:rsid w:val="00702B55"/>
    <w:rsid w:val="00703A30"/>
    <w:rsid w:val="007052F9"/>
    <w:rsid w:val="00705BA2"/>
    <w:rsid w:val="007117A7"/>
    <w:rsid w:val="0071327B"/>
    <w:rsid w:val="007229F8"/>
    <w:rsid w:val="0072511F"/>
    <w:rsid w:val="007268EF"/>
    <w:rsid w:val="00733D7D"/>
    <w:rsid w:val="00740CD9"/>
    <w:rsid w:val="007430D6"/>
    <w:rsid w:val="007532E2"/>
    <w:rsid w:val="007534BA"/>
    <w:rsid w:val="00760963"/>
    <w:rsid w:val="00761966"/>
    <w:rsid w:val="00763EA4"/>
    <w:rsid w:val="00773DC1"/>
    <w:rsid w:val="00796E57"/>
    <w:rsid w:val="0079744F"/>
    <w:rsid w:val="00797BD7"/>
    <w:rsid w:val="00797EF7"/>
    <w:rsid w:val="007A0040"/>
    <w:rsid w:val="007A43FB"/>
    <w:rsid w:val="007A4FBD"/>
    <w:rsid w:val="007B2749"/>
    <w:rsid w:val="007B6F48"/>
    <w:rsid w:val="007B7B3B"/>
    <w:rsid w:val="007C1A65"/>
    <w:rsid w:val="007C4174"/>
    <w:rsid w:val="007C7475"/>
    <w:rsid w:val="007D24AD"/>
    <w:rsid w:val="007D63E9"/>
    <w:rsid w:val="007E2579"/>
    <w:rsid w:val="007E3C11"/>
    <w:rsid w:val="007F495C"/>
    <w:rsid w:val="007F592E"/>
    <w:rsid w:val="007F5BBE"/>
    <w:rsid w:val="00801BDD"/>
    <w:rsid w:val="00805FFD"/>
    <w:rsid w:val="0080726F"/>
    <w:rsid w:val="008079BC"/>
    <w:rsid w:val="008122CC"/>
    <w:rsid w:val="00812E1E"/>
    <w:rsid w:val="00820524"/>
    <w:rsid w:val="00821CF9"/>
    <w:rsid w:val="00822CED"/>
    <w:rsid w:val="00823309"/>
    <w:rsid w:val="008250CE"/>
    <w:rsid w:val="008255D0"/>
    <w:rsid w:val="008259A8"/>
    <w:rsid w:val="00827648"/>
    <w:rsid w:val="00833651"/>
    <w:rsid w:val="00833ED6"/>
    <w:rsid w:val="00840F97"/>
    <w:rsid w:val="008423B9"/>
    <w:rsid w:val="00842E1F"/>
    <w:rsid w:val="00844B5C"/>
    <w:rsid w:val="0084622E"/>
    <w:rsid w:val="00866A62"/>
    <w:rsid w:val="008742E7"/>
    <w:rsid w:val="008768AB"/>
    <w:rsid w:val="00876CBE"/>
    <w:rsid w:val="00877F18"/>
    <w:rsid w:val="00880AD2"/>
    <w:rsid w:val="00884875"/>
    <w:rsid w:val="008876ED"/>
    <w:rsid w:val="00887F82"/>
    <w:rsid w:val="00892DA1"/>
    <w:rsid w:val="00895BF2"/>
    <w:rsid w:val="00896558"/>
    <w:rsid w:val="008A2C8B"/>
    <w:rsid w:val="008A741F"/>
    <w:rsid w:val="008B28E7"/>
    <w:rsid w:val="008B4FC5"/>
    <w:rsid w:val="008B6322"/>
    <w:rsid w:val="008B70D1"/>
    <w:rsid w:val="008B7481"/>
    <w:rsid w:val="008B7EE7"/>
    <w:rsid w:val="008C02A1"/>
    <w:rsid w:val="008C1C74"/>
    <w:rsid w:val="008D1D23"/>
    <w:rsid w:val="008D2CDF"/>
    <w:rsid w:val="008D354F"/>
    <w:rsid w:val="008D505E"/>
    <w:rsid w:val="008E17AF"/>
    <w:rsid w:val="008E6CA5"/>
    <w:rsid w:val="008F1E2E"/>
    <w:rsid w:val="00905B07"/>
    <w:rsid w:val="00905F07"/>
    <w:rsid w:val="009151AD"/>
    <w:rsid w:val="009154D7"/>
    <w:rsid w:val="0092049C"/>
    <w:rsid w:val="009215A9"/>
    <w:rsid w:val="00922BC6"/>
    <w:rsid w:val="009257F1"/>
    <w:rsid w:val="009302ED"/>
    <w:rsid w:val="009428B4"/>
    <w:rsid w:val="009450DF"/>
    <w:rsid w:val="0094663D"/>
    <w:rsid w:val="00964136"/>
    <w:rsid w:val="00964D37"/>
    <w:rsid w:val="009651FC"/>
    <w:rsid w:val="009660EA"/>
    <w:rsid w:val="00987B40"/>
    <w:rsid w:val="0099189C"/>
    <w:rsid w:val="009919D6"/>
    <w:rsid w:val="00997069"/>
    <w:rsid w:val="009970B8"/>
    <w:rsid w:val="00997620"/>
    <w:rsid w:val="009A2480"/>
    <w:rsid w:val="009A3826"/>
    <w:rsid w:val="009B0BC5"/>
    <w:rsid w:val="009B3DA9"/>
    <w:rsid w:val="009B4A6B"/>
    <w:rsid w:val="009B4FE3"/>
    <w:rsid w:val="009C012E"/>
    <w:rsid w:val="009C1C0B"/>
    <w:rsid w:val="009C3AE9"/>
    <w:rsid w:val="009C4191"/>
    <w:rsid w:val="009C5F4F"/>
    <w:rsid w:val="009C76BF"/>
    <w:rsid w:val="009D097C"/>
    <w:rsid w:val="009D3655"/>
    <w:rsid w:val="009E39FB"/>
    <w:rsid w:val="009E3C6D"/>
    <w:rsid w:val="009E4CF7"/>
    <w:rsid w:val="009F44B5"/>
    <w:rsid w:val="009F6113"/>
    <w:rsid w:val="00A006B9"/>
    <w:rsid w:val="00A067F7"/>
    <w:rsid w:val="00A10BA5"/>
    <w:rsid w:val="00A23939"/>
    <w:rsid w:val="00A27722"/>
    <w:rsid w:val="00A303CE"/>
    <w:rsid w:val="00A326CB"/>
    <w:rsid w:val="00A33BA4"/>
    <w:rsid w:val="00A37F42"/>
    <w:rsid w:val="00A41198"/>
    <w:rsid w:val="00A4543B"/>
    <w:rsid w:val="00A54B64"/>
    <w:rsid w:val="00A64393"/>
    <w:rsid w:val="00A74216"/>
    <w:rsid w:val="00A76444"/>
    <w:rsid w:val="00A76996"/>
    <w:rsid w:val="00A85CBF"/>
    <w:rsid w:val="00A8775D"/>
    <w:rsid w:val="00A90629"/>
    <w:rsid w:val="00A9163B"/>
    <w:rsid w:val="00A936F4"/>
    <w:rsid w:val="00AB312A"/>
    <w:rsid w:val="00AB5110"/>
    <w:rsid w:val="00AB59DF"/>
    <w:rsid w:val="00AC5642"/>
    <w:rsid w:val="00AC5D34"/>
    <w:rsid w:val="00AD0A16"/>
    <w:rsid w:val="00AD1EEF"/>
    <w:rsid w:val="00AD20E1"/>
    <w:rsid w:val="00AD393F"/>
    <w:rsid w:val="00AD4756"/>
    <w:rsid w:val="00AD6D5A"/>
    <w:rsid w:val="00AE19FA"/>
    <w:rsid w:val="00AE1CCA"/>
    <w:rsid w:val="00AE293E"/>
    <w:rsid w:val="00AE2E9B"/>
    <w:rsid w:val="00AF50D5"/>
    <w:rsid w:val="00AF6488"/>
    <w:rsid w:val="00B03DCD"/>
    <w:rsid w:val="00B04B82"/>
    <w:rsid w:val="00B134FE"/>
    <w:rsid w:val="00B16EDB"/>
    <w:rsid w:val="00B22274"/>
    <w:rsid w:val="00B2584C"/>
    <w:rsid w:val="00B34421"/>
    <w:rsid w:val="00B41377"/>
    <w:rsid w:val="00B42669"/>
    <w:rsid w:val="00B4451B"/>
    <w:rsid w:val="00B45CA7"/>
    <w:rsid w:val="00B460CA"/>
    <w:rsid w:val="00B51D59"/>
    <w:rsid w:val="00B56DFB"/>
    <w:rsid w:val="00B641B3"/>
    <w:rsid w:val="00B7216D"/>
    <w:rsid w:val="00B77B8E"/>
    <w:rsid w:val="00B85D98"/>
    <w:rsid w:val="00BB214B"/>
    <w:rsid w:val="00BB7A1C"/>
    <w:rsid w:val="00BB7A68"/>
    <w:rsid w:val="00BD36C2"/>
    <w:rsid w:val="00BE560A"/>
    <w:rsid w:val="00BE6A99"/>
    <w:rsid w:val="00BF32D2"/>
    <w:rsid w:val="00BF35E2"/>
    <w:rsid w:val="00BF3A7B"/>
    <w:rsid w:val="00BF3C65"/>
    <w:rsid w:val="00BF6BA1"/>
    <w:rsid w:val="00BF6D76"/>
    <w:rsid w:val="00C02230"/>
    <w:rsid w:val="00C050D3"/>
    <w:rsid w:val="00C06DD4"/>
    <w:rsid w:val="00C106CB"/>
    <w:rsid w:val="00C13A6F"/>
    <w:rsid w:val="00C31154"/>
    <w:rsid w:val="00C34A22"/>
    <w:rsid w:val="00C35070"/>
    <w:rsid w:val="00C35758"/>
    <w:rsid w:val="00C358CA"/>
    <w:rsid w:val="00C36BBE"/>
    <w:rsid w:val="00C46175"/>
    <w:rsid w:val="00C47062"/>
    <w:rsid w:val="00C506D5"/>
    <w:rsid w:val="00C54773"/>
    <w:rsid w:val="00C55B8D"/>
    <w:rsid w:val="00C56F59"/>
    <w:rsid w:val="00C67117"/>
    <w:rsid w:val="00C74E2C"/>
    <w:rsid w:val="00C77294"/>
    <w:rsid w:val="00C82B42"/>
    <w:rsid w:val="00C8426B"/>
    <w:rsid w:val="00C8557B"/>
    <w:rsid w:val="00C86898"/>
    <w:rsid w:val="00C873D3"/>
    <w:rsid w:val="00C91D08"/>
    <w:rsid w:val="00C94991"/>
    <w:rsid w:val="00C95F5B"/>
    <w:rsid w:val="00C97914"/>
    <w:rsid w:val="00CA0717"/>
    <w:rsid w:val="00CA376C"/>
    <w:rsid w:val="00CA54E6"/>
    <w:rsid w:val="00CA7E36"/>
    <w:rsid w:val="00CB4489"/>
    <w:rsid w:val="00CB4CC8"/>
    <w:rsid w:val="00CC3B6F"/>
    <w:rsid w:val="00CC5AD0"/>
    <w:rsid w:val="00CC5B05"/>
    <w:rsid w:val="00CD217F"/>
    <w:rsid w:val="00CD5CD3"/>
    <w:rsid w:val="00CD5D31"/>
    <w:rsid w:val="00CE03E2"/>
    <w:rsid w:val="00CE1415"/>
    <w:rsid w:val="00CE601E"/>
    <w:rsid w:val="00CF0570"/>
    <w:rsid w:val="00CF517D"/>
    <w:rsid w:val="00D10172"/>
    <w:rsid w:val="00D109D5"/>
    <w:rsid w:val="00D10DE9"/>
    <w:rsid w:val="00D217DA"/>
    <w:rsid w:val="00D219E7"/>
    <w:rsid w:val="00D22394"/>
    <w:rsid w:val="00D24821"/>
    <w:rsid w:val="00D2744B"/>
    <w:rsid w:val="00D31D6F"/>
    <w:rsid w:val="00D33165"/>
    <w:rsid w:val="00D34E35"/>
    <w:rsid w:val="00D35231"/>
    <w:rsid w:val="00D352FF"/>
    <w:rsid w:val="00D36818"/>
    <w:rsid w:val="00D40374"/>
    <w:rsid w:val="00D418E9"/>
    <w:rsid w:val="00D434CF"/>
    <w:rsid w:val="00D44112"/>
    <w:rsid w:val="00D5336E"/>
    <w:rsid w:val="00D57870"/>
    <w:rsid w:val="00D74AEC"/>
    <w:rsid w:val="00D75B87"/>
    <w:rsid w:val="00D85865"/>
    <w:rsid w:val="00D873E0"/>
    <w:rsid w:val="00DA1E98"/>
    <w:rsid w:val="00DA465F"/>
    <w:rsid w:val="00DB0BEF"/>
    <w:rsid w:val="00DB45B3"/>
    <w:rsid w:val="00DB4FC4"/>
    <w:rsid w:val="00DB5BEC"/>
    <w:rsid w:val="00DC40A6"/>
    <w:rsid w:val="00DD40B7"/>
    <w:rsid w:val="00DE4588"/>
    <w:rsid w:val="00DF5389"/>
    <w:rsid w:val="00E00345"/>
    <w:rsid w:val="00E00945"/>
    <w:rsid w:val="00E01643"/>
    <w:rsid w:val="00E02D1C"/>
    <w:rsid w:val="00E065ED"/>
    <w:rsid w:val="00E10139"/>
    <w:rsid w:val="00E114E5"/>
    <w:rsid w:val="00E139AA"/>
    <w:rsid w:val="00E17783"/>
    <w:rsid w:val="00E234BB"/>
    <w:rsid w:val="00E333CD"/>
    <w:rsid w:val="00E35E54"/>
    <w:rsid w:val="00E44B7B"/>
    <w:rsid w:val="00E453F1"/>
    <w:rsid w:val="00E46E3D"/>
    <w:rsid w:val="00E5056A"/>
    <w:rsid w:val="00E51EA8"/>
    <w:rsid w:val="00E524D7"/>
    <w:rsid w:val="00E55D2A"/>
    <w:rsid w:val="00E6187B"/>
    <w:rsid w:val="00E6252F"/>
    <w:rsid w:val="00E6286B"/>
    <w:rsid w:val="00E7559B"/>
    <w:rsid w:val="00E75F65"/>
    <w:rsid w:val="00E8235B"/>
    <w:rsid w:val="00E86ED6"/>
    <w:rsid w:val="00E90701"/>
    <w:rsid w:val="00E95E1B"/>
    <w:rsid w:val="00EA0E84"/>
    <w:rsid w:val="00EA252F"/>
    <w:rsid w:val="00EA5CE2"/>
    <w:rsid w:val="00EA6ADB"/>
    <w:rsid w:val="00EB146C"/>
    <w:rsid w:val="00EB369A"/>
    <w:rsid w:val="00EC25D8"/>
    <w:rsid w:val="00EC3632"/>
    <w:rsid w:val="00ED1508"/>
    <w:rsid w:val="00ED159B"/>
    <w:rsid w:val="00ED5825"/>
    <w:rsid w:val="00EE1293"/>
    <w:rsid w:val="00EF2D39"/>
    <w:rsid w:val="00EF36E0"/>
    <w:rsid w:val="00F02B48"/>
    <w:rsid w:val="00F10976"/>
    <w:rsid w:val="00F17147"/>
    <w:rsid w:val="00F24C50"/>
    <w:rsid w:val="00F26F69"/>
    <w:rsid w:val="00F34A29"/>
    <w:rsid w:val="00F361D8"/>
    <w:rsid w:val="00F40667"/>
    <w:rsid w:val="00F449CA"/>
    <w:rsid w:val="00F44EA9"/>
    <w:rsid w:val="00F51FB9"/>
    <w:rsid w:val="00F5225D"/>
    <w:rsid w:val="00F6287F"/>
    <w:rsid w:val="00F6369F"/>
    <w:rsid w:val="00F63A21"/>
    <w:rsid w:val="00F64917"/>
    <w:rsid w:val="00F66DDE"/>
    <w:rsid w:val="00F82C2F"/>
    <w:rsid w:val="00F834DC"/>
    <w:rsid w:val="00F83AD0"/>
    <w:rsid w:val="00F859AD"/>
    <w:rsid w:val="00F90417"/>
    <w:rsid w:val="00F90D37"/>
    <w:rsid w:val="00FA1D24"/>
    <w:rsid w:val="00FA50BC"/>
    <w:rsid w:val="00FA7DD6"/>
    <w:rsid w:val="00FB4351"/>
    <w:rsid w:val="00FB7C24"/>
    <w:rsid w:val="00FC031F"/>
    <w:rsid w:val="00FC4CE7"/>
    <w:rsid w:val="00FC7660"/>
    <w:rsid w:val="00FD199A"/>
    <w:rsid w:val="00FD20E6"/>
    <w:rsid w:val="00FD248A"/>
    <w:rsid w:val="00FD5332"/>
    <w:rsid w:val="00FD5C3D"/>
    <w:rsid w:val="00FE4503"/>
    <w:rsid w:val="00FE7203"/>
    <w:rsid w:val="00FF3E9C"/>
    <w:rsid w:val="00FF4395"/>
    <w:rsid w:val="00FF7D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82C2F"/>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 w:type="character" w:customStyle="1" w:styleId="BodyTextChar">
    <w:name w:val="Body Text Char"/>
    <w:basedOn w:val="DefaultParagraphFont"/>
    <w:link w:val="BodyText"/>
    <w:rsid w:val="002B1DAF"/>
    <w:rPr>
      <w:sz w:val="22"/>
      <w:lang w:eastAsia="en-US"/>
    </w:rPr>
  </w:style>
  <w:style w:type="paragraph" w:styleId="ListParagraph">
    <w:name w:val="List Paragraph"/>
    <w:basedOn w:val="Normal"/>
    <w:uiPriority w:val="34"/>
    <w:qFormat/>
    <w:rsid w:val="00E755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82C2F"/>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 w:type="character" w:customStyle="1" w:styleId="BodyTextChar">
    <w:name w:val="Body Text Char"/>
    <w:basedOn w:val="DefaultParagraphFont"/>
    <w:link w:val="BodyText"/>
    <w:rsid w:val="002B1DAF"/>
    <w:rPr>
      <w:sz w:val="22"/>
      <w:lang w:eastAsia="en-US"/>
    </w:rPr>
  </w:style>
  <w:style w:type="paragraph" w:styleId="ListParagraph">
    <w:name w:val="List Paragraph"/>
    <w:basedOn w:val="Normal"/>
    <w:uiPriority w:val="34"/>
    <w:qFormat/>
    <w:rsid w:val="00E755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ial.mail@iae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ub.iaea.org/iaeameetings/46088/International%20Conference%20on%20Advances-in-Nuclear-Forensics-Countering-the-Evolving-Threat-of-Nuclear-and-Other-Radioactive-Material-out-of-Regulatory-Contro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Khaelss@ia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uclearForensics2014@iaea.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ial.mail@iaea.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8168-EA3E-460B-BE3E-3A972CDAD893}">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0BBC6308-BBAE-44FE-93C2-F27C37197144}">
  <ds:schemaRefs>
    <ds:schemaRef ds:uri="http://schemas.microsoft.com/sharepoint/v3/contenttype/forms"/>
  </ds:schemaRefs>
</ds:datastoreItem>
</file>

<file path=customXml/itemProps3.xml><?xml version="1.0" encoding="utf-8"?>
<ds:datastoreItem xmlns:ds="http://schemas.openxmlformats.org/officeDocument/2006/customXml" ds:itemID="{34FDBF91-1BA6-4389-9423-977CD5E7E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FFD0F-FA3D-4732-8A25-5AAE9371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8</Pages>
  <Words>2504</Words>
  <Characters>14275</Characters>
  <Application>Microsoft Office Word</Application>
  <DocSecurity>4</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IAEA</vt:lpstr>
      <vt:lpstr>IAEA</vt:lpstr>
    </vt:vector>
  </TitlesOfParts>
  <Company>IAEA</Company>
  <LinksUpToDate>false</LinksUpToDate>
  <CharactersWithSpaces>16746</CharactersWithSpaces>
  <SharedDoc>false</SharedDoc>
  <HLinks>
    <vt:vector size="42" baseType="variant">
      <vt:variant>
        <vt:i4>5373962</vt:i4>
      </vt:variant>
      <vt:variant>
        <vt:i4>18</vt:i4>
      </vt:variant>
      <vt:variant>
        <vt:i4>0</vt:i4>
      </vt:variant>
      <vt:variant>
        <vt:i4>5</vt:i4>
      </vt:variant>
      <vt:variant>
        <vt:lpwstr>http://www-pub.iaea.org/MTCD/Meetings/Announcements.asp?ConfID=41578</vt:lpwstr>
      </vt:variant>
      <vt:variant>
        <vt:lpwstr/>
      </vt:variant>
      <vt:variant>
        <vt:i4>2883648</vt:i4>
      </vt:variant>
      <vt:variant>
        <vt:i4>15</vt:i4>
      </vt:variant>
      <vt:variant>
        <vt:i4>0</vt:i4>
      </vt:variant>
      <vt:variant>
        <vt:i4>5</vt:i4>
      </vt:variant>
      <vt:variant>
        <vt:lpwstr>mailto:radprom2012.conf@iaea.org</vt:lpwstr>
      </vt:variant>
      <vt:variant>
        <vt:lpwstr/>
      </vt:variant>
      <vt:variant>
        <vt:i4>5439550</vt:i4>
      </vt:variant>
      <vt:variant>
        <vt:i4>12</vt:i4>
      </vt:variant>
      <vt:variant>
        <vt:i4>0</vt:i4>
      </vt:variant>
      <vt:variant>
        <vt:i4>5</vt:i4>
      </vt:variant>
      <vt:variant>
        <vt:lpwstr>mailto:radprom2012.papers@iaea.org</vt:lpwstr>
      </vt:variant>
      <vt:variant>
        <vt:lpwstr/>
      </vt:variant>
      <vt:variant>
        <vt:i4>852044</vt:i4>
      </vt:variant>
      <vt:variant>
        <vt:i4>9</vt:i4>
      </vt:variant>
      <vt:variant>
        <vt:i4>0</vt:i4>
      </vt:variant>
      <vt:variant>
        <vt:i4>5</vt:i4>
      </vt:variant>
      <vt:variant>
        <vt:lpwstr>https://personnel.iaea.org/info/ddsu/tree.asp?top=7530&amp;old=9999&amp;show=753</vt:lpwstr>
      </vt:variant>
      <vt:variant>
        <vt:lpwstr>u753</vt:lpwstr>
      </vt:variant>
      <vt:variant>
        <vt:i4>5439550</vt:i4>
      </vt:variant>
      <vt:variant>
        <vt:i4>6</vt:i4>
      </vt:variant>
      <vt:variant>
        <vt:i4>0</vt:i4>
      </vt:variant>
      <vt:variant>
        <vt:i4>5</vt:i4>
      </vt:variant>
      <vt:variant>
        <vt:lpwstr>mailto:radprom2012.papers@iaea.org</vt:lpwstr>
      </vt:variant>
      <vt:variant>
        <vt:lpwstr/>
      </vt:variant>
      <vt:variant>
        <vt:i4>1769510</vt:i4>
      </vt:variant>
      <vt:variant>
        <vt:i4>3</vt:i4>
      </vt:variant>
      <vt:variant>
        <vt:i4>0</vt:i4>
      </vt:variant>
      <vt:variant>
        <vt:i4>5</vt:i4>
      </vt:variant>
      <vt:variant>
        <vt:lpwstr>mailto:RSII2@bmu.bund.de</vt:lpwstr>
      </vt:variant>
      <vt:variant>
        <vt:lpwstr/>
      </vt:variant>
      <vt:variant>
        <vt:i4>5439550</vt:i4>
      </vt:variant>
      <vt:variant>
        <vt:i4>0</vt:i4>
      </vt:variant>
      <vt:variant>
        <vt:i4>0</vt:i4>
      </vt:variant>
      <vt:variant>
        <vt:i4>5</vt:i4>
      </vt:variant>
      <vt:variant>
        <vt:lpwstr>mailto:radprom2012.papers@iaea.org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FOOTE, Corinne</dc:creator>
  <cp:lastModifiedBy>SHAJU KATTIPPURAKKAL, Joseph</cp:lastModifiedBy>
  <cp:revision>2</cp:revision>
  <cp:lastPrinted>2013-10-16T09:00:00Z</cp:lastPrinted>
  <dcterms:created xsi:type="dcterms:W3CDTF">2013-11-26T13:46:00Z</dcterms:created>
  <dcterms:modified xsi:type="dcterms:W3CDTF">2013-11-26T13:46:00Z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0x010100B86DD33A3802B34694A9B65E8D0C1557</vt:lpwstr>
  </property>
</Properties>
</file>