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1D00D" w14:textId="77777777" w:rsidR="00733D7D" w:rsidRDefault="00733D7D" w:rsidP="00733D7D">
      <w:pPr>
        <w:pStyle w:val="BodyText"/>
        <w:spacing w:after="0"/>
        <w:jc w:val="right"/>
        <w:rPr>
          <w:b/>
          <w:spacing w:val="-3"/>
          <w:sz w:val="28"/>
        </w:rPr>
      </w:pPr>
      <w:r>
        <w:rPr>
          <w:b/>
          <w:spacing w:val="-3"/>
          <w:sz w:val="28"/>
        </w:rPr>
        <w:t>IAEA-CN-</w:t>
      </w:r>
      <w:r w:rsidR="00B95F39">
        <w:rPr>
          <w:b/>
          <w:spacing w:val="-3"/>
          <w:sz w:val="28"/>
        </w:rPr>
        <w:t>217</w:t>
      </w:r>
    </w:p>
    <w:p w14:paraId="71C76BD8" w14:textId="77777777" w:rsidR="00733D7D" w:rsidRDefault="00343E7E">
      <w:pPr>
        <w:pStyle w:val="BodyText"/>
      </w:pPr>
      <w:r>
        <w:rPr>
          <w:noProof/>
          <w:lang w:eastAsia="en-GB"/>
        </w:rPr>
        <w:drawing>
          <wp:inline distT="0" distB="0" distL="0" distR="0" wp14:anchorId="36EA9878" wp14:editId="60E81167">
            <wp:extent cx="3902075" cy="791845"/>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2075" cy="791845"/>
                    </a:xfrm>
                    <a:prstGeom prst="rect">
                      <a:avLst/>
                    </a:prstGeom>
                    <a:noFill/>
                    <a:ln>
                      <a:noFill/>
                    </a:ln>
                  </pic:spPr>
                </pic:pic>
              </a:graphicData>
            </a:graphic>
          </wp:inline>
        </w:drawing>
      </w:r>
    </w:p>
    <w:p w14:paraId="0A81379B" w14:textId="77777777" w:rsidR="00733D7D" w:rsidRDefault="00733D7D">
      <w:pPr>
        <w:pStyle w:val="BodyText"/>
      </w:pPr>
    </w:p>
    <w:p w14:paraId="1A3EEBA2" w14:textId="77777777" w:rsidR="00B95F39" w:rsidRDefault="00B95F39">
      <w:pPr>
        <w:pStyle w:val="BodyText"/>
      </w:pPr>
    </w:p>
    <w:p w14:paraId="5C806F89" w14:textId="0C1BAC6A" w:rsidR="00B95F39" w:rsidRPr="00B95F39" w:rsidRDefault="00B95F39" w:rsidP="005F5A3D">
      <w:pPr>
        <w:pStyle w:val="PDSReportSubTitle"/>
        <w:rPr>
          <w:rFonts w:ascii="Arial" w:hAnsi="Arial" w:cs="Arial"/>
          <w:b w:val="0"/>
          <w:sz w:val="40"/>
          <w:szCs w:val="40"/>
          <w:u w:val="none"/>
        </w:rPr>
      </w:pPr>
      <w:r w:rsidRPr="00B95F39">
        <w:rPr>
          <w:rFonts w:ascii="Arial" w:hAnsi="Arial" w:cs="Arial"/>
          <w:b w:val="0"/>
          <w:sz w:val="40"/>
          <w:szCs w:val="40"/>
          <w:u w:val="none"/>
        </w:rPr>
        <w:t xml:space="preserve">International Symposium </w:t>
      </w:r>
      <w:r w:rsidR="00F35004" w:rsidRPr="00B95F39">
        <w:rPr>
          <w:rFonts w:ascii="Arial" w:hAnsi="Arial" w:cs="Arial"/>
          <w:b w:val="0"/>
          <w:sz w:val="40"/>
          <w:szCs w:val="40"/>
          <w:u w:val="none"/>
        </w:rPr>
        <w:t>on</w:t>
      </w:r>
      <w:r w:rsidR="00F35004">
        <w:rPr>
          <w:rFonts w:ascii="Arial" w:hAnsi="Arial" w:cs="Arial"/>
          <w:b w:val="0"/>
          <w:sz w:val="40"/>
          <w:szCs w:val="40"/>
          <w:u w:val="none"/>
        </w:rPr>
        <w:br/>
      </w:r>
      <w:r w:rsidRPr="00B95F39">
        <w:rPr>
          <w:rFonts w:ascii="Arial" w:hAnsi="Arial" w:cs="Arial"/>
          <w:b w:val="0"/>
          <w:sz w:val="40"/>
          <w:szCs w:val="40"/>
          <w:u w:val="none"/>
        </w:rPr>
        <w:t xml:space="preserve">Understanding Moderate Malnutrition </w:t>
      </w:r>
      <w:r w:rsidR="005F5A3D">
        <w:rPr>
          <w:rFonts w:ascii="Arial" w:hAnsi="Arial" w:cs="Arial"/>
          <w:b w:val="0"/>
          <w:sz w:val="40"/>
          <w:szCs w:val="40"/>
          <w:u w:val="none"/>
        </w:rPr>
        <w:t>in</w:t>
      </w:r>
      <w:r w:rsidR="005F5A3D">
        <w:rPr>
          <w:rFonts w:ascii="Arial" w:hAnsi="Arial" w:cs="Arial"/>
          <w:b w:val="0"/>
          <w:sz w:val="40"/>
          <w:szCs w:val="40"/>
          <w:u w:val="none"/>
        </w:rPr>
        <w:br/>
      </w:r>
      <w:r w:rsidRPr="00B95F39">
        <w:rPr>
          <w:rFonts w:ascii="Arial" w:hAnsi="Arial" w:cs="Arial"/>
          <w:b w:val="0"/>
          <w:sz w:val="40"/>
          <w:szCs w:val="40"/>
          <w:u w:val="none"/>
        </w:rPr>
        <w:t>Children for Effective Interventions</w:t>
      </w:r>
    </w:p>
    <w:p w14:paraId="4643B74E" w14:textId="77777777" w:rsidR="008B114F" w:rsidRDefault="008B114F" w:rsidP="00C9204F">
      <w:pPr>
        <w:pStyle w:val="Subtitle"/>
      </w:pPr>
    </w:p>
    <w:p w14:paraId="54A7F95F" w14:textId="77777777" w:rsidR="005F5A3D" w:rsidRDefault="005F5A3D" w:rsidP="005F5A3D">
      <w:pPr>
        <w:pStyle w:val="Subtitle"/>
      </w:pPr>
      <w:r>
        <w:t>IAEA Headquarters</w:t>
      </w:r>
      <w:r>
        <w:br/>
        <w:t>Vienna, Austria</w:t>
      </w:r>
    </w:p>
    <w:p w14:paraId="1A276B88" w14:textId="77777777" w:rsidR="005F5A3D" w:rsidRDefault="005F5A3D" w:rsidP="005F5A3D">
      <w:pPr>
        <w:pStyle w:val="Subtitle"/>
      </w:pPr>
    </w:p>
    <w:p w14:paraId="2EDC11B0" w14:textId="01111929" w:rsidR="00B95F39" w:rsidRDefault="00A727C1" w:rsidP="005F5A3D">
      <w:pPr>
        <w:pStyle w:val="Subtitle"/>
      </w:pPr>
      <w:r w:rsidRPr="00601424">
        <w:t>2</w:t>
      </w:r>
      <w:r w:rsidR="00D556A2">
        <w:t>6</w:t>
      </w:r>
      <w:bookmarkStart w:id="0" w:name="_GoBack"/>
      <w:bookmarkEnd w:id="0"/>
      <w:r w:rsidR="005F5A3D" w:rsidRPr="00601424">
        <w:t>–</w:t>
      </w:r>
      <w:r w:rsidRPr="00601424">
        <w:t>29 May</w:t>
      </w:r>
      <w:r w:rsidR="008B114F" w:rsidRPr="00601424">
        <w:t xml:space="preserve"> 2014</w:t>
      </w:r>
    </w:p>
    <w:p w14:paraId="2B63CF58" w14:textId="77777777" w:rsidR="00C9204F" w:rsidRDefault="00C9204F" w:rsidP="00C9204F">
      <w:pPr>
        <w:pStyle w:val="Subtitle"/>
      </w:pPr>
    </w:p>
    <w:p w14:paraId="2F16220F" w14:textId="77777777" w:rsidR="00733D7D" w:rsidRDefault="00733D7D" w:rsidP="00733D7D">
      <w:pPr>
        <w:pStyle w:val="BodyText"/>
      </w:pPr>
    </w:p>
    <w:p w14:paraId="7F257109" w14:textId="77777777" w:rsidR="00733D7D" w:rsidRPr="00CE601E" w:rsidRDefault="00733D7D" w:rsidP="00733D7D">
      <w:pPr>
        <w:pStyle w:val="Subtitle"/>
        <w:rPr>
          <w:sz w:val="40"/>
          <w:szCs w:val="40"/>
        </w:rPr>
      </w:pPr>
      <w:r w:rsidRPr="00CE601E">
        <w:rPr>
          <w:sz w:val="40"/>
          <w:szCs w:val="40"/>
        </w:rPr>
        <w:t>Announcement and Call for Papers</w:t>
      </w:r>
    </w:p>
    <w:p w14:paraId="5A6E736F" w14:textId="79A3A764" w:rsidR="00733D7D" w:rsidRDefault="00194967" w:rsidP="00733D7D">
      <w:pPr>
        <w:pStyle w:val="Heading1"/>
      </w:pPr>
      <w:r>
        <w:t>Background</w:t>
      </w:r>
    </w:p>
    <w:p w14:paraId="66E902B6" w14:textId="0F95483B" w:rsidR="00506CCE" w:rsidRPr="00506CCE" w:rsidRDefault="00506CCE" w:rsidP="00193CB8">
      <w:pPr>
        <w:spacing w:after="170" w:line="280" w:lineRule="atLeast"/>
        <w:jc w:val="both"/>
        <w:rPr>
          <w:szCs w:val="22"/>
        </w:rPr>
      </w:pPr>
      <w:proofErr w:type="spellStart"/>
      <w:r w:rsidRPr="00506CCE">
        <w:rPr>
          <w:szCs w:val="22"/>
        </w:rPr>
        <w:t>Undernutrition</w:t>
      </w:r>
      <w:proofErr w:type="spellEnd"/>
      <w:r w:rsidRPr="00506CCE">
        <w:rPr>
          <w:szCs w:val="22"/>
        </w:rPr>
        <w:t xml:space="preserve">, already one of the world’s most serious health problems, is at risk of worsening as the global economy deteriorates. In poor countries, </w:t>
      </w:r>
      <w:proofErr w:type="spellStart"/>
      <w:r w:rsidRPr="00506CCE">
        <w:rPr>
          <w:szCs w:val="22"/>
        </w:rPr>
        <w:t>undernutrition</w:t>
      </w:r>
      <w:proofErr w:type="spellEnd"/>
      <w:r w:rsidRPr="00506CCE">
        <w:rPr>
          <w:szCs w:val="22"/>
        </w:rPr>
        <w:t xml:space="preserve"> is the largest single contributor of more than one third of all deaths of </w:t>
      </w:r>
      <w:r w:rsidR="005F5A3D" w:rsidRPr="00506CCE">
        <w:rPr>
          <w:szCs w:val="22"/>
        </w:rPr>
        <w:t>children</w:t>
      </w:r>
      <w:r w:rsidR="005F5A3D">
        <w:rPr>
          <w:szCs w:val="22"/>
        </w:rPr>
        <w:t xml:space="preserve"> </w:t>
      </w:r>
      <w:r w:rsidRPr="00506CCE">
        <w:rPr>
          <w:szCs w:val="22"/>
        </w:rPr>
        <w:t xml:space="preserve">under </w:t>
      </w:r>
      <w:r w:rsidR="005F5A3D">
        <w:rPr>
          <w:szCs w:val="22"/>
        </w:rPr>
        <w:t>five</w:t>
      </w:r>
      <w:r w:rsidR="005F5A3D" w:rsidRPr="00506CCE">
        <w:rPr>
          <w:szCs w:val="22"/>
        </w:rPr>
        <w:t xml:space="preserve"> </w:t>
      </w:r>
      <w:r w:rsidRPr="00506CCE">
        <w:rPr>
          <w:szCs w:val="22"/>
        </w:rPr>
        <w:t>year</w:t>
      </w:r>
      <w:r w:rsidR="005F5A3D">
        <w:rPr>
          <w:szCs w:val="22"/>
        </w:rPr>
        <w:t>s of age,</w:t>
      </w:r>
      <w:r w:rsidRPr="00506CCE">
        <w:rPr>
          <w:szCs w:val="22"/>
        </w:rPr>
        <w:t xml:space="preserve"> many of which are preventable through effective nutrition interventions (Lancet, 2008).</w:t>
      </w:r>
      <w:r w:rsidR="005F5A3D">
        <w:rPr>
          <w:rStyle w:val="FootnoteReference"/>
          <w:szCs w:val="22"/>
        </w:rPr>
        <w:footnoteReference w:id="2"/>
      </w:r>
      <w:r w:rsidRPr="00506CCE">
        <w:rPr>
          <w:szCs w:val="22"/>
        </w:rPr>
        <w:t xml:space="preserve"> </w:t>
      </w:r>
      <w:r w:rsidR="005F5A3D" w:rsidRPr="00193CB8">
        <w:rPr>
          <w:szCs w:val="22"/>
        </w:rPr>
        <w:t xml:space="preserve">Thus, </w:t>
      </w:r>
      <w:r w:rsidRPr="00193CB8">
        <w:rPr>
          <w:szCs w:val="22"/>
        </w:rPr>
        <w:t xml:space="preserve">reducing </w:t>
      </w:r>
      <w:proofErr w:type="spellStart"/>
      <w:r w:rsidR="004A4E41" w:rsidRPr="00193CB8">
        <w:rPr>
          <w:szCs w:val="22"/>
        </w:rPr>
        <w:t>undernutrition</w:t>
      </w:r>
      <w:proofErr w:type="spellEnd"/>
      <w:r w:rsidR="004A4E41" w:rsidRPr="00193CB8">
        <w:rPr>
          <w:szCs w:val="22"/>
        </w:rPr>
        <w:t xml:space="preserve"> </w:t>
      </w:r>
      <w:r w:rsidRPr="00193CB8">
        <w:rPr>
          <w:szCs w:val="22"/>
        </w:rPr>
        <w:t>is vital for child</w:t>
      </w:r>
      <w:r w:rsidR="00AE0EBA" w:rsidRPr="00193CB8">
        <w:rPr>
          <w:szCs w:val="22"/>
        </w:rPr>
        <w:t>ren</w:t>
      </w:r>
      <w:r w:rsidR="00CC605C" w:rsidRPr="00193CB8">
        <w:rPr>
          <w:szCs w:val="22"/>
        </w:rPr>
        <w:t>’s</w:t>
      </w:r>
      <w:r w:rsidRPr="00193CB8">
        <w:rPr>
          <w:szCs w:val="22"/>
        </w:rPr>
        <w:t xml:space="preserve"> survival</w:t>
      </w:r>
      <w:r w:rsidR="00A5203C" w:rsidRPr="00193CB8">
        <w:rPr>
          <w:szCs w:val="22"/>
        </w:rPr>
        <w:t>,</w:t>
      </w:r>
      <w:r w:rsidRPr="00193CB8">
        <w:rPr>
          <w:szCs w:val="22"/>
        </w:rPr>
        <w:t xml:space="preserve"> </w:t>
      </w:r>
      <w:r w:rsidR="00846CB6" w:rsidRPr="00193CB8">
        <w:rPr>
          <w:szCs w:val="22"/>
        </w:rPr>
        <w:t>particularly in poor countries</w:t>
      </w:r>
      <w:r w:rsidR="00A5203C" w:rsidRPr="00193CB8">
        <w:rPr>
          <w:szCs w:val="22"/>
        </w:rPr>
        <w:t>,</w:t>
      </w:r>
      <w:r w:rsidR="00CC605C" w:rsidRPr="00193CB8">
        <w:rPr>
          <w:szCs w:val="22"/>
        </w:rPr>
        <w:t xml:space="preserve"> </w:t>
      </w:r>
      <w:r w:rsidRPr="00193CB8">
        <w:rPr>
          <w:szCs w:val="22"/>
        </w:rPr>
        <w:t xml:space="preserve">and </w:t>
      </w:r>
      <w:r w:rsidR="00CC605C" w:rsidRPr="00193CB8">
        <w:rPr>
          <w:szCs w:val="22"/>
        </w:rPr>
        <w:t xml:space="preserve">consequently for </w:t>
      </w:r>
      <w:r w:rsidRPr="00193CB8">
        <w:rPr>
          <w:szCs w:val="22"/>
        </w:rPr>
        <w:t>socio-economic development.</w:t>
      </w:r>
      <w:r w:rsidR="00AE0EBA">
        <w:rPr>
          <w:rFonts w:ascii="Arial" w:hAnsi="Arial" w:cs="Arial"/>
          <w:sz w:val="20"/>
          <w:szCs w:val="24"/>
        </w:rPr>
        <w:t xml:space="preserve"> </w:t>
      </w:r>
      <w:r w:rsidRPr="00506CCE">
        <w:rPr>
          <w:szCs w:val="22"/>
        </w:rPr>
        <w:t>Moderate malnutrition is associated with more nutrition-related deaths than severe malnutrition</w:t>
      </w:r>
      <w:r w:rsidR="00E66F92">
        <w:rPr>
          <w:szCs w:val="22"/>
        </w:rPr>
        <w:t xml:space="preserve"> because m</w:t>
      </w:r>
      <w:r w:rsidR="00E66F92" w:rsidRPr="00506CCE">
        <w:rPr>
          <w:szCs w:val="22"/>
        </w:rPr>
        <w:t>oderate malnutrition</w:t>
      </w:r>
      <w:r w:rsidR="00E66F92">
        <w:rPr>
          <w:szCs w:val="22"/>
        </w:rPr>
        <w:t xml:space="preserve"> </w:t>
      </w:r>
      <w:r w:rsidR="00CC605C">
        <w:rPr>
          <w:szCs w:val="22"/>
        </w:rPr>
        <w:t>affects a</w:t>
      </w:r>
      <w:r w:rsidR="00E66F92">
        <w:rPr>
          <w:szCs w:val="22"/>
        </w:rPr>
        <w:t xml:space="preserve"> greater</w:t>
      </w:r>
      <w:r w:rsidR="00CC605C">
        <w:rPr>
          <w:szCs w:val="22"/>
        </w:rPr>
        <w:t xml:space="preserve"> number of children</w:t>
      </w:r>
      <w:r w:rsidR="00E66F92">
        <w:rPr>
          <w:szCs w:val="22"/>
        </w:rPr>
        <w:t>.</w:t>
      </w:r>
    </w:p>
    <w:p w14:paraId="1419FDED" w14:textId="63E4AA6A" w:rsidR="00506CCE" w:rsidRPr="00506CCE" w:rsidRDefault="00506CCE" w:rsidP="00CC605C">
      <w:pPr>
        <w:spacing w:after="170" w:line="280" w:lineRule="atLeast"/>
        <w:jc w:val="both"/>
        <w:rPr>
          <w:szCs w:val="22"/>
        </w:rPr>
      </w:pPr>
      <w:r w:rsidRPr="00506CCE">
        <w:rPr>
          <w:szCs w:val="22"/>
        </w:rPr>
        <w:t xml:space="preserve">According to </w:t>
      </w:r>
      <w:r w:rsidR="009D10A1">
        <w:rPr>
          <w:szCs w:val="22"/>
        </w:rPr>
        <w:t>the World Health Organization (</w:t>
      </w:r>
      <w:r w:rsidRPr="00506CCE">
        <w:rPr>
          <w:szCs w:val="22"/>
        </w:rPr>
        <w:t>WHO</w:t>
      </w:r>
      <w:r w:rsidR="009D10A1">
        <w:rPr>
          <w:szCs w:val="22"/>
        </w:rPr>
        <w:t>)</w:t>
      </w:r>
      <w:r w:rsidRPr="00506CCE">
        <w:rPr>
          <w:szCs w:val="22"/>
        </w:rPr>
        <w:t>,</w:t>
      </w:r>
      <w:r w:rsidRPr="00506CCE">
        <w:rPr>
          <w:szCs w:val="24"/>
        </w:rPr>
        <w:t xml:space="preserve"> </w:t>
      </w:r>
      <w:r w:rsidRPr="00506CCE">
        <w:rPr>
          <w:szCs w:val="22"/>
        </w:rPr>
        <w:t>moderate malnutrition includes all children with moderate wasting</w:t>
      </w:r>
      <w:r w:rsidR="00EB45A4">
        <w:rPr>
          <w:szCs w:val="22"/>
        </w:rPr>
        <w:t>,</w:t>
      </w:r>
      <w:r w:rsidRPr="00506CCE">
        <w:rPr>
          <w:szCs w:val="22"/>
        </w:rPr>
        <w:t xml:space="preserve"> defined as a weight-for-height between </w:t>
      </w:r>
      <w:r w:rsidR="004A4E41">
        <w:rPr>
          <w:szCs w:val="22"/>
        </w:rPr>
        <w:t>–</w:t>
      </w:r>
      <w:r w:rsidRPr="00506CCE">
        <w:rPr>
          <w:szCs w:val="22"/>
        </w:rPr>
        <w:t xml:space="preserve">3 and </w:t>
      </w:r>
      <w:r w:rsidR="004A4E41">
        <w:rPr>
          <w:szCs w:val="22"/>
        </w:rPr>
        <w:t>–</w:t>
      </w:r>
      <w:r w:rsidRPr="00506CCE">
        <w:rPr>
          <w:szCs w:val="22"/>
        </w:rPr>
        <w:t>2 z-scores</w:t>
      </w:r>
      <w:r w:rsidR="009D10A1">
        <w:rPr>
          <w:rStyle w:val="FootnoteReference"/>
          <w:szCs w:val="22"/>
        </w:rPr>
        <w:footnoteReference w:id="3"/>
      </w:r>
      <w:r w:rsidRPr="00506CCE">
        <w:rPr>
          <w:szCs w:val="22"/>
        </w:rPr>
        <w:t xml:space="preserve"> </w:t>
      </w:r>
      <w:r w:rsidR="009D10A1">
        <w:rPr>
          <w:szCs w:val="22"/>
        </w:rPr>
        <w:t>with reference to</w:t>
      </w:r>
      <w:r w:rsidRPr="00506CCE">
        <w:rPr>
          <w:szCs w:val="22"/>
        </w:rPr>
        <w:t xml:space="preserve"> the WHO </w:t>
      </w:r>
      <w:r w:rsidR="009D10A1">
        <w:rPr>
          <w:szCs w:val="22"/>
        </w:rPr>
        <w:t>C</w:t>
      </w:r>
      <w:r w:rsidRPr="00506CCE">
        <w:rPr>
          <w:szCs w:val="22"/>
        </w:rPr>
        <w:t xml:space="preserve">hild </w:t>
      </w:r>
      <w:r w:rsidR="009D10A1">
        <w:rPr>
          <w:szCs w:val="22"/>
        </w:rPr>
        <w:t>G</w:t>
      </w:r>
      <w:r w:rsidRPr="00506CCE">
        <w:rPr>
          <w:szCs w:val="22"/>
        </w:rPr>
        <w:t xml:space="preserve">rowth </w:t>
      </w:r>
      <w:r w:rsidR="00EB45A4">
        <w:rPr>
          <w:szCs w:val="22"/>
        </w:rPr>
        <w:t>S</w:t>
      </w:r>
      <w:r w:rsidR="00EB45A4" w:rsidRPr="00506CCE">
        <w:rPr>
          <w:szCs w:val="22"/>
        </w:rPr>
        <w:t>tandards</w:t>
      </w:r>
      <w:r w:rsidR="00EB45A4">
        <w:rPr>
          <w:szCs w:val="22"/>
        </w:rPr>
        <w:t>,</w:t>
      </w:r>
      <w:r w:rsidRPr="00506CCE">
        <w:rPr>
          <w:szCs w:val="22"/>
        </w:rPr>
        <w:t xml:space="preserve"> and those with moderate stunting, defined as a height-for-age between -3 and </w:t>
      </w:r>
      <w:r w:rsidR="00EB45A4">
        <w:rPr>
          <w:szCs w:val="22"/>
        </w:rPr>
        <w:t>-</w:t>
      </w:r>
      <w:r w:rsidRPr="00506CCE">
        <w:rPr>
          <w:szCs w:val="22"/>
        </w:rPr>
        <w:t xml:space="preserve">2 z-scores </w:t>
      </w:r>
      <w:r w:rsidR="009D10A1">
        <w:rPr>
          <w:szCs w:val="22"/>
        </w:rPr>
        <w:t>with reference to</w:t>
      </w:r>
      <w:r w:rsidRPr="00506CCE">
        <w:rPr>
          <w:szCs w:val="22"/>
        </w:rPr>
        <w:t xml:space="preserve"> the WHO </w:t>
      </w:r>
      <w:r w:rsidR="009D10A1">
        <w:rPr>
          <w:szCs w:val="22"/>
        </w:rPr>
        <w:t>C</w:t>
      </w:r>
      <w:r w:rsidRPr="00506CCE">
        <w:rPr>
          <w:szCs w:val="22"/>
        </w:rPr>
        <w:t xml:space="preserve">hild </w:t>
      </w:r>
      <w:r w:rsidR="009D10A1">
        <w:rPr>
          <w:szCs w:val="22"/>
        </w:rPr>
        <w:t>G</w:t>
      </w:r>
      <w:r w:rsidRPr="00506CCE">
        <w:rPr>
          <w:szCs w:val="22"/>
        </w:rPr>
        <w:t xml:space="preserve">rowth </w:t>
      </w:r>
      <w:r w:rsidR="009D10A1">
        <w:rPr>
          <w:szCs w:val="22"/>
        </w:rPr>
        <w:t>S</w:t>
      </w:r>
      <w:r w:rsidRPr="00506CCE">
        <w:rPr>
          <w:szCs w:val="22"/>
        </w:rPr>
        <w:t xml:space="preserve">tandards. Most of these children will be moderately underweight (weight-for-age between </w:t>
      </w:r>
      <w:r w:rsidR="00CC605C">
        <w:rPr>
          <w:szCs w:val="22"/>
        </w:rPr>
        <w:t>–</w:t>
      </w:r>
      <w:r w:rsidRPr="00506CCE">
        <w:rPr>
          <w:szCs w:val="22"/>
        </w:rPr>
        <w:t xml:space="preserve">3 and </w:t>
      </w:r>
      <w:r w:rsidR="00CC605C">
        <w:rPr>
          <w:szCs w:val="22"/>
        </w:rPr>
        <w:t>–</w:t>
      </w:r>
      <w:r w:rsidRPr="00506CCE">
        <w:rPr>
          <w:szCs w:val="22"/>
        </w:rPr>
        <w:t xml:space="preserve">2 z-scores). This symposium will focus on </w:t>
      </w:r>
      <w:r w:rsidRPr="00506CCE">
        <w:rPr>
          <w:szCs w:val="22"/>
        </w:rPr>
        <w:lastRenderedPageBreak/>
        <w:t>the management (prevention and treatment) of moderate wasting or moderate acute malnutrition (MAM).</w:t>
      </w:r>
    </w:p>
    <w:p w14:paraId="442F1F99" w14:textId="566A8444" w:rsidR="00506CCE" w:rsidRPr="00506CCE" w:rsidRDefault="00506CCE" w:rsidP="00962B12">
      <w:pPr>
        <w:spacing w:after="170" w:line="280" w:lineRule="atLeast"/>
        <w:jc w:val="both"/>
        <w:rPr>
          <w:szCs w:val="22"/>
        </w:rPr>
      </w:pPr>
      <w:r w:rsidRPr="00506CCE">
        <w:rPr>
          <w:szCs w:val="22"/>
        </w:rPr>
        <w:t xml:space="preserve">The importance of MAM should not be neglected. Although moderate wasting is not a condition of medical urgency, it can easily deteriorate. If some of these </w:t>
      </w:r>
      <w:r w:rsidR="007A208F">
        <w:rPr>
          <w:szCs w:val="22"/>
        </w:rPr>
        <w:t>under</w:t>
      </w:r>
      <w:r w:rsidRPr="00506CCE">
        <w:rPr>
          <w:szCs w:val="22"/>
        </w:rPr>
        <w:t>nourished children</w:t>
      </w:r>
      <w:r w:rsidR="00110F9E">
        <w:rPr>
          <w:szCs w:val="22"/>
        </w:rPr>
        <w:t xml:space="preserve"> with moderate wasting</w:t>
      </w:r>
      <w:r w:rsidRPr="00506CCE">
        <w:rPr>
          <w:szCs w:val="22"/>
        </w:rPr>
        <w:t xml:space="preserve"> do not receive adequate support, they may progress towards severe acute malnutrition</w:t>
      </w:r>
      <w:r w:rsidR="007A208F">
        <w:rPr>
          <w:szCs w:val="22"/>
        </w:rPr>
        <w:t xml:space="preserve"> (SAM)</w:t>
      </w:r>
      <w:r w:rsidRPr="00506CCE">
        <w:rPr>
          <w:szCs w:val="22"/>
        </w:rPr>
        <w:t xml:space="preserve"> </w:t>
      </w:r>
      <w:r w:rsidR="007A208F">
        <w:rPr>
          <w:szCs w:val="22"/>
        </w:rPr>
        <w:t xml:space="preserve">— defined by the presence of </w:t>
      </w:r>
      <w:r w:rsidRPr="00506CCE">
        <w:rPr>
          <w:szCs w:val="22"/>
        </w:rPr>
        <w:t xml:space="preserve">severe wasting and/or </w:t>
      </w:r>
      <w:r w:rsidR="007A208F">
        <w:rPr>
          <w:szCs w:val="22"/>
        </w:rPr>
        <w:t xml:space="preserve">bilateral pitting </w:t>
      </w:r>
      <w:r w:rsidRPr="00506CCE">
        <w:rPr>
          <w:szCs w:val="22"/>
        </w:rPr>
        <w:t>oedema</w:t>
      </w:r>
      <w:r w:rsidR="007A208F">
        <w:rPr>
          <w:szCs w:val="22"/>
        </w:rPr>
        <w:t xml:space="preserve"> —</w:t>
      </w:r>
      <w:r w:rsidR="007A208F" w:rsidRPr="00506CCE">
        <w:rPr>
          <w:szCs w:val="22"/>
        </w:rPr>
        <w:t xml:space="preserve"> </w:t>
      </w:r>
      <w:r w:rsidRPr="00506CCE">
        <w:rPr>
          <w:szCs w:val="22"/>
        </w:rPr>
        <w:t>which is a life</w:t>
      </w:r>
      <w:r w:rsidR="00962B12">
        <w:rPr>
          <w:szCs w:val="22"/>
        </w:rPr>
        <w:noBreakHyphen/>
      </w:r>
      <w:r w:rsidRPr="00506CCE">
        <w:rPr>
          <w:szCs w:val="22"/>
        </w:rPr>
        <w:t xml:space="preserve">threatening condition. </w:t>
      </w:r>
      <w:r w:rsidR="007A208F">
        <w:rPr>
          <w:szCs w:val="22"/>
        </w:rPr>
        <w:t>The p</w:t>
      </w:r>
      <w:r w:rsidRPr="00506CCE">
        <w:rPr>
          <w:szCs w:val="22"/>
        </w:rPr>
        <w:t>rovision of complementary food to prevent and treat moderate malnutrition among children under two years of age is also less costly (US</w:t>
      </w:r>
      <w:r w:rsidR="007A208F">
        <w:rPr>
          <w:szCs w:val="22"/>
        </w:rPr>
        <w:t> </w:t>
      </w:r>
      <w:r w:rsidRPr="00506CCE">
        <w:rPr>
          <w:szCs w:val="22"/>
        </w:rPr>
        <w:t>$40</w:t>
      </w:r>
      <w:r w:rsidR="007A208F">
        <w:rPr>
          <w:szCs w:val="22"/>
        </w:rPr>
        <w:t>–</w:t>
      </w:r>
      <w:r w:rsidRPr="00506CCE">
        <w:rPr>
          <w:szCs w:val="22"/>
        </w:rPr>
        <w:t>80 per child) than the treatment of SAM (US</w:t>
      </w:r>
      <w:r w:rsidR="007A208F">
        <w:rPr>
          <w:szCs w:val="22"/>
        </w:rPr>
        <w:t> </w:t>
      </w:r>
      <w:r w:rsidRPr="00506CCE">
        <w:rPr>
          <w:szCs w:val="22"/>
        </w:rPr>
        <w:t>$200 per episode and per child)</w:t>
      </w:r>
      <w:r w:rsidR="007A208F">
        <w:rPr>
          <w:szCs w:val="22"/>
        </w:rPr>
        <w:t>.</w:t>
      </w:r>
      <w:r w:rsidR="007A208F">
        <w:rPr>
          <w:rStyle w:val="FootnoteReference"/>
          <w:szCs w:val="22"/>
        </w:rPr>
        <w:footnoteReference w:id="4"/>
      </w:r>
      <w:r w:rsidRPr="00506CCE">
        <w:rPr>
          <w:szCs w:val="22"/>
        </w:rPr>
        <w:t xml:space="preserve"> Therefore, the management of MAM should be a public health priority. Preventing MAM could go hand-in-hand with preventing stunting, especially when the focus is on ensuring consumption of nutritious complementary food in addition to breastfeeding between the age</w:t>
      </w:r>
      <w:r w:rsidR="00110F9E">
        <w:rPr>
          <w:szCs w:val="22"/>
        </w:rPr>
        <w:t>s</w:t>
      </w:r>
      <w:r w:rsidRPr="00506CCE">
        <w:rPr>
          <w:szCs w:val="22"/>
        </w:rPr>
        <w:t xml:space="preserve"> of 6</w:t>
      </w:r>
      <w:r w:rsidR="00110F9E">
        <w:rPr>
          <w:szCs w:val="22"/>
        </w:rPr>
        <w:t xml:space="preserve"> and </w:t>
      </w:r>
      <w:r w:rsidRPr="00506CCE">
        <w:rPr>
          <w:szCs w:val="22"/>
        </w:rPr>
        <w:t>23 months.</w:t>
      </w:r>
    </w:p>
    <w:p w14:paraId="5EDC1AC1" w14:textId="3BE98882" w:rsidR="00506CCE" w:rsidRPr="00506CCE" w:rsidRDefault="00506CCE" w:rsidP="007C0A3B">
      <w:pPr>
        <w:shd w:val="clear" w:color="auto" w:fill="FFFFFF"/>
        <w:overflowPunct/>
        <w:autoSpaceDE/>
        <w:autoSpaceDN/>
        <w:adjustRightInd/>
        <w:spacing w:after="170" w:line="280" w:lineRule="atLeast"/>
        <w:jc w:val="both"/>
        <w:textAlignment w:val="auto"/>
        <w:rPr>
          <w:szCs w:val="22"/>
        </w:rPr>
      </w:pPr>
      <w:r w:rsidRPr="00506CCE">
        <w:rPr>
          <w:szCs w:val="22"/>
        </w:rPr>
        <w:t xml:space="preserve">In general, growth faltering takes place soon after birth and increases thereafter, reaching its lowest value close to </w:t>
      </w:r>
      <w:r w:rsidR="00110F9E">
        <w:rPr>
          <w:szCs w:val="22"/>
        </w:rPr>
        <w:t>two</w:t>
      </w:r>
      <w:r w:rsidR="00110F9E" w:rsidRPr="00506CCE">
        <w:rPr>
          <w:szCs w:val="22"/>
        </w:rPr>
        <w:t xml:space="preserve"> </w:t>
      </w:r>
      <w:r w:rsidRPr="00506CCE">
        <w:rPr>
          <w:szCs w:val="22"/>
        </w:rPr>
        <w:t xml:space="preserve">years of age; thus supporting the concept that the intrauterine period and the first </w:t>
      </w:r>
      <w:r w:rsidR="00110F9E">
        <w:rPr>
          <w:szCs w:val="22"/>
        </w:rPr>
        <w:t>two</w:t>
      </w:r>
      <w:r w:rsidR="00110F9E" w:rsidRPr="00506CCE">
        <w:rPr>
          <w:szCs w:val="22"/>
        </w:rPr>
        <w:t xml:space="preserve"> </w:t>
      </w:r>
      <w:r w:rsidRPr="00506CCE">
        <w:rPr>
          <w:szCs w:val="22"/>
        </w:rPr>
        <w:t xml:space="preserve">years of postnatal life are a critical window for preventing malnutrition. Therefore scaling up nutrition during the critical window of opportunity </w:t>
      </w:r>
      <w:r w:rsidR="00110F9E">
        <w:rPr>
          <w:szCs w:val="22"/>
        </w:rPr>
        <w:t>—</w:t>
      </w:r>
      <w:r w:rsidR="00110F9E" w:rsidRPr="00506CCE">
        <w:rPr>
          <w:szCs w:val="22"/>
        </w:rPr>
        <w:t xml:space="preserve"> </w:t>
      </w:r>
      <w:r w:rsidRPr="00506CCE">
        <w:rPr>
          <w:szCs w:val="22"/>
        </w:rPr>
        <w:t xml:space="preserve">the first 1000 days </w:t>
      </w:r>
      <w:r w:rsidR="00110F9E">
        <w:rPr>
          <w:szCs w:val="22"/>
        </w:rPr>
        <w:t>—</w:t>
      </w:r>
      <w:r w:rsidR="00110F9E" w:rsidRPr="00506CCE">
        <w:rPr>
          <w:szCs w:val="22"/>
        </w:rPr>
        <w:t xml:space="preserve"> </w:t>
      </w:r>
      <w:r w:rsidRPr="00506CCE">
        <w:rPr>
          <w:szCs w:val="22"/>
        </w:rPr>
        <w:t>can have a measurable impact on growth, development and incidence of chronic diseases.</w:t>
      </w:r>
    </w:p>
    <w:p w14:paraId="3CFB46B7" w14:textId="154B84D1" w:rsidR="00506CCE" w:rsidRPr="00506CCE" w:rsidRDefault="00506CCE" w:rsidP="00110F9E">
      <w:pPr>
        <w:spacing w:after="170" w:line="280" w:lineRule="atLeast"/>
        <w:jc w:val="both"/>
        <w:rPr>
          <w:szCs w:val="22"/>
        </w:rPr>
      </w:pPr>
      <w:r w:rsidRPr="00506CCE">
        <w:rPr>
          <w:szCs w:val="22"/>
        </w:rPr>
        <w:t xml:space="preserve">Although there is no need to feed moderately wasted children with therapeutic foods that are used to treat </w:t>
      </w:r>
      <w:r w:rsidR="00110F9E">
        <w:rPr>
          <w:szCs w:val="22"/>
        </w:rPr>
        <w:t>SAM</w:t>
      </w:r>
      <w:r w:rsidRPr="00506CCE">
        <w:rPr>
          <w:szCs w:val="22"/>
        </w:rPr>
        <w:t>, they require higher intake of energy and essential nutrients than non-malnourished children. Ideally, their dietary management should be based on the use of locally available macro- and micronutrient-dense foods, including breast milk where applicable. In settings with food shortage</w:t>
      </w:r>
      <w:r w:rsidR="00110F9E">
        <w:rPr>
          <w:szCs w:val="22"/>
        </w:rPr>
        <w:t>,</w:t>
      </w:r>
      <w:r w:rsidRPr="00506CCE">
        <w:rPr>
          <w:szCs w:val="22"/>
        </w:rPr>
        <w:t xml:space="preserve"> specially formulated supplementary foods are used to facilitate the recovery of moderately wasted children.</w:t>
      </w:r>
    </w:p>
    <w:p w14:paraId="0ED4A3D7" w14:textId="2213EA81" w:rsidR="00506CCE" w:rsidRPr="00506CCE" w:rsidRDefault="00110F9E" w:rsidP="000726B2">
      <w:pPr>
        <w:spacing w:after="170" w:line="280" w:lineRule="atLeast"/>
        <w:jc w:val="both"/>
        <w:rPr>
          <w:szCs w:val="22"/>
        </w:rPr>
      </w:pPr>
      <w:r>
        <w:rPr>
          <w:szCs w:val="22"/>
        </w:rPr>
        <w:t>I</w:t>
      </w:r>
      <w:r w:rsidRPr="00506CCE">
        <w:rPr>
          <w:szCs w:val="22"/>
        </w:rPr>
        <w:t>n 2008 and 2010</w:t>
      </w:r>
      <w:r>
        <w:rPr>
          <w:szCs w:val="22"/>
        </w:rPr>
        <w:t xml:space="preserve">, the </w:t>
      </w:r>
      <w:r w:rsidR="00506CCE" w:rsidRPr="00506CCE">
        <w:rPr>
          <w:szCs w:val="22"/>
        </w:rPr>
        <w:t xml:space="preserve">WHO convened meetings on the dietary management of moderately malnourished children and on reviewing the evidence on strategies and programmatic approaches to manage moderate wasting. </w:t>
      </w:r>
      <w:r>
        <w:rPr>
          <w:szCs w:val="22"/>
        </w:rPr>
        <w:t>A</w:t>
      </w:r>
      <w:r w:rsidR="00506CCE" w:rsidRPr="00506CCE">
        <w:rPr>
          <w:szCs w:val="22"/>
        </w:rPr>
        <w:t xml:space="preserve"> technical note on the nutrient composition of supplementary foods for the management of </w:t>
      </w:r>
      <w:r>
        <w:rPr>
          <w:szCs w:val="22"/>
        </w:rPr>
        <w:t>MAM</w:t>
      </w:r>
      <w:r w:rsidR="00506CCE" w:rsidRPr="00506CCE">
        <w:rPr>
          <w:szCs w:val="22"/>
        </w:rPr>
        <w:t xml:space="preserve"> in infants and children </w:t>
      </w:r>
      <w:r>
        <w:rPr>
          <w:szCs w:val="22"/>
        </w:rPr>
        <w:t xml:space="preserve">aged </w:t>
      </w:r>
      <w:r w:rsidR="00506CCE" w:rsidRPr="00506CCE">
        <w:rPr>
          <w:szCs w:val="22"/>
        </w:rPr>
        <w:t>6</w:t>
      </w:r>
      <w:r>
        <w:rPr>
          <w:szCs w:val="22"/>
        </w:rPr>
        <w:t>–</w:t>
      </w:r>
      <w:r w:rsidR="00506CCE" w:rsidRPr="00506CCE">
        <w:rPr>
          <w:szCs w:val="22"/>
        </w:rPr>
        <w:t xml:space="preserve">59 months was published by </w:t>
      </w:r>
      <w:r>
        <w:rPr>
          <w:szCs w:val="22"/>
        </w:rPr>
        <w:t xml:space="preserve">the </w:t>
      </w:r>
      <w:r w:rsidR="00506CCE" w:rsidRPr="00506CCE">
        <w:rPr>
          <w:szCs w:val="22"/>
        </w:rPr>
        <w:t xml:space="preserve">WHO in 2012. </w:t>
      </w:r>
      <w:r>
        <w:rPr>
          <w:szCs w:val="22"/>
        </w:rPr>
        <w:t xml:space="preserve">Moreover, </w:t>
      </w:r>
      <w:r w:rsidR="008958D5" w:rsidRPr="008958D5">
        <w:rPr>
          <w:szCs w:val="22"/>
        </w:rPr>
        <w:t>the Global Nutrition Cluster (GNC) of the Inter-Agency Standing Committee established</w:t>
      </w:r>
      <w:r w:rsidRPr="00506CCE">
        <w:rPr>
          <w:szCs w:val="22"/>
        </w:rPr>
        <w:t xml:space="preserve"> </w:t>
      </w:r>
      <w:r w:rsidR="00506CCE" w:rsidRPr="00506CCE">
        <w:rPr>
          <w:szCs w:val="22"/>
        </w:rPr>
        <w:t>a</w:t>
      </w:r>
      <w:r w:rsidR="000726B2">
        <w:rPr>
          <w:szCs w:val="22"/>
        </w:rPr>
        <w:t xml:space="preserve"> Task Force on Moderate Acute Malnutrition</w:t>
      </w:r>
      <w:r>
        <w:rPr>
          <w:szCs w:val="22"/>
        </w:rPr>
        <w:t xml:space="preserve"> in 2011</w:t>
      </w:r>
      <w:r w:rsidR="00506CCE" w:rsidRPr="00506CCE">
        <w:rPr>
          <w:szCs w:val="22"/>
        </w:rPr>
        <w:t xml:space="preserve"> </w:t>
      </w:r>
      <w:r>
        <w:rPr>
          <w:szCs w:val="22"/>
        </w:rPr>
        <w:t>to</w:t>
      </w:r>
      <w:r w:rsidR="00506CCE" w:rsidRPr="00506CCE">
        <w:rPr>
          <w:szCs w:val="22"/>
        </w:rPr>
        <w:t xml:space="preserve"> develop a decision-making tool </w:t>
      </w:r>
      <w:r>
        <w:rPr>
          <w:szCs w:val="22"/>
        </w:rPr>
        <w:t>which will support practitioners in the</w:t>
      </w:r>
      <w:r w:rsidR="00506CCE" w:rsidRPr="00506CCE">
        <w:rPr>
          <w:szCs w:val="22"/>
        </w:rPr>
        <w:t xml:space="preserve"> prevention and treatment of </w:t>
      </w:r>
      <w:r>
        <w:rPr>
          <w:szCs w:val="22"/>
        </w:rPr>
        <w:t>MAM</w:t>
      </w:r>
      <w:r w:rsidR="00506CCE" w:rsidRPr="00506CCE">
        <w:rPr>
          <w:szCs w:val="22"/>
        </w:rPr>
        <w:t xml:space="preserve"> in emergencies</w:t>
      </w:r>
      <w:r>
        <w:rPr>
          <w:szCs w:val="22"/>
        </w:rPr>
        <w:t>.</w:t>
      </w:r>
      <w:r w:rsidR="00506CCE" w:rsidRPr="00506CCE">
        <w:rPr>
          <w:szCs w:val="22"/>
        </w:rPr>
        <w:t xml:space="preserve"> </w:t>
      </w:r>
      <w:r>
        <w:rPr>
          <w:szCs w:val="22"/>
        </w:rPr>
        <w:t>This tool</w:t>
      </w:r>
      <w:r w:rsidRPr="00506CCE">
        <w:rPr>
          <w:szCs w:val="22"/>
        </w:rPr>
        <w:t xml:space="preserve"> </w:t>
      </w:r>
      <w:r w:rsidR="00506CCE" w:rsidRPr="00506CCE">
        <w:rPr>
          <w:szCs w:val="22"/>
        </w:rPr>
        <w:t>is currently being evaluated.</w:t>
      </w:r>
    </w:p>
    <w:p w14:paraId="0E9E1BEA" w14:textId="019E51FD" w:rsidR="00506CCE" w:rsidRPr="00506CCE" w:rsidRDefault="00506CCE" w:rsidP="00962B12">
      <w:pPr>
        <w:spacing w:after="170" w:line="280" w:lineRule="atLeast"/>
        <w:jc w:val="both"/>
        <w:rPr>
          <w:szCs w:val="22"/>
        </w:rPr>
      </w:pPr>
      <w:r w:rsidRPr="00506CCE">
        <w:rPr>
          <w:szCs w:val="22"/>
        </w:rPr>
        <w:t>However, more evidence on effective programmatic approaches to manage moderate wasting is needed. In the evaluation of interventions, functional and structural outcomes such as body composition should be included in addition to the tradit</w:t>
      </w:r>
      <w:r w:rsidR="0082545A">
        <w:rPr>
          <w:szCs w:val="22"/>
        </w:rPr>
        <w:t>ional</w:t>
      </w:r>
      <w:r w:rsidRPr="00506CCE">
        <w:rPr>
          <w:szCs w:val="22"/>
        </w:rPr>
        <w:t xml:space="preserve"> </w:t>
      </w:r>
      <w:r w:rsidR="0082545A">
        <w:rPr>
          <w:szCs w:val="22"/>
        </w:rPr>
        <w:t>methods</w:t>
      </w:r>
      <w:r w:rsidRPr="00506CCE">
        <w:rPr>
          <w:szCs w:val="22"/>
        </w:rPr>
        <w:t xml:space="preserve"> </w:t>
      </w:r>
      <w:r w:rsidR="00962B12">
        <w:rPr>
          <w:szCs w:val="22"/>
        </w:rPr>
        <w:t xml:space="preserve">used </w:t>
      </w:r>
      <w:r w:rsidRPr="00506CCE">
        <w:rPr>
          <w:szCs w:val="22"/>
        </w:rPr>
        <w:t xml:space="preserve">to assess healthy physical, cognitive and psychomotor development. Accurate assessment of body composition to determine the nature of the weight gained (lean </w:t>
      </w:r>
      <w:r w:rsidR="00EF71EE">
        <w:rPr>
          <w:szCs w:val="22"/>
        </w:rPr>
        <w:t xml:space="preserve">body </w:t>
      </w:r>
      <w:r w:rsidRPr="00506CCE">
        <w:rPr>
          <w:szCs w:val="22"/>
        </w:rPr>
        <w:t>mass and fat</w:t>
      </w:r>
      <w:r w:rsidR="00EF71EE">
        <w:rPr>
          <w:szCs w:val="22"/>
        </w:rPr>
        <w:t xml:space="preserve"> body</w:t>
      </w:r>
      <w:r w:rsidRPr="00506CCE">
        <w:rPr>
          <w:szCs w:val="22"/>
        </w:rPr>
        <w:t xml:space="preserve"> mass) over time can provide key information for evaluating the efficacy and effectiveness of interventions, </w:t>
      </w:r>
      <w:r w:rsidR="00EF71EE" w:rsidRPr="00506CCE">
        <w:rPr>
          <w:szCs w:val="22"/>
        </w:rPr>
        <w:t>a</w:t>
      </w:r>
      <w:r w:rsidR="00EF71EE">
        <w:rPr>
          <w:szCs w:val="22"/>
        </w:rPr>
        <w:t>s well as for gauging</w:t>
      </w:r>
      <w:r w:rsidR="00EF71EE" w:rsidRPr="00506CCE">
        <w:rPr>
          <w:szCs w:val="22"/>
        </w:rPr>
        <w:t xml:space="preserve"> </w:t>
      </w:r>
      <w:r w:rsidRPr="00506CCE">
        <w:rPr>
          <w:szCs w:val="22"/>
        </w:rPr>
        <w:t xml:space="preserve">the risk </w:t>
      </w:r>
      <w:r w:rsidR="00EF71EE">
        <w:rPr>
          <w:szCs w:val="22"/>
        </w:rPr>
        <w:t>of</w:t>
      </w:r>
      <w:r w:rsidR="00EF71EE" w:rsidRPr="00506CCE">
        <w:rPr>
          <w:szCs w:val="22"/>
        </w:rPr>
        <w:t xml:space="preserve"> </w:t>
      </w:r>
      <w:r w:rsidRPr="00506CCE">
        <w:rPr>
          <w:szCs w:val="22"/>
        </w:rPr>
        <w:t xml:space="preserve">chronic diseases. The </w:t>
      </w:r>
      <w:r w:rsidR="00EF71EE">
        <w:rPr>
          <w:szCs w:val="22"/>
        </w:rPr>
        <w:t>International Atomic Energy Agency (</w:t>
      </w:r>
      <w:r w:rsidRPr="00506CCE">
        <w:rPr>
          <w:szCs w:val="22"/>
        </w:rPr>
        <w:t>IAEA</w:t>
      </w:r>
      <w:r w:rsidR="00EF71EE">
        <w:rPr>
          <w:szCs w:val="22"/>
        </w:rPr>
        <w:t>)</w:t>
      </w:r>
      <w:r w:rsidRPr="00506CCE">
        <w:rPr>
          <w:szCs w:val="22"/>
        </w:rPr>
        <w:t xml:space="preserve"> has been a leader in developing and promoting the use of standardi</w:t>
      </w:r>
      <w:r w:rsidR="00EF71EE">
        <w:rPr>
          <w:szCs w:val="22"/>
        </w:rPr>
        <w:t>z</w:t>
      </w:r>
      <w:r w:rsidRPr="00506CCE">
        <w:rPr>
          <w:szCs w:val="22"/>
        </w:rPr>
        <w:t xml:space="preserve">ed protocols for body composition assessment using stable isotope techniques. </w:t>
      </w:r>
      <w:r w:rsidR="00EF71EE">
        <w:rPr>
          <w:szCs w:val="22"/>
        </w:rPr>
        <w:t>Such</w:t>
      </w:r>
      <w:r w:rsidRPr="00506CCE">
        <w:rPr>
          <w:szCs w:val="22"/>
        </w:rPr>
        <w:t xml:space="preserve"> </w:t>
      </w:r>
      <w:r w:rsidR="00EF71EE">
        <w:rPr>
          <w:szCs w:val="22"/>
        </w:rPr>
        <w:t>techniques</w:t>
      </w:r>
      <w:r w:rsidR="00EF71EE" w:rsidRPr="00506CCE">
        <w:rPr>
          <w:szCs w:val="22"/>
        </w:rPr>
        <w:t xml:space="preserve"> </w:t>
      </w:r>
      <w:r w:rsidRPr="00506CCE">
        <w:rPr>
          <w:szCs w:val="22"/>
        </w:rPr>
        <w:t xml:space="preserve">provide sensitive means of assessing the impact of interventions on the quality of growth, i.e., lean vs. fat </w:t>
      </w:r>
      <w:r w:rsidR="00EF71EE">
        <w:rPr>
          <w:szCs w:val="22"/>
        </w:rPr>
        <w:t xml:space="preserve">body </w:t>
      </w:r>
      <w:r w:rsidRPr="00506CCE">
        <w:rPr>
          <w:szCs w:val="22"/>
        </w:rPr>
        <w:t>mass accumulation. This key information can complement and contribute to global efforts in improving infant and child nutrition.</w:t>
      </w:r>
    </w:p>
    <w:p w14:paraId="62A1AB4F" w14:textId="77777777" w:rsidR="00506CCE" w:rsidRPr="00506CCE" w:rsidRDefault="00506CCE" w:rsidP="00506CCE">
      <w:pPr>
        <w:widowControl w:val="0"/>
        <w:numPr>
          <w:ilvl w:val="0"/>
          <w:numId w:val="3"/>
        </w:numPr>
        <w:tabs>
          <w:tab w:val="clear" w:pos="601"/>
          <w:tab w:val="num" w:pos="459"/>
          <w:tab w:val="num" w:pos="3720"/>
        </w:tabs>
        <w:overflowPunct/>
        <w:autoSpaceDE/>
        <w:autoSpaceDN/>
        <w:adjustRightInd/>
        <w:spacing w:before="851" w:after="390" w:line="360" w:lineRule="exact"/>
        <w:ind w:left="0"/>
        <w:textAlignment w:val="auto"/>
        <w:outlineLvl w:val="0"/>
        <w:rPr>
          <w:b/>
          <w:sz w:val="32"/>
          <w:szCs w:val="24"/>
        </w:rPr>
      </w:pPr>
      <w:r w:rsidRPr="00506CCE">
        <w:rPr>
          <w:b/>
          <w:sz w:val="32"/>
          <w:szCs w:val="24"/>
        </w:rPr>
        <w:lastRenderedPageBreak/>
        <w:t>Objectives of the Symposium</w:t>
      </w:r>
    </w:p>
    <w:p w14:paraId="6F35E497" w14:textId="6938AB4D" w:rsidR="00506CCE" w:rsidRPr="00506CCE" w:rsidRDefault="00506CCE" w:rsidP="00EF71EE">
      <w:pPr>
        <w:overflowPunct/>
        <w:autoSpaceDE/>
        <w:autoSpaceDN/>
        <w:adjustRightInd/>
        <w:spacing w:after="170" w:line="280" w:lineRule="atLeast"/>
        <w:jc w:val="both"/>
        <w:textAlignment w:val="auto"/>
        <w:rPr>
          <w:szCs w:val="24"/>
        </w:rPr>
      </w:pPr>
      <w:r w:rsidRPr="00506CCE">
        <w:rPr>
          <w:szCs w:val="24"/>
        </w:rPr>
        <w:t>The symposium will focus on developments in the area of management of MAM</w:t>
      </w:r>
      <w:r w:rsidR="00EF71EE">
        <w:rPr>
          <w:szCs w:val="24"/>
        </w:rPr>
        <w:t xml:space="preserve"> in infants and children</w:t>
      </w:r>
      <w:r w:rsidRPr="00506CCE">
        <w:rPr>
          <w:szCs w:val="24"/>
        </w:rPr>
        <w:t>.</w:t>
      </w:r>
    </w:p>
    <w:p w14:paraId="018F6E78" w14:textId="77777777" w:rsidR="00506CCE" w:rsidRPr="00506CCE" w:rsidRDefault="00506CCE" w:rsidP="00506CCE">
      <w:pPr>
        <w:overflowPunct/>
        <w:autoSpaceDE/>
        <w:autoSpaceDN/>
        <w:adjustRightInd/>
        <w:spacing w:after="170" w:line="280" w:lineRule="atLeast"/>
        <w:jc w:val="both"/>
        <w:textAlignment w:val="auto"/>
        <w:rPr>
          <w:szCs w:val="24"/>
        </w:rPr>
      </w:pPr>
      <w:r w:rsidRPr="00506CCE">
        <w:rPr>
          <w:szCs w:val="24"/>
        </w:rPr>
        <w:t>The symposium will have the following objectives:</w:t>
      </w:r>
    </w:p>
    <w:p w14:paraId="768D9D93" w14:textId="1B998A2D" w:rsidR="00506CCE" w:rsidRPr="00506CCE" w:rsidRDefault="00506CCE" w:rsidP="000E7936">
      <w:pPr>
        <w:numPr>
          <w:ilvl w:val="0"/>
          <w:numId w:val="23"/>
        </w:numPr>
        <w:overflowPunct/>
        <w:autoSpaceDE/>
        <w:autoSpaceDN/>
        <w:adjustRightInd/>
        <w:spacing w:after="170" w:line="280" w:lineRule="atLeast"/>
        <w:jc w:val="both"/>
        <w:textAlignment w:val="auto"/>
        <w:rPr>
          <w:szCs w:val="24"/>
        </w:rPr>
      </w:pPr>
      <w:r w:rsidRPr="00506CCE">
        <w:rPr>
          <w:szCs w:val="24"/>
        </w:rPr>
        <w:t xml:space="preserve">To share experience </w:t>
      </w:r>
      <w:r w:rsidR="00EF71EE">
        <w:rPr>
          <w:szCs w:val="24"/>
        </w:rPr>
        <w:t>related to</w:t>
      </w:r>
      <w:r w:rsidR="00EF71EE" w:rsidRPr="00506CCE">
        <w:rPr>
          <w:szCs w:val="24"/>
        </w:rPr>
        <w:t xml:space="preserve"> </w:t>
      </w:r>
      <w:r w:rsidRPr="00506CCE">
        <w:rPr>
          <w:szCs w:val="24"/>
        </w:rPr>
        <w:t>the implementation and evaluation of programmes to prevent and treat MAM</w:t>
      </w:r>
      <w:r w:rsidR="00EF71EE">
        <w:rPr>
          <w:szCs w:val="24"/>
        </w:rPr>
        <w:t xml:space="preserve"> in infants and children,</w:t>
      </w:r>
      <w:r w:rsidRPr="00506CCE">
        <w:rPr>
          <w:szCs w:val="24"/>
        </w:rPr>
        <w:t xml:space="preserve"> particularly during the first 1000 days</w:t>
      </w:r>
      <w:r w:rsidR="000675C1">
        <w:rPr>
          <w:szCs w:val="24"/>
        </w:rPr>
        <w:t>;</w:t>
      </w:r>
    </w:p>
    <w:p w14:paraId="31E30225" w14:textId="4FE5C2DA" w:rsidR="00506CCE" w:rsidRPr="00506CCE" w:rsidRDefault="00506CCE" w:rsidP="000E7936">
      <w:pPr>
        <w:numPr>
          <w:ilvl w:val="0"/>
          <w:numId w:val="23"/>
        </w:numPr>
        <w:overflowPunct/>
        <w:autoSpaceDE/>
        <w:autoSpaceDN/>
        <w:adjustRightInd/>
        <w:spacing w:after="170" w:line="280" w:lineRule="atLeast"/>
        <w:jc w:val="both"/>
        <w:textAlignment w:val="auto"/>
        <w:rPr>
          <w:szCs w:val="24"/>
        </w:rPr>
      </w:pPr>
      <w:r w:rsidRPr="00506CCE">
        <w:rPr>
          <w:szCs w:val="24"/>
        </w:rPr>
        <w:t xml:space="preserve">To </w:t>
      </w:r>
      <w:r w:rsidR="00EF71EE">
        <w:rPr>
          <w:szCs w:val="24"/>
        </w:rPr>
        <w:t>support</w:t>
      </w:r>
      <w:r w:rsidRPr="00506CCE">
        <w:rPr>
          <w:szCs w:val="24"/>
        </w:rPr>
        <w:t xml:space="preserve"> overall policy and </w:t>
      </w:r>
      <w:r w:rsidR="00EF71EE">
        <w:rPr>
          <w:szCs w:val="24"/>
        </w:rPr>
        <w:t xml:space="preserve">specific </w:t>
      </w:r>
      <w:r w:rsidRPr="00506CCE">
        <w:rPr>
          <w:szCs w:val="24"/>
        </w:rPr>
        <w:t>evidence-based programme</w:t>
      </w:r>
      <w:r w:rsidR="00EF71EE">
        <w:rPr>
          <w:szCs w:val="24"/>
        </w:rPr>
        <w:t>s</w:t>
      </w:r>
      <w:r w:rsidRPr="00506CCE">
        <w:rPr>
          <w:szCs w:val="24"/>
        </w:rPr>
        <w:t xml:space="preserve"> </w:t>
      </w:r>
      <w:r w:rsidR="00EF71EE">
        <w:rPr>
          <w:szCs w:val="24"/>
        </w:rPr>
        <w:t>dealing with</w:t>
      </w:r>
      <w:r w:rsidRPr="00506CCE">
        <w:rPr>
          <w:szCs w:val="24"/>
        </w:rPr>
        <w:t xml:space="preserve"> the management of MAM</w:t>
      </w:r>
      <w:r w:rsidR="000675C1">
        <w:rPr>
          <w:szCs w:val="24"/>
        </w:rPr>
        <w:t>;</w:t>
      </w:r>
    </w:p>
    <w:p w14:paraId="6CD6207A" w14:textId="593F080C" w:rsidR="00506CCE" w:rsidRPr="00506CCE" w:rsidRDefault="00506CCE" w:rsidP="000E7936">
      <w:pPr>
        <w:numPr>
          <w:ilvl w:val="0"/>
          <w:numId w:val="23"/>
        </w:numPr>
        <w:overflowPunct/>
        <w:autoSpaceDE/>
        <w:autoSpaceDN/>
        <w:adjustRightInd/>
        <w:spacing w:after="170" w:line="280" w:lineRule="atLeast"/>
        <w:jc w:val="both"/>
        <w:textAlignment w:val="auto"/>
        <w:rPr>
          <w:szCs w:val="24"/>
        </w:rPr>
      </w:pPr>
      <w:r w:rsidRPr="00506CCE">
        <w:rPr>
          <w:szCs w:val="24"/>
        </w:rPr>
        <w:t>To identify knowledge gaps and define needs for future research to improve the management of MAM</w:t>
      </w:r>
      <w:r w:rsidR="000675C1">
        <w:rPr>
          <w:szCs w:val="24"/>
        </w:rPr>
        <w:t>;</w:t>
      </w:r>
    </w:p>
    <w:p w14:paraId="6DA8DCC2" w14:textId="6224A1E7" w:rsidR="00506CCE" w:rsidRPr="00506CCE" w:rsidRDefault="00506CCE" w:rsidP="000E7936">
      <w:pPr>
        <w:numPr>
          <w:ilvl w:val="0"/>
          <w:numId w:val="23"/>
        </w:numPr>
        <w:overflowPunct/>
        <w:autoSpaceDE/>
        <w:autoSpaceDN/>
        <w:adjustRightInd/>
        <w:spacing w:after="170" w:line="280" w:lineRule="atLeast"/>
        <w:jc w:val="both"/>
        <w:textAlignment w:val="auto"/>
        <w:rPr>
          <w:szCs w:val="24"/>
        </w:rPr>
      </w:pPr>
      <w:r w:rsidRPr="00506CCE">
        <w:rPr>
          <w:szCs w:val="24"/>
        </w:rPr>
        <w:t xml:space="preserve">To issue recommendations on how to improve </w:t>
      </w:r>
      <w:r w:rsidR="00EF71EE">
        <w:rPr>
          <w:szCs w:val="24"/>
        </w:rPr>
        <w:t xml:space="preserve">the </w:t>
      </w:r>
      <w:r w:rsidRPr="00506CCE">
        <w:rPr>
          <w:szCs w:val="24"/>
        </w:rPr>
        <w:t xml:space="preserve">monitoring and evaluation of programmes </w:t>
      </w:r>
      <w:r w:rsidR="00EF71EE">
        <w:rPr>
          <w:szCs w:val="24"/>
        </w:rPr>
        <w:t>dealing with the</w:t>
      </w:r>
      <w:r w:rsidRPr="00506CCE">
        <w:rPr>
          <w:szCs w:val="24"/>
        </w:rPr>
        <w:t xml:space="preserve"> management of MAM</w:t>
      </w:r>
      <w:r w:rsidR="000675C1">
        <w:rPr>
          <w:szCs w:val="24"/>
        </w:rPr>
        <w:t>;</w:t>
      </w:r>
      <w:r w:rsidR="000726B2">
        <w:rPr>
          <w:szCs w:val="24"/>
        </w:rPr>
        <w:t xml:space="preserve"> and</w:t>
      </w:r>
    </w:p>
    <w:p w14:paraId="0229E2A9" w14:textId="32640A30" w:rsidR="00506CCE" w:rsidRPr="00506CCE" w:rsidRDefault="00506CCE" w:rsidP="000E7936">
      <w:pPr>
        <w:numPr>
          <w:ilvl w:val="0"/>
          <w:numId w:val="23"/>
        </w:numPr>
        <w:overflowPunct/>
        <w:autoSpaceDE/>
        <w:autoSpaceDN/>
        <w:adjustRightInd/>
        <w:spacing w:after="170" w:line="280" w:lineRule="atLeast"/>
        <w:jc w:val="both"/>
        <w:textAlignment w:val="auto"/>
        <w:rPr>
          <w:strike/>
          <w:szCs w:val="24"/>
        </w:rPr>
      </w:pPr>
      <w:r w:rsidRPr="00506CCE">
        <w:rPr>
          <w:szCs w:val="24"/>
        </w:rPr>
        <w:t>To identify the role of the IAEA in addressing knowledge gaps and evaluating programmes to prevent and treat MAM.</w:t>
      </w:r>
    </w:p>
    <w:p w14:paraId="1BE91B54" w14:textId="77777777" w:rsidR="00506CCE" w:rsidRPr="00506CCE" w:rsidRDefault="00506CCE" w:rsidP="00506CCE">
      <w:pPr>
        <w:widowControl w:val="0"/>
        <w:numPr>
          <w:ilvl w:val="0"/>
          <w:numId w:val="3"/>
        </w:numPr>
        <w:tabs>
          <w:tab w:val="clear" w:pos="601"/>
          <w:tab w:val="num" w:pos="459"/>
          <w:tab w:val="num" w:pos="3720"/>
        </w:tabs>
        <w:overflowPunct/>
        <w:autoSpaceDE/>
        <w:autoSpaceDN/>
        <w:adjustRightInd/>
        <w:spacing w:before="851" w:after="390" w:line="360" w:lineRule="exact"/>
        <w:ind w:left="0"/>
        <w:textAlignment w:val="auto"/>
        <w:outlineLvl w:val="0"/>
        <w:rPr>
          <w:b/>
          <w:sz w:val="32"/>
          <w:szCs w:val="24"/>
        </w:rPr>
      </w:pPr>
      <w:r w:rsidRPr="00506CCE">
        <w:rPr>
          <w:b/>
          <w:sz w:val="32"/>
          <w:szCs w:val="24"/>
        </w:rPr>
        <w:t>List of Topics</w:t>
      </w:r>
    </w:p>
    <w:p w14:paraId="58CA2641" w14:textId="7EE20F40" w:rsidR="00506CCE" w:rsidRPr="00506CCE" w:rsidRDefault="00506CCE" w:rsidP="007F0C59">
      <w:pPr>
        <w:numPr>
          <w:ilvl w:val="0"/>
          <w:numId w:val="20"/>
        </w:numPr>
        <w:overflowPunct/>
        <w:autoSpaceDE/>
        <w:autoSpaceDN/>
        <w:adjustRightInd/>
        <w:spacing w:after="170" w:line="280" w:lineRule="atLeast"/>
        <w:jc w:val="both"/>
        <w:textAlignment w:val="auto"/>
        <w:rPr>
          <w:szCs w:val="24"/>
        </w:rPr>
      </w:pPr>
      <w:r w:rsidRPr="00506CCE">
        <w:rPr>
          <w:szCs w:val="24"/>
        </w:rPr>
        <w:t xml:space="preserve">Review of current knowledge, evidence gaps and further research needs </w:t>
      </w:r>
      <w:r w:rsidR="00EF71EE">
        <w:rPr>
          <w:szCs w:val="24"/>
        </w:rPr>
        <w:t>in relation to the</w:t>
      </w:r>
      <w:r w:rsidR="00EF71EE" w:rsidRPr="00506CCE">
        <w:rPr>
          <w:szCs w:val="24"/>
        </w:rPr>
        <w:t xml:space="preserve"> </w:t>
      </w:r>
      <w:r w:rsidRPr="00506CCE">
        <w:rPr>
          <w:szCs w:val="24"/>
        </w:rPr>
        <w:t>prevention and treatment of MAM</w:t>
      </w:r>
    </w:p>
    <w:p w14:paraId="5E2A7A0E" w14:textId="416FF95E" w:rsidR="00506CCE" w:rsidRPr="00506CCE" w:rsidRDefault="00506CCE" w:rsidP="007F0C59">
      <w:pPr>
        <w:numPr>
          <w:ilvl w:val="0"/>
          <w:numId w:val="20"/>
        </w:numPr>
        <w:overflowPunct/>
        <w:autoSpaceDE/>
        <w:autoSpaceDN/>
        <w:adjustRightInd/>
        <w:spacing w:after="170" w:line="280" w:lineRule="atLeast"/>
        <w:jc w:val="both"/>
        <w:textAlignment w:val="auto"/>
        <w:rPr>
          <w:szCs w:val="24"/>
        </w:rPr>
      </w:pPr>
      <w:r w:rsidRPr="00506CCE">
        <w:rPr>
          <w:szCs w:val="24"/>
        </w:rPr>
        <w:t>Experiences with the prevention of MAM during lean seasons and emergencies (using local foods, supplementary foods, cash), challenges faced and lessons learned</w:t>
      </w:r>
    </w:p>
    <w:p w14:paraId="1E996140" w14:textId="20716D44" w:rsidR="00506CCE" w:rsidRPr="00506CCE" w:rsidRDefault="00506CCE" w:rsidP="007F0C59">
      <w:pPr>
        <w:numPr>
          <w:ilvl w:val="0"/>
          <w:numId w:val="20"/>
        </w:numPr>
        <w:overflowPunct/>
        <w:autoSpaceDE/>
        <w:autoSpaceDN/>
        <w:adjustRightInd/>
        <w:spacing w:after="170" w:line="280" w:lineRule="atLeast"/>
        <w:jc w:val="both"/>
        <w:textAlignment w:val="auto"/>
        <w:rPr>
          <w:szCs w:val="24"/>
        </w:rPr>
      </w:pPr>
      <w:r w:rsidRPr="00506CCE">
        <w:rPr>
          <w:szCs w:val="24"/>
        </w:rPr>
        <w:t>Experiences with the prevention of MAM during the first 1000 days, challenges faced and lessons learned</w:t>
      </w:r>
    </w:p>
    <w:p w14:paraId="7D3498E2" w14:textId="485CF6C0" w:rsidR="00506CCE" w:rsidRPr="00506CCE" w:rsidRDefault="00506CCE" w:rsidP="007F0C59">
      <w:pPr>
        <w:numPr>
          <w:ilvl w:val="0"/>
          <w:numId w:val="20"/>
        </w:numPr>
        <w:overflowPunct/>
        <w:autoSpaceDE/>
        <w:autoSpaceDN/>
        <w:adjustRightInd/>
        <w:spacing w:after="170" w:line="280" w:lineRule="atLeast"/>
        <w:jc w:val="both"/>
        <w:textAlignment w:val="auto"/>
        <w:rPr>
          <w:szCs w:val="24"/>
        </w:rPr>
      </w:pPr>
      <w:r w:rsidRPr="00506CCE">
        <w:rPr>
          <w:szCs w:val="24"/>
        </w:rPr>
        <w:t xml:space="preserve">Experiences with </w:t>
      </w:r>
      <w:r w:rsidR="000726B2">
        <w:rPr>
          <w:szCs w:val="24"/>
        </w:rPr>
        <w:t>community-based management of acute malnutrition</w:t>
      </w:r>
      <w:r w:rsidRPr="00506CCE">
        <w:rPr>
          <w:szCs w:val="24"/>
        </w:rPr>
        <w:t xml:space="preserve"> (CMAM), challenges faced and lessons learned</w:t>
      </w:r>
    </w:p>
    <w:p w14:paraId="65D9FEA0" w14:textId="3A79929C" w:rsidR="00506CCE" w:rsidRPr="00506CCE" w:rsidRDefault="00506CCE" w:rsidP="007F0C59">
      <w:pPr>
        <w:numPr>
          <w:ilvl w:val="0"/>
          <w:numId w:val="20"/>
        </w:numPr>
        <w:overflowPunct/>
        <w:autoSpaceDE/>
        <w:autoSpaceDN/>
        <w:adjustRightInd/>
        <w:spacing w:after="170" w:line="280" w:lineRule="atLeast"/>
        <w:jc w:val="both"/>
        <w:textAlignment w:val="auto"/>
        <w:rPr>
          <w:szCs w:val="24"/>
        </w:rPr>
      </w:pPr>
      <w:r w:rsidRPr="00506CCE">
        <w:rPr>
          <w:szCs w:val="24"/>
        </w:rPr>
        <w:t xml:space="preserve">Experiences with </w:t>
      </w:r>
      <w:r w:rsidR="000726B2">
        <w:rPr>
          <w:szCs w:val="24"/>
        </w:rPr>
        <w:t xml:space="preserve">the </w:t>
      </w:r>
      <w:r w:rsidRPr="00506CCE">
        <w:rPr>
          <w:szCs w:val="24"/>
        </w:rPr>
        <w:t xml:space="preserve">decision-making tool for </w:t>
      </w:r>
      <w:r w:rsidR="000726B2">
        <w:rPr>
          <w:szCs w:val="24"/>
        </w:rPr>
        <w:t xml:space="preserve">the </w:t>
      </w:r>
      <w:r w:rsidRPr="00506CCE">
        <w:rPr>
          <w:szCs w:val="24"/>
        </w:rPr>
        <w:t xml:space="preserve">prevention and treatment of </w:t>
      </w:r>
      <w:r w:rsidR="000726B2">
        <w:rPr>
          <w:szCs w:val="24"/>
        </w:rPr>
        <w:t>MAM</w:t>
      </w:r>
      <w:r w:rsidRPr="00506CCE">
        <w:rPr>
          <w:szCs w:val="24"/>
        </w:rPr>
        <w:t xml:space="preserve"> in emergencies </w:t>
      </w:r>
      <w:r w:rsidR="000726B2">
        <w:rPr>
          <w:szCs w:val="24"/>
        </w:rPr>
        <w:t xml:space="preserve">being </w:t>
      </w:r>
      <w:r w:rsidRPr="00506CCE">
        <w:rPr>
          <w:szCs w:val="24"/>
        </w:rPr>
        <w:t xml:space="preserve">developed by the MAM Task Force of the </w:t>
      </w:r>
      <w:r w:rsidR="000726B2">
        <w:rPr>
          <w:szCs w:val="24"/>
        </w:rPr>
        <w:t>GNC</w:t>
      </w:r>
    </w:p>
    <w:p w14:paraId="770A28F2" w14:textId="64FA3A65" w:rsidR="00506CCE" w:rsidRPr="00506CCE" w:rsidRDefault="00506CCE" w:rsidP="007F0C59">
      <w:pPr>
        <w:numPr>
          <w:ilvl w:val="0"/>
          <w:numId w:val="20"/>
        </w:numPr>
        <w:overflowPunct/>
        <w:autoSpaceDE/>
        <w:autoSpaceDN/>
        <w:adjustRightInd/>
        <w:spacing w:after="170" w:line="280" w:lineRule="atLeast"/>
        <w:jc w:val="both"/>
        <w:textAlignment w:val="auto"/>
        <w:rPr>
          <w:szCs w:val="24"/>
        </w:rPr>
      </w:pPr>
      <w:r w:rsidRPr="00506CCE">
        <w:rPr>
          <w:szCs w:val="24"/>
        </w:rPr>
        <w:t>Effects of prevention and treatment of MAM on growth, body composition and functional outcomes (including stunting) and methodological challenges in impact assessment</w:t>
      </w:r>
    </w:p>
    <w:p w14:paraId="5BD1D089" w14:textId="6E9F18B8" w:rsidR="00506CCE" w:rsidRPr="00506CCE" w:rsidRDefault="00506CCE" w:rsidP="007F0C59">
      <w:pPr>
        <w:numPr>
          <w:ilvl w:val="0"/>
          <w:numId w:val="20"/>
        </w:numPr>
        <w:overflowPunct/>
        <w:autoSpaceDE/>
        <w:autoSpaceDN/>
        <w:adjustRightInd/>
        <w:spacing w:after="170" w:line="280" w:lineRule="atLeast"/>
        <w:jc w:val="both"/>
        <w:textAlignment w:val="auto"/>
        <w:rPr>
          <w:szCs w:val="24"/>
        </w:rPr>
      </w:pPr>
      <w:r w:rsidRPr="00506CCE">
        <w:rPr>
          <w:szCs w:val="24"/>
        </w:rPr>
        <w:t>Capacity development in the management of MAM</w:t>
      </w:r>
    </w:p>
    <w:p w14:paraId="1B3A04F1" w14:textId="6884377D" w:rsidR="00506CCE" w:rsidRPr="00506CCE" w:rsidRDefault="00506CCE" w:rsidP="007F0C59">
      <w:pPr>
        <w:numPr>
          <w:ilvl w:val="0"/>
          <w:numId w:val="20"/>
        </w:numPr>
        <w:overflowPunct/>
        <w:autoSpaceDE/>
        <w:autoSpaceDN/>
        <w:adjustRightInd/>
        <w:spacing w:after="170" w:line="280" w:lineRule="atLeast"/>
        <w:jc w:val="both"/>
        <w:textAlignment w:val="auto"/>
        <w:rPr>
          <w:szCs w:val="24"/>
        </w:rPr>
      </w:pPr>
      <w:r w:rsidRPr="00506CCE">
        <w:rPr>
          <w:szCs w:val="24"/>
        </w:rPr>
        <w:t>Composition, acceptability and use of supplementary foods for the management of MAM</w:t>
      </w:r>
    </w:p>
    <w:p w14:paraId="1BDC5DFB" w14:textId="497A4DEA" w:rsidR="00506CCE" w:rsidRPr="00506CCE" w:rsidRDefault="00506CCE" w:rsidP="007F0C59">
      <w:pPr>
        <w:numPr>
          <w:ilvl w:val="0"/>
          <w:numId w:val="20"/>
        </w:numPr>
        <w:overflowPunct/>
        <w:autoSpaceDE/>
        <w:autoSpaceDN/>
        <w:adjustRightInd/>
        <w:spacing w:after="170" w:line="280" w:lineRule="atLeast"/>
        <w:jc w:val="both"/>
        <w:textAlignment w:val="auto"/>
        <w:rPr>
          <w:szCs w:val="24"/>
        </w:rPr>
      </w:pPr>
      <w:r w:rsidRPr="00506CCE">
        <w:rPr>
          <w:szCs w:val="24"/>
        </w:rPr>
        <w:t xml:space="preserve">Lessons learned from SAM management: </w:t>
      </w:r>
      <w:r w:rsidR="000726B2">
        <w:rPr>
          <w:szCs w:val="24"/>
        </w:rPr>
        <w:t>c</w:t>
      </w:r>
      <w:r w:rsidRPr="00506CCE">
        <w:rPr>
          <w:szCs w:val="24"/>
        </w:rPr>
        <w:t>omposition, intake and use of ready-to-use foods</w:t>
      </w:r>
    </w:p>
    <w:p w14:paraId="700E2426" w14:textId="7AAF9AE8" w:rsidR="00506CCE" w:rsidRPr="00506CCE" w:rsidRDefault="00506CCE" w:rsidP="007F0C59">
      <w:pPr>
        <w:numPr>
          <w:ilvl w:val="0"/>
          <w:numId w:val="20"/>
        </w:numPr>
        <w:overflowPunct/>
        <w:autoSpaceDE/>
        <w:autoSpaceDN/>
        <w:adjustRightInd/>
        <w:spacing w:after="170" w:line="280" w:lineRule="atLeast"/>
        <w:jc w:val="both"/>
        <w:textAlignment w:val="auto"/>
        <w:rPr>
          <w:szCs w:val="24"/>
        </w:rPr>
      </w:pPr>
      <w:r w:rsidRPr="00506CCE">
        <w:rPr>
          <w:szCs w:val="24"/>
        </w:rPr>
        <w:t xml:space="preserve">Challenges in the management of MAM in infants </w:t>
      </w:r>
      <w:r w:rsidR="000726B2">
        <w:rPr>
          <w:szCs w:val="24"/>
        </w:rPr>
        <w:t xml:space="preserve">aged up to </w:t>
      </w:r>
      <w:r w:rsidRPr="00506CCE">
        <w:rPr>
          <w:szCs w:val="24"/>
        </w:rPr>
        <w:t>6 months</w:t>
      </w:r>
    </w:p>
    <w:p w14:paraId="698DA7F5" w14:textId="33EC7A57" w:rsidR="00506CCE" w:rsidRPr="00506CCE" w:rsidRDefault="00506CCE" w:rsidP="00FE5877">
      <w:pPr>
        <w:numPr>
          <w:ilvl w:val="0"/>
          <w:numId w:val="20"/>
        </w:numPr>
        <w:overflowPunct/>
        <w:autoSpaceDE/>
        <w:autoSpaceDN/>
        <w:adjustRightInd/>
        <w:spacing w:after="170" w:line="280" w:lineRule="atLeast"/>
        <w:jc w:val="both"/>
        <w:textAlignment w:val="auto"/>
        <w:rPr>
          <w:szCs w:val="24"/>
        </w:rPr>
      </w:pPr>
      <w:r w:rsidRPr="00506CCE">
        <w:rPr>
          <w:szCs w:val="24"/>
        </w:rPr>
        <w:t>Hot topics in research related to MAM (</w:t>
      </w:r>
      <w:r w:rsidR="00175731">
        <w:t xml:space="preserve">gut inflammation and </w:t>
      </w:r>
      <w:proofErr w:type="spellStart"/>
      <w:r w:rsidR="00175731">
        <w:t>enteropathy</w:t>
      </w:r>
      <w:proofErr w:type="spellEnd"/>
      <w:r w:rsidR="00175731">
        <w:t xml:space="preserve"> in MAM;</w:t>
      </w:r>
      <w:r w:rsidR="00175731" w:rsidRPr="00506CCE">
        <w:rPr>
          <w:szCs w:val="24"/>
        </w:rPr>
        <w:t xml:space="preserve"> </w:t>
      </w:r>
      <w:r w:rsidR="00175731">
        <w:t xml:space="preserve">influence of </w:t>
      </w:r>
      <w:proofErr w:type="spellStart"/>
      <w:r w:rsidR="00175731">
        <w:t>microbiome</w:t>
      </w:r>
      <w:proofErr w:type="spellEnd"/>
      <w:r w:rsidR="00175731">
        <w:t xml:space="preserve"> on the development of malnutrition/Malawi twin study; </w:t>
      </w:r>
      <w:r w:rsidR="00FE5877">
        <w:t xml:space="preserve">the role of </w:t>
      </w:r>
      <w:r w:rsidR="00175731">
        <w:t xml:space="preserve">metabolomics in improving knowledge on </w:t>
      </w:r>
      <w:r w:rsidR="00FE5877">
        <w:t xml:space="preserve">the </w:t>
      </w:r>
      <w:r w:rsidR="00175731">
        <w:t>physiopathology of MAM and supporting new strategies for the prevention and treatment of MAM</w:t>
      </w:r>
      <w:r w:rsidRPr="00506CCE">
        <w:rPr>
          <w:szCs w:val="24"/>
        </w:rPr>
        <w:t>; long</w:t>
      </w:r>
      <w:r w:rsidR="000726B2">
        <w:rPr>
          <w:szCs w:val="24"/>
        </w:rPr>
        <w:t xml:space="preserve"> </w:t>
      </w:r>
      <w:r w:rsidRPr="00506CCE">
        <w:rPr>
          <w:szCs w:val="24"/>
        </w:rPr>
        <w:t xml:space="preserve">term effects of early </w:t>
      </w:r>
      <w:r w:rsidRPr="00506CCE">
        <w:rPr>
          <w:szCs w:val="24"/>
          <w:lang w:val="en"/>
        </w:rPr>
        <w:t xml:space="preserve">rapid weight gain in moderately </w:t>
      </w:r>
      <w:r w:rsidRPr="00506CCE">
        <w:rPr>
          <w:szCs w:val="24"/>
          <w:lang w:val="en"/>
        </w:rPr>
        <w:lastRenderedPageBreak/>
        <w:t xml:space="preserve">wasted children </w:t>
      </w:r>
      <w:r w:rsidR="000726B2">
        <w:rPr>
          <w:szCs w:val="24"/>
          <w:lang w:val="en"/>
        </w:rPr>
        <w:t>with regard to the</w:t>
      </w:r>
      <w:r w:rsidR="000726B2" w:rsidRPr="00506CCE">
        <w:rPr>
          <w:szCs w:val="24"/>
          <w:lang w:val="en"/>
        </w:rPr>
        <w:t xml:space="preserve"> </w:t>
      </w:r>
      <w:r w:rsidRPr="00506CCE">
        <w:rPr>
          <w:szCs w:val="24"/>
          <w:lang w:val="en"/>
        </w:rPr>
        <w:t xml:space="preserve">risk of </w:t>
      </w:r>
      <w:r w:rsidR="000726B2" w:rsidRPr="00506CCE">
        <w:rPr>
          <w:szCs w:val="24"/>
          <w:lang w:val="en"/>
        </w:rPr>
        <w:t>be</w:t>
      </w:r>
      <w:r w:rsidR="000726B2">
        <w:rPr>
          <w:szCs w:val="24"/>
          <w:lang w:val="en"/>
        </w:rPr>
        <w:t>coming</w:t>
      </w:r>
      <w:r w:rsidR="000726B2" w:rsidRPr="00506CCE">
        <w:rPr>
          <w:szCs w:val="24"/>
          <w:lang w:val="en"/>
        </w:rPr>
        <w:t xml:space="preserve"> </w:t>
      </w:r>
      <w:r w:rsidRPr="00506CCE">
        <w:rPr>
          <w:szCs w:val="24"/>
          <w:lang w:val="en"/>
        </w:rPr>
        <w:t>overweight or obese in later life and developing non-communicable diseases</w:t>
      </w:r>
      <w:r w:rsidRPr="00506CCE">
        <w:rPr>
          <w:szCs w:val="24"/>
        </w:rPr>
        <w:t>)</w:t>
      </w:r>
    </w:p>
    <w:p w14:paraId="7A716041" w14:textId="77777777" w:rsidR="00506CCE" w:rsidRPr="00506CCE" w:rsidRDefault="00506CCE" w:rsidP="00506CCE">
      <w:pPr>
        <w:widowControl w:val="0"/>
        <w:numPr>
          <w:ilvl w:val="0"/>
          <w:numId w:val="3"/>
        </w:numPr>
        <w:tabs>
          <w:tab w:val="clear" w:pos="601"/>
          <w:tab w:val="num" w:pos="459"/>
          <w:tab w:val="num" w:pos="3720"/>
        </w:tabs>
        <w:overflowPunct/>
        <w:autoSpaceDE/>
        <w:autoSpaceDN/>
        <w:adjustRightInd/>
        <w:spacing w:before="851" w:after="390" w:line="360" w:lineRule="exact"/>
        <w:ind w:left="0"/>
        <w:textAlignment w:val="auto"/>
        <w:outlineLvl w:val="0"/>
        <w:rPr>
          <w:b/>
          <w:sz w:val="32"/>
          <w:szCs w:val="24"/>
        </w:rPr>
      </w:pPr>
      <w:r w:rsidRPr="00506CCE">
        <w:rPr>
          <w:b/>
          <w:sz w:val="32"/>
          <w:szCs w:val="24"/>
        </w:rPr>
        <w:t>Target Audience</w:t>
      </w:r>
    </w:p>
    <w:p w14:paraId="25FB2FB1" w14:textId="6B586956" w:rsidR="000726B2" w:rsidRDefault="000726B2" w:rsidP="007269E5">
      <w:pPr>
        <w:overflowPunct/>
        <w:autoSpaceDE/>
        <w:autoSpaceDN/>
        <w:adjustRightInd/>
        <w:spacing w:after="170" w:line="280" w:lineRule="atLeast"/>
        <w:jc w:val="both"/>
        <w:textAlignment w:val="auto"/>
        <w:rPr>
          <w:szCs w:val="24"/>
        </w:rPr>
      </w:pPr>
      <w:r w:rsidRPr="00506CCE">
        <w:rPr>
          <w:szCs w:val="24"/>
        </w:rPr>
        <w:t>Th</w:t>
      </w:r>
      <w:r>
        <w:rPr>
          <w:szCs w:val="24"/>
        </w:rPr>
        <w:t>e</w:t>
      </w:r>
      <w:r w:rsidRPr="00506CCE">
        <w:rPr>
          <w:szCs w:val="24"/>
        </w:rPr>
        <w:t xml:space="preserve"> </w:t>
      </w:r>
      <w:r w:rsidR="00506CCE" w:rsidRPr="00506CCE">
        <w:rPr>
          <w:szCs w:val="24"/>
        </w:rPr>
        <w:t xml:space="preserve">symposium will </w:t>
      </w:r>
      <w:r>
        <w:rPr>
          <w:szCs w:val="24"/>
        </w:rPr>
        <w:t>provide</w:t>
      </w:r>
      <w:r w:rsidRPr="00506CCE">
        <w:rPr>
          <w:szCs w:val="24"/>
        </w:rPr>
        <w:t xml:space="preserve"> </w:t>
      </w:r>
      <w:r w:rsidR="00506CCE" w:rsidRPr="00506CCE">
        <w:rPr>
          <w:szCs w:val="24"/>
        </w:rPr>
        <w:t>an opportunity to review the latest developments in the field of management of MAM. The target audience comprises:</w:t>
      </w:r>
    </w:p>
    <w:p w14:paraId="4A13DEC1" w14:textId="520948A7" w:rsidR="000726B2" w:rsidRPr="00601424" w:rsidRDefault="00506CCE" w:rsidP="007269E5">
      <w:pPr>
        <w:pStyle w:val="ListParagraph"/>
        <w:numPr>
          <w:ilvl w:val="0"/>
          <w:numId w:val="25"/>
        </w:numPr>
        <w:overflowPunct/>
        <w:autoSpaceDE/>
        <w:autoSpaceDN/>
        <w:adjustRightInd/>
        <w:spacing w:after="170" w:line="280" w:lineRule="atLeast"/>
        <w:ind w:left="714" w:hanging="357"/>
        <w:contextualSpacing w:val="0"/>
        <w:jc w:val="both"/>
        <w:textAlignment w:val="auto"/>
        <w:rPr>
          <w:szCs w:val="24"/>
        </w:rPr>
      </w:pPr>
      <w:r w:rsidRPr="00601424">
        <w:rPr>
          <w:szCs w:val="24"/>
        </w:rPr>
        <w:t xml:space="preserve">Public </w:t>
      </w:r>
      <w:r w:rsidR="000726B2">
        <w:rPr>
          <w:szCs w:val="24"/>
        </w:rPr>
        <w:t>h</w:t>
      </w:r>
      <w:r w:rsidRPr="00601424">
        <w:rPr>
          <w:szCs w:val="24"/>
        </w:rPr>
        <w:t xml:space="preserve">ealth </w:t>
      </w:r>
      <w:r w:rsidR="000726B2">
        <w:rPr>
          <w:szCs w:val="24"/>
        </w:rPr>
        <w:t>n</w:t>
      </w:r>
      <w:r w:rsidRPr="00601424">
        <w:rPr>
          <w:szCs w:val="24"/>
        </w:rPr>
        <w:t>utritionists</w:t>
      </w:r>
    </w:p>
    <w:p w14:paraId="12EB1BB9" w14:textId="13DEC607" w:rsidR="000726B2" w:rsidRPr="00AE0EBA" w:rsidRDefault="00506CCE" w:rsidP="007269E5">
      <w:pPr>
        <w:pStyle w:val="ListParagraph"/>
        <w:numPr>
          <w:ilvl w:val="0"/>
          <w:numId w:val="25"/>
        </w:numPr>
        <w:overflowPunct/>
        <w:autoSpaceDE/>
        <w:autoSpaceDN/>
        <w:adjustRightInd/>
        <w:spacing w:after="170" w:line="280" w:lineRule="atLeast"/>
        <w:ind w:left="714" w:hanging="357"/>
        <w:contextualSpacing w:val="0"/>
        <w:jc w:val="both"/>
        <w:textAlignment w:val="auto"/>
        <w:rPr>
          <w:szCs w:val="24"/>
        </w:rPr>
      </w:pPr>
      <w:r w:rsidRPr="00601424">
        <w:rPr>
          <w:szCs w:val="24"/>
        </w:rPr>
        <w:t>Health professionals</w:t>
      </w:r>
    </w:p>
    <w:p w14:paraId="4C66FB86" w14:textId="368D4E44" w:rsidR="000726B2" w:rsidRPr="007D727D" w:rsidRDefault="00506CCE" w:rsidP="007269E5">
      <w:pPr>
        <w:pStyle w:val="ListParagraph"/>
        <w:numPr>
          <w:ilvl w:val="0"/>
          <w:numId w:val="25"/>
        </w:numPr>
        <w:overflowPunct/>
        <w:autoSpaceDE/>
        <w:autoSpaceDN/>
        <w:adjustRightInd/>
        <w:spacing w:after="170" w:line="280" w:lineRule="atLeast"/>
        <w:ind w:left="714" w:hanging="357"/>
        <w:contextualSpacing w:val="0"/>
        <w:jc w:val="both"/>
        <w:textAlignment w:val="auto"/>
        <w:rPr>
          <w:szCs w:val="24"/>
        </w:rPr>
      </w:pPr>
      <w:r w:rsidRPr="00AE0EBA">
        <w:rPr>
          <w:szCs w:val="24"/>
        </w:rPr>
        <w:t>Policy</w:t>
      </w:r>
      <w:r w:rsidRPr="00AA6B71">
        <w:rPr>
          <w:szCs w:val="24"/>
        </w:rPr>
        <w:t xml:space="preserve">makers in </w:t>
      </w:r>
      <w:r w:rsidRPr="00EB45A4">
        <w:rPr>
          <w:szCs w:val="24"/>
        </w:rPr>
        <w:t>health and nutrition</w:t>
      </w:r>
    </w:p>
    <w:p w14:paraId="62283869" w14:textId="569B2344" w:rsidR="000726B2" w:rsidRPr="00601424" w:rsidRDefault="00506CCE" w:rsidP="007269E5">
      <w:pPr>
        <w:pStyle w:val="ListParagraph"/>
        <w:numPr>
          <w:ilvl w:val="0"/>
          <w:numId w:val="25"/>
        </w:numPr>
        <w:overflowPunct/>
        <w:autoSpaceDE/>
        <w:autoSpaceDN/>
        <w:adjustRightInd/>
        <w:spacing w:after="170" w:line="280" w:lineRule="atLeast"/>
        <w:ind w:left="714" w:hanging="357"/>
        <w:contextualSpacing w:val="0"/>
        <w:jc w:val="both"/>
        <w:textAlignment w:val="auto"/>
        <w:rPr>
          <w:szCs w:val="24"/>
        </w:rPr>
      </w:pPr>
      <w:r w:rsidRPr="007D727D">
        <w:rPr>
          <w:szCs w:val="24"/>
        </w:rPr>
        <w:t>U</w:t>
      </w:r>
      <w:r w:rsidR="000726B2">
        <w:rPr>
          <w:szCs w:val="24"/>
        </w:rPr>
        <w:t xml:space="preserve">nited </w:t>
      </w:r>
      <w:r w:rsidRPr="00601424">
        <w:rPr>
          <w:szCs w:val="24"/>
        </w:rPr>
        <w:t>N</w:t>
      </w:r>
      <w:r w:rsidR="000726B2">
        <w:rPr>
          <w:szCs w:val="24"/>
        </w:rPr>
        <w:t>ations</w:t>
      </w:r>
      <w:r w:rsidRPr="00601424">
        <w:rPr>
          <w:szCs w:val="24"/>
        </w:rPr>
        <w:t xml:space="preserve"> agencies such as </w:t>
      </w:r>
      <w:r w:rsidR="000726B2">
        <w:rPr>
          <w:szCs w:val="24"/>
        </w:rPr>
        <w:t xml:space="preserve">the </w:t>
      </w:r>
      <w:r w:rsidRPr="00601424">
        <w:rPr>
          <w:szCs w:val="24"/>
        </w:rPr>
        <w:t xml:space="preserve">WHO, </w:t>
      </w:r>
      <w:r w:rsidR="000726B2">
        <w:rPr>
          <w:szCs w:val="24"/>
        </w:rPr>
        <w:t>the World Food Programme</w:t>
      </w:r>
      <w:r w:rsidR="000726B2" w:rsidRPr="00601424">
        <w:rPr>
          <w:szCs w:val="24"/>
        </w:rPr>
        <w:t xml:space="preserve"> </w:t>
      </w:r>
      <w:r w:rsidRPr="00601424">
        <w:rPr>
          <w:szCs w:val="24"/>
        </w:rPr>
        <w:t xml:space="preserve">and </w:t>
      </w:r>
      <w:r w:rsidR="008958D5">
        <w:rPr>
          <w:szCs w:val="24"/>
        </w:rPr>
        <w:t xml:space="preserve">the </w:t>
      </w:r>
      <w:r w:rsidR="008958D5" w:rsidRPr="008958D5">
        <w:rPr>
          <w:szCs w:val="24"/>
        </w:rPr>
        <w:t>United Nations Children’s Fund</w:t>
      </w:r>
    </w:p>
    <w:p w14:paraId="2A438DA0" w14:textId="36E386D3" w:rsidR="000726B2" w:rsidRPr="00AE0EBA" w:rsidRDefault="00506CCE" w:rsidP="007269E5">
      <w:pPr>
        <w:pStyle w:val="ListParagraph"/>
        <w:numPr>
          <w:ilvl w:val="0"/>
          <w:numId w:val="25"/>
        </w:numPr>
        <w:overflowPunct/>
        <w:autoSpaceDE/>
        <w:autoSpaceDN/>
        <w:adjustRightInd/>
        <w:spacing w:after="170" w:line="280" w:lineRule="atLeast"/>
        <w:ind w:left="714" w:hanging="357"/>
        <w:contextualSpacing w:val="0"/>
        <w:jc w:val="both"/>
        <w:textAlignment w:val="auto"/>
        <w:rPr>
          <w:szCs w:val="24"/>
        </w:rPr>
      </w:pPr>
      <w:r w:rsidRPr="00AE0EBA">
        <w:rPr>
          <w:szCs w:val="24"/>
        </w:rPr>
        <w:t>National and international organizations involved in the management of moderate malnutrition</w:t>
      </w:r>
    </w:p>
    <w:p w14:paraId="24E9B95E" w14:textId="22B9E273" w:rsidR="000726B2" w:rsidRPr="00601424" w:rsidRDefault="00CE4185" w:rsidP="007269E5">
      <w:pPr>
        <w:pStyle w:val="ListParagraph"/>
        <w:numPr>
          <w:ilvl w:val="0"/>
          <w:numId w:val="25"/>
        </w:numPr>
        <w:overflowPunct/>
        <w:autoSpaceDE/>
        <w:autoSpaceDN/>
        <w:adjustRightInd/>
        <w:spacing w:after="170" w:line="280" w:lineRule="atLeast"/>
        <w:ind w:left="714" w:hanging="357"/>
        <w:contextualSpacing w:val="0"/>
        <w:jc w:val="both"/>
        <w:textAlignment w:val="auto"/>
        <w:rPr>
          <w:szCs w:val="24"/>
        </w:rPr>
      </w:pPr>
      <w:r>
        <w:rPr>
          <w:szCs w:val="24"/>
        </w:rPr>
        <w:t xml:space="preserve">The </w:t>
      </w:r>
      <w:r w:rsidR="00506CCE" w:rsidRPr="00601424">
        <w:rPr>
          <w:szCs w:val="24"/>
        </w:rPr>
        <w:t>Scaling U</w:t>
      </w:r>
      <w:r w:rsidR="000726B2">
        <w:rPr>
          <w:szCs w:val="24"/>
        </w:rPr>
        <w:t>p</w:t>
      </w:r>
      <w:r w:rsidR="00506CCE" w:rsidRPr="00601424">
        <w:rPr>
          <w:szCs w:val="24"/>
        </w:rPr>
        <w:t xml:space="preserve"> Nutrition (SUN) </w:t>
      </w:r>
      <w:r>
        <w:rPr>
          <w:szCs w:val="24"/>
        </w:rPr>
        <w:t>M</w:t>
      </w:r>
      <w:r w:rsidR="00506CCE" w:rsidRPr="00601424">
        <w:rPr>
          <w:szCs w:val="24"/>
        </w:rPr>
        <w:t xml:space="preserve">ovement, including SUN </w:t>
      </w:r>
      <w:r>
        <w:rPr>
          <w:szCs w:val="24"/>
        </w:rPr>
        <w:t>national</w:t>
      </w:r>
      <w:r w:rsidRPr="00601424">
        <w:rPr>
          <w:szCs w:val="24"/>
        </w:rPr>
        <w:t xml:space="preserve"> representati</w:t>
      </w:r>
      <w:r>
        <w:rPr>
          <w:szCs w:val="24"/>
        </w:rPr>
        <w:t>ves</w:t>
      </w:r>
    </w:p>
    <w:p w14:paraId="40C815D5" w14:textId="04201595" w:rsidR="000726B2" w:rsidRPr="00601424" w:rsidRDefault="00506CCE" w:rsidP="007269E5">
      <w:pPr>
        <w:pStyle w:val="ListParagraph"/>
        <w:numPr>
          <w:ilvl w:val="0"/>
          <w:numId w:val="25"/>
        </w:numPr>
        <w:overflowPunct/>
        <w:autoSpaceDE/>
        <w:autoSpaceDN/>
        <w:adjustRightInd/>
        <w:spacing w:after="170" w:line="280" w:lineRule="atLeast"/>
        <w:ind w:left="714" w:hanging="357"/>
        <w:contextualSpacing w:val="0"/>
        <w:jc w:val="both"/>
        <w:textAlignment w:val="auto"/>
        <w:rPr>
          <w:szCs w:val="24"/>
        </w:rPr>
      </w:pPr>
      <w:r w:rsidRPr="00601424">
        <w:rPr>
          <w:szCs w:val="24"/>
        </w:rPr>
        <w:t>Private sector</w:t>
      </w:r>
    </w:p>
    <w:p w14:paraId="49C00854" w14:textId="561454E4" w:rsidR="00506CCE" w:rsidRPr="00601424" w:rsidRDefault="00CE4185" w:rsidP="007269E5">
      <w:pPr>
        <w:pStyle w:val="ListParagraph"/>
        <w:numPr>
          <w:ilvl w:val="0"/>
          <w:numId w:val="25"/>
        </w:numPr>
        <w:overflowPunct/>
        <w:autoSpaceDE/>
        <w:autoSpaceDN/>
        <w:adjustRightInd/>
        <w:spacing w:after="170" w:line="280" w:lineRule="atLeast"/>
        <w:ind w:left="714" w:hanging="357"/>
        <w:contextualSpacing w:val="0"/>
        <w:jc w:val="both"/>
        <w:textAlignment w:val="auto"/>
        <w:rPr>
          <w:szCs w:val="24"/>
        </w:rPr>
      </w:pPr>
      <w:r>
        <w:rPr>
          <w:szCs w:val="24"/>
        </w:rPr>
        <w:t>I</w:t>
      </w:r>
      <w:r w:rsidR="00506CCE" w:rsidRPr="00601424">
        <w:rPr>
          <w:szCs w:val="24"/>
        </w:rPr>
        <w:t xml:space="preserve">nstitutes and </w:t>
      </w:r>
      <w:r>
        <w:rPr>
          <w:szCs w:val="24"/>
        </w:rPr>
        <w:t>u</w:t>
      </w:r>
      <w:r w:rsidR="00506CCE" w:rsidRPr="00601424">
        <w:rPr>
          <w:szCs w:val="24"/>
        </w:rPr>
        <w:t xml:space="preserve">niversities </w:t>
      </w:r>
      <w:r>
        <w:rPr>
          <w:szCs w:val="24"/>
        </w:rPr>
        <w:t>that have research programmes on</w:t>
      </w:r>
      <w:r w:rsidRPr="00601424">
        <w:rPr>
          <w:szCs w:val="24"/>
        </w:rPr>
        <w:t xml:space="preserve"> </w:t>
      </w:r>
      <w:r w:rsidR="00506CCE" w:rsidRPr="00601424">
        <w:rPr>
          <w:szCs w:val="24"/>
        </w:rPr>
        <w:t>moderate malnutrition</w:t>
      </w:r>
    </w:p>
    <w:p w14:paraId="11BD0D5E" w14:textId="77777777" w:rsidR="00733D7D" w:rsidRDefault="00733D7D" w:rsidP="005D13F8">
      <w:pPr>
        <w:pStyle w:val="Heading1"/>
        <w:spacing w:line="360" w:lineRule="auto"/>
      </w:pPr>
      <w:r>
        <w:t>Programme Structure</w:t>
      </w:r>
    </w:p>
    <w:p w14:paraId="1CB684F3" w14:textId="121E2146" w:rsidR="00D11AE0" w:rsidRDefault="00D11AE0" w:rsidP="00CE4185">
      <w:pPr>
        <w:pStyle w:val="BodyTextMultiline"/>
        <w:numPr>
          <w:ilvl w:val="0"/>
          <w:numId w:val="0"/>
        </w:numPr>
      </w:pPr>
      <w:r>
        <w:t>The opening plenary session will include welcom</w:t>
      </w:r>
      <w:r w:rsidR="00FE5877">
        <w:t>e</w:t>
      </w:r>
      <w:r>
        <w:t xml:space="preserve"> addresses by representatives of the IAEA, cooperating organizations and other relevant organizations. The main sessions will continue with a combination of keynote presentations, invited presentations, submitted papers and panel discussions addressing the main themes and topics of the </w:t>
      </w:r>
      <w:r w:rsidR="005F5A3D">
        <w:t>symposium</w:t>
      </w:r>
      <w:r>
        <w:t>. The final plenary session on the last day will be dedicated to review and discussion of</w:t>
      </w:r>
      <w:r w:rsidR="00CE4185">
        <w:t xml:space="preserve"> the</w:t>
      </w:r>
      <w:r>
        <w:t xml:space="preserve"> conclusions and recommendations of the </w:t>
      </w:r>
      <w:r w:rsidR="006F3244">
        <w:t>symposium</w:t>
      </w:r>
      <w:r>
        <w:t>.</w:t>
      </w:r>
    </w:p>
    <w:p w14:paraId="211721CA" w14:textId="77777777" w:rsidR="00D11AE0" w:rsidRPr="00D11AE0" w:rsidRDefault="00D11AE0" w:rsidP="00D11AE0">
      <w:pPr>
        <w:pStyle w:val="BodyTextMultiline"/>
        <w:numPr>
          <w:ilvl w:val="0"/>
          <w:numId w:val="0"/>
        </w:numPr>
      </w:pPr>
      <w:r>
        <w:t>There will also be poster sessions, and sufficient time will be dedicated to discussion and interaction with colleagues.</w:t>
      </w:r>
    </w:p>
    <w:p w14:paraId="0F780F1D" w14:textId="77777777" w:rsidR="00B95F39" w:rsidRDefault="00A727C1" w:rsidP="00A86483">
      <w:pPr>
        <w:pStyle w:val="Heading1"/>
      </w:pPr>
      <w:r>
        <w:t>Abstracts</w:t>
      </w:r>
      <w:r w:rsidR="00B95F39">
        <w:t xml:space="preserve"> and Papers</w:t>
      </w:r>
    </w:p>
    <w:p w14:paraId="0BE87F04" w14:textId="514B36B6" w:rsidR="001838A6" w:rsidRDefault="001838A6" w:rsidP="00A86483">
      <w:pPr>
        <w:pStyle w:val="BodyText"/>
        <w:widowControl w:val="0"/>
      </w:pPr>
      <w:r>
        <w:t xml:space="preserve">All papers submitted — other than invited keynote papers — must present original work and </w:t>
      </w:r>
      <w:r w:rsidR="00CE4185">
        <w:t xml:space="preserve">should </w:t>
      </w:r>
      <w:r>
        <w:t>not have been published elsewhere.</w:t>
      </w:r>
    </w:p>
    <w:p w14:paraId="715D67C2" w14:textId="4D7EC2AD" w:rsidR="001838A6" w:rsidRDefault="001838A6" w:rsidP="00CE4185">
      <w:pPr>
        <w:pStyle w:val="BodyText"/>
        <w:rPr>
          <w:szCs w:val="22"/>
        </w:rPr>
      </w:pPr>
      <w:r>
        <w:t>Persons who wish to present a p</w:t>
      </w:r>
      <w:r w:rsidR="007D0B5E">
        <w:t xml:space="preserve">aper </w:t>
      </w:r>
      <w:r>
        <w:t xml:space="preserve">at the symposium </w:t>
      </w:r>
      <w:r w:rsidR="005D13F8">
        <w:t>— either oral</w:t>
      </w:r>
      <w:r w:rsidR="00CE4185">
        <w:t>ly</w:t>
      </w:r>
      <w:r w:rsidR="005D13F8">
        <w:t xml:space="preserve"> or</w:t>
      </w:r>
      <w:r w:rsidR="00CE4185">
        <w:t xml:space="preserve"> in the form of a</w:t>
      </w:r>
      <w:r w:rsidR="005D13F8">
        <w:t xml:space="preserve"> poster — </w:t>
      </w:r>
      <w:r>
        <w:t xml:space="preserve">must submit an abstract of 500 words maximum on one of the topics listed under Section C. The abstract should give enough information on the contents of the proposed paper to enable the </w:t>
      </w:r>
      <w:r w:rsidR="00CE4185">
        <w:t xml:space="preserve">Programme </w:t>
      </w:r>
      <w:r>
        <w:t xml:space="preserve">Committee to evaluate it. Including too many introductory and general matters should be </w:t>
      </w:r>
      <w:r>
        <w:lastRenderedPageBreak/>
        <w:t>avoided.</w:t>
      </w:r>
      <w:r w:rsidR="007D0B5E" w:rsidRPr="007D0B5E">
        <w:rPr>
          <w:szCs w:val="22"/>
        </w:rPr>
        <w:t xml:space="preserve"> </w:t>
      </w:r>
      <w:r w:rsidR="007D0B5E">
        <w:rPr>
          <w:szCs w:val="22"/>
        </w:rPr>
        <w:t xml:space="preserve">The </w:t>
      </w:r>
      <w:r w:rsidR="00AC2001">
        <w:rPr>
          <w:szCs w:val="22"/>
        </w:rPr>
        <w:t xml:space="preserve">accepted </w:t>
      </w:r>
      <w:r w:rsidR="007D0B5E">
        <w:rPr>
          <w:szCs w:val="22"/>
        </w:rPr>
        <w:t>abstract</w:t>
      </w:r>
      <w:r w:rsidR="00AC2001">
        <w:rPr>
          <w:szCs w:val="22"/>
        </w:rPr>
        <w:t>s will be reproduced unedited in the</w:t>
      </w:r>
      <w:r w:rsidR="007D0B5E">
        <w:rPr>
          <w:szCs w:val="22"/>
        </w:rPr>
        <w:t xml:space="preserve"> electronic</w:t>
      </w:r>
      <w:r w:rsidR="007D0B5E" w:rsidRPr="00F85478">
        <w:rPr>
          <w:szCs w:val="22"/>
        </w:rPr>
        <w:t xml:space="preserve"> </w:t>
      </w:r>
      <w:r w:rsidR="007D0B5E" w:rsidRPr="00AC2001">
        <w:rPr>
          <w:i/>
          <w:szCs w:val="22"/>
        </w:rPr>
        <w:t>Compilation of Abstracts</w:t>
      </w:r>
      <w:r w:rsidR="00AC2001">
        <w:rPr>
          <w:szCs w:val="22"/>
        </w:rPr>
        <w:t xml:space="preserve"> which will be distributed to all participants at the symposium.</w:t>
      </w:r>
    </w:p>
    <w:p w14:paraId="44341A16" w14:textId="77777777" w:rsidR="004B7646" w:rsidRDefault="004B7646" w:rsidP="001838A6">
      <w:pPr>
        <w:pStyle w:val="BodyText"/>
      </w:pPr>
    </w:p>
    <w:p w14:paraId="27627D3B" w14:textId="77777777" w:rsidR="00B95F39" w:rsidRDefault="00B95F39" w:rsidP="00B95F39">
      <w:pPr>
        <w:pStyle w:val="Heading2"/>
        <w:numPr>
          <w:ilvl w:val="1"/>
          <w:numId w:val="3"/>
        </w:numPr>
      </w:pPr>
      <w:r>
        <w:t xml:space="preserve">Submission of </w:t>
      </w:r>
      <w:r w:rsidR="00A727C1">
        <w:t>abstracts</w:t>
      </w:r>
    </w:p>
    <w:p w14:paraId="6E161748" w14:textId="3AC51629" w:rsidR="005B2C5F" w:rsidRPr="00601424" w:rsidRDefault="00B95F39" w:rsidP="00CE4185">
      <w:pPr>
        <w:pStyle w:val="BodyText"/>
        <w:rPr>
          <w:rFonts w:cs="Arial"/>
          <w:szCs w:val="22"/>
          <w:u w:val="single"/>
        </w:rPr>
      </w:pPr>
      <w:r w:rsidRPr="00F85478">
        <w:rPr>
          <w:szCs w:val="22"/>
        </w:rPr>
        <w:t>Persons who wish to present a paper or poster at the symposium must submit</w:t>
      </w:r>
      <w:r w:rsidRPr="00F85478">
        <w:rPr>
          <w:b/>
          <w:szCs w:val="22"/>
        </w:rPr>
        <w:t xml:space="preserve"> </w:t>
      </w:r>
      <w:r w:rsidRPr="00F85478">
        <w:rPr>
          <w:bCs/>
          <w:szCs w:val="22"/>
        </w:rPr>
        <w:t xml:space="preserve">an </w:t>
      </w:r>
      <w:r w:rsidR="00A727C1">
        <w:rPr>
          <w:bCs/>
          <w:szCs w:val="22"/>
        </w:rPr>
        <w:t>abstract</w:t>
      </w:r>
      <w:r w:rsidR="005B2C5F">
        <w:rPr>
          <w:bCs/>
          <w:szCs w:val="22"/>
        </w:rPr>
        <w:t xml:space="preserve"> </w:t>
      </w:r>
      <w:r w:rsidR="005B2C5F" w:rsidRPr="00605484">
        <w:rPr>
          <w:b/>
          <w:bCs/>
        </w:rPr>
        <w:t>in electronic format</w:t>
      </w:r>
      <w:r w:rsidR="005B2C5F" w:rsidRPr="00605484">
        <w:t xml:space="preserve"> (no paper copies) directly to the IAEA. Instructions on how to upload the </w:t>
      </w:r>
      <w:r w:rsidR="005B2C5F">
        <w:t>abstract</w:t>
      </w:r>
      <w:r w:rsidR="005B2C5F" w:rsidRPr="00605484">
        <w:t xml:space="preserve"> to the </w:t>
      </w:r>
      <w:r w:rsidR="005F5A3D">
        <w:t>symposium</w:t>
      </w:r>
      <w:r w:rsidR="005F5A3D" w:rsidRPr="00605484">
        <w:t xml:space="preserve">’s </w:t>
      </w:r>
      <w:r w:rsidR="005B2C5F" w:rsidRPr="00605484">
        <w:t xml:space="preserve">web browser-based file submission system (IAEA-INDICO) will be available on the </w:t>
      </w:r>
      <w:r w:rsidR="005F5A3D">
        <w:t>symposium</w:t>
      </w:r>
      <w:r w:rsidR="005F5A3D" w:rsidRPr="00605484">
        <w:t xml:space="preserve"> </w:t>
      </w:r>
      <w:r w:rsidR="005B2C5F" w:rsidRPr="00605484">
        <w:t>web</w:t>
      </w:r>
      <w:r w:rsidR="00CE4185">
        <w:t xml:space="preserve"> page</w:t>
      </w:r>
      <w:r w:rsidR="00CE4185" w:rsidRPr="00605484">
        <w:t xml:space="preserve"> </w:t>
      </w:r>
      <w:r w:rsidR="005B2C5F" w:rsidRPr="00605484">
        <w:t xml:space="preserve">(see Section </w:t>
      </w:r>
      <w:r w:rsidR="005D13F8">
        <w:t>Q</w:t>
      </w:r>
      <w:r w:rsidR="005B2C5F" w:rsidRPr="00605484">
        <w:t xml:space="preserve">) as of </w:t>
      </w:r>
      <w:r w:rsidR="00EE433C">
        <w:t>June 2013</w:t>
      </w:r>
      <w:r w:rsidR="005B2C5F" w:rsidRPr="00605484">
        <w:t xml:space="preserve">. The abstracts </w:t>
      </w:r>
      <w:r w:rsidR="005B2C5F" w:rsidRPr="00605484">
        <w:rPr>
          <w:b/>
          <w:bCs/>
        </w:rPr>
        <w:t>must</w:t>
      </w:r>
      <w:r w:rsidR="005B2C5F" w:rsidRPr="00605484">
        <w:t xml:space="preserve"> be submitted through this system</w:t>
      </w:r>
      <w:r w:rsidR="005B2C5F">
        <w:t xml:space="preserve"> </w:t>
      </w:r>
      <w:r w:rsidR="005B2C5F" w:rsidRPr="00601424">
        <w:t xml:space="preserve">by </w:t>
      </w:r>
      <w:r w:rsidR="005B2C5F">
        <w:rPr>
          <w:b/>
          <w:bCs/>
        </w:rPr>
        <w:t>1 November 2013</w:t>
      </w:r>
      <w:r w:rsidR="005B2C5F" w:rsidRPr="00A86483">
        <w:t>.</w:t>
      </w:r>
      <w:r w:rsidR="005B2C5F" w:rsidRPr="00605484">
        <w:t xml:space="preserve"> No other form of submission will be </w:t>
      </w:r>
      <w:r w:rsidR="005B2C5F" w:rsidRPr="005F5A3D">
        <w:t>accepted.</w:t>
      </w:r>
    </w:p>
    <w:p w14:paraId="608822E2" w14:textId="3418D9C2" w:rsidR="005B2C5F" w:rsidRPr="00605484" w:rsidRDefault="005B2C5F" w:rsidP="005B2C5F">
      <w:pPr>
        <w:pStyle w:val="BodyText"/>
      </w:pPr>
      <w:r>
        <w:t>In addition</w:t>
      </w:r>
      <w:r w:rsidR="00B654FE">
        <w:t>,</w:t>
      </w:r>
      <w:r>
        <w:t xml:space="preserve"> a</w:t>
      </w:r>
      <w:r w:rsidRPr="00605484">
        <w:t xml:space="preserve">uthors </w:t>
      </w:r>
      <w:r>
        <w:t xml:space="preserve">must </w:t>
      </w:r>
      <w:r w:rsidRPr="00605484">
        <w:t xml:space="preserve">submit the following two forms to their appropriate governmental authority (see section </w:t>
      </w:r>
      <w:r w:rsidR="005D13F8">
        <w:t>N</w:t>
      </w:r>
      <w:r w:rsidRPr="00605484">
        <w:t xml:space="preserve">) for transmission to the IAEA. These forms must be received by the IAEA no later than </w:t>
      </w:r>
      <w:r>
        <w:rPr>
          <w:b/>
        </w:rPr>
        <w:t>1 November 2013</w:t>
      </w:r>
      <w:r w:rsidRPr="00605484">
        <w:t>.</w:t>
      </w:r>
    </w:p>
    <w:p w14:paraId="61AF305C" w14:textId="77777777" w:rsidR="005B2C5F" w:rsidRPr="00605484" w:rsidRDefault="005B2C5F" w:rsidP="005B2C5F">
      <w:pPr>
        <w:numPr>
          <w:ilvl w:val="0"/>
          <w:numId w:val="21"/>
        </w:numPr>
        <w:spacing w:before="120" w:after="120"/>
        <w:rPr>
          <w:color w:val="000000"/>
          <w:szCs w:val="11"/>
        </w:rPr>
      </w:pPr>
      <w:r w:rsidRPr="00605484">
        <w:rPr>
          <w:color w:val="000000"/>
          <w:szCs w:val="11"/>
        </w:rPr>
        <w:t>Participation Form (</w:t>
      </w:r>
      <w:r w:rsidRPr="002909DA">
        <w:rPr>
          <w:color w:val="000000"/>
          <w:szCs w:val="11"/>
        </w:rPr>
        <w:t>F</w:t>
      </w:r>
      <w:r w:rsidRPr="00605484">
        <w:rPr>
          <w:color w:val="000000"/>
          <w:szCs w:val="11"/>
        </w:rPr>
        <w:t>orm</w:t>
      </w:r>
      <w:r w:rsidRPr="002909DA">
        <w:rPr>
          <w:color w:val="000000"/>
          <w:szCs w:val="11"/>
        </w:rPr>
        <w:t xml:space="preserve"> A</w:t>
      </w:r>
      <w:r w:rsidRPr="00605484">
        <w:rPr>
          <w:color w:val="000000"/>
          <w:szCs w:val="11"/>
        </w:rPr>
        <w:t>)</w:t>
      </w:r>
    </w:p>
    <w:p w14:paraId="18DF27B8" w14:textId="77777777" w:rsidR="005B2C5F" w:rsidRPr="00605484" w:rsidRDefault="005B2C5F" w:rsidP="005B2C5F">
      <w:pPr>
        <w:numPr>
          <w:ilvl w:val="0"/>
          <w:numId w:val="21"/>
        </w:numPr>
        <w:spacing w:before="120" w:after="120"/>
        <w:ind w:left="714" w:hanging="357"/>
        <w:rPr>
          <w:bCs/>
          <w:color w:val="000000"/>
        </w:rPr>
      </w:pPr>
      <w:r w:rsidRPr="00605484">
        <w:rPr>
          <w:color w:val="000000"/>
          <w:szCs w:val="11"/>
        </w:rPr>
        <w:t>Form for Submission of a Paper (</w:t>
      </w:r>
      <w:r w:rsidRPr="002909DA">
        <w:rPr>
          <w:color w:val="000000"/>
          <w:szCs w:val="11"/>
        </w:rPr>
        <w:t>F</w:t>
      </w:r>
      <w:r w:rsidRPr="00605484">
        <w:rPr>
          <w:color w:val="000000"/>
          <w:szCs w:val="11"/>
        </w:rPr>
        <w:t>orm</w:t>
      </w:r>
      <w:r w:rsidRPr="002909DA">
        <w:rPr>
          <w:color w:val="000000"/>
          <w:szCs w:val="11"/>
        </w:rPr>
        <w:t xml:space="preserve"> B</w:t>
      </w:r>
      <w:r w:rsidRPr="00605484">
        <w:rPr>
          <w:color w:val="000000"/>
          <w:szCs w:val="11"/>
        </w:rPr>
        <w:t>)</w:t>
      </w:r>
    </w:p>
    <w:p w14:paraId="44037FB5" w14:textId="35EFF6F7" w:rsidR="005B2C5F" w:rsidRPr="00605484" w:rsidRDefault="005B2C5F" w:rsidP="00B654FE">
      <w:pPr>
        <w:pStyle w:val="BodyText"/>
      </w:pPr>
      <w:r w:rsidRPr="00605484">
        <w:rPr>
          <w:b/>
          <w:bCs/>
          <w:color w:val="000000"/>
        </w:rPr>
        <w:t>IMPORTANT:</w:t>
      </w:r>
      <w:r w:rsidRPr="00605484">
        <w:rPr>
          <w:bCs/>
          <w:color w:val="000000"/>
        </w:rPr>
        <w:t xml:space="preserve"> </w:t>
      </w:r>
      <w:r w:rsidRPr="00605484">
        <w:t xml:space="preserve">The electronically received </w:t>
      </w:r>
      <w:r>
        <w:t>abstracts</w:t>
      </w:r>
      <w:r w:rsidRPr="00605484">
        <w:t xml:space="preserve"> will be considered by the Programme Committee only if these two forms have been received by the IAEA through the </w:t>
      </w:r>
      <w:r w:rsidR="00B654FE">
        <w:t>established</w:t>
      </w:r>
      <w:r w:rsidR="00B654FE" w:rsidRPr="00605484">
        <w:t xml:space="preserve"> </w:t>
      </w:r>
      <w:r w:rsidRPr="00605484">
        <w:t>official channels (see Section</w:t>
      </w:r>
      <w:r w:rsidR="005D13F8">
        <w:t xml:space="preserve"> N</w:t>
      </w:r>
      <w:r>
        <w:t>)</w:t>
      </w:r>
      <w:r w:rsidRPr="00605484">
        <w:t>.</w:t>
      </w:r>
    </w:p>
    <w:p w14:paraId="0C051D96" w14:textId="024FEBAA" w:rsidR="00B95F39" w:rsidRPr="00485622" w:rsidRDefault="00B95F39" w:rsidP="00B654FE">
      <w:pPr>
        <w:pStyle w:val="Heading2"/>
        <w:numPr>
          <w:ilvl w:val="1"/>
          <w:numId w:val="3"/>
        </w:numPr>
      </w:pPr>
      <w:r w:rsidRPr="00485622">
        <w:rPr>
          <w:szCs w:val="22"/>
        </w:rPr>
        <w:t xml:space="preserve">Acceptance of </w:t>
      </w:r>
      <w:r w:rsidR="005B2C5F">
        <w:rPr>
          <w:szCs w:val="22"/>
        </w:rPr>
        <w:t>abstracts</w:t>
      </w:r>
      <w:r w:rsidRPr="00485622">
        <w:rPr>
          <w:szCs w:val="22"/>
        </w:rPr>
        <w:t xml:space="preserve"> for </w:t>
      </w:r>
      <w:r w:rsidR="00B654FE">
        <w:rPr>
          <w:szCs w:val="22"/>
        </w:rPr>
        <w:t>o</w:t>
      </w:r>
      <w:r w:rsidRPr="00485622">
        <w:rPr>
          <w:szCs w:val="22"/>
        </w:rPr>
        <w:t xml:space="preserve">ral and </w:t>
      </w:r>
      <w:r w:rsidR="00B654FE">
        <w:rPr>
          <w:szCs w:val="22"/>
        </w:rPr>
        <w:t>p</w:t>
      </w:r>
      <w:r w:rsidRPr="00485622">
        <w:rPr>
          <w:szCs w:val="22"/>
        </w:rPr>
        <w:t xml:space="preserve">oster </w:t>
      </w:r>
      <w:r w:rsidR="00B654FE">
        <w:rPr>
          <w:szCs w:val="22"/>
        </w:rPr>
        <w:t>p</w:t>
      </w:r>
      <w:r w:rsidRPr="00485622">
        <w:rPr>
          <w:szCs w:val="22"/>
        </w:rPr>
        <w:t>resentation</w:t>
      </w:r>
    </w:p>
    <w:p w14:paraId="3B4CB7A5" w14:textId="43FAB34A" w:rsidR="00B95F39" w:rsidRPr="00601424" w:rsidRDefault="00B95F39" w:rsidP="00601424">
      <w:pPr>
        <w:pStyle w:val="BodyText"/>
      </w:pPr>
      <w:r w:rsidRPr="00601424">
        <w:t>Given the number of papers anticipated and the need to provide ample time for discussion, the number of papers that can be accepted for oral presentation is limited. Authors who would prefer to present their papers in a poster session are requested to indicate this preference on Form A</w:t>
      </w:r>
      <w:r w:rsidR="005B2C5F" w:rsidRPr="00601424">
        <w:t>.</w:t>
      </w:r>
    </w:p>
    <w:p w14:paraId="092DF89B" w14:textId="4D124A81" w:rsidR="00B95F39" w:rsidRPr="00485622" w:rsidRDefault="00B95F39" w:rsidP="00601424">
      <w:pPr>
        <w:tabs>
          <w:tab w:val="left" w:pos="1440"/>
          <w:tab w:val="left" w:pos="8496"/>
        </w:tabs>
        <w:spacing w:after="170" w:line="280" w:lineRule="atLeast"/>
        <w:ind w:left="11" w:hanging="11"/>
        <w:jc w:val="both"/>
      </w:pPr>
      <w:r w:rsidRPr="00F85478">
        <w:rPr>
          <w:szCs w:val="22"/>
        </w:rPr>
        <w:t xml:space="preserve">Authors will be informed </w:t>
      </w:r>
      <w:r>
        <w:rPr>
          <w:szCs w:val="22"/>
        </w:rPr>
        <w:t xml:space="preserve">by </w:t>
      </w:r>
      <w:r w:rsidR="00A727C1">
        <w:rPr>
          <w:b/>
          <w:szCs w:val="22"/>
        </w:rPr>
        <w:t>end of December 2013</w:t>
      </w:r>
      <w:r>
        <w:rPr>
          <w:szCs w:val="22"/>
        </w:rPr>
        <w:t xml:space="preserve"> </w:t>
      </w:r>
      <w:r w:rsidRPr="00F85478">
        <w:rPr>
          <w:szCs w:val="22"/>
        </w:rPr>
        <w:t xml:space="preserve">whether their papers have been accepted for </w:t>
      </w:r>
      <w:r>
        <w:rPr>
          <w:szCs w:val="22"/>
        </w:rPr>
        <w:t xml:space="preserve">oral or poster </w:t>
      </w:r>
      <w:r w:rsidRPr="00F85478">
        <w:rPr>
          <w:szCs w:val="22"/>
        </w:rPr>
        <w:t>presentation on the b</w:t>
      </w:r>
      <w:r>
        <w:rPr>
          <w:szCs w:val="22"/>
        </w:rPr>
        <w:t xml:space="preserve">asis of the </w:t>
      </w:r>
      <w:r w:rsidR="00A727C1">
        <w:rPr>
          <w:szCs w:val="22"/>
        </w:rPr>
        <w:t>abstract</w:t>
      </w:r>
      <w:r>
        <w:rPr>
          <w:szCs w:val="22"/>
        </w:rPr>
        <w:t>.</w:t>
      </w:r>
    </w:p>
    <w:p w14:paraId="43A7069C" w14:textId="77777777" w:rsidR="00B95F39" w:rsidRDefault="00B95F39" w:rsidP="00B95F39">
      <w:pPr>
        <w:pStyle w:val="Heading2"/>
        <w:numPr>
          <w:ilvl w:val="1"/>
          <w:numId w:val="3"/>
        </w:numPr>
      </w:pPr>
      <w:r>
        <w:t>Symposium proceedings</w:t>
      </w:r>
    </w:p>
    <w:p w14:paraId="79B56044" w14:textId="51C11BCB" w:rsidR="00B95F39" w:rsidRPr="00F85478" w:rsidRDefault="00AC2001" w:rsidP="00601424">
      <w:pPr>
        <w:tabs>
          <w:tab w:val="left" w:pos="1440"/>
          <w:tab w:val="left" w:pos="8496"/>
        </w:tabs>
        <w:spacing w:after="170" w:line="280" w:lineRule="atLeast"/>
        <w:ind w:left="11" w:hanging="11"/>
        <w:jc w:val="both"/>
        <w:rPr>
          <w:szCs w:val="22"/>
        </w:rPr>
      </w:pPr>
      <w:r>
        <w:rPr>
          <w:szCs w:val="22"/>
        </w:rPr>
        <w:t>A limited number of the papers presented at the symposium will be selected for publication in a scientific journal.</w:t>
      </w:r>
    </w:p>
    <w:p w14:paraId="3E3B097D" w14:textId="77777777" w:rsidR="00733D7D" w:rsidRDefault="00733D7D" w:rsidP="00601424">
      <w:pPr>
        <w:pStyle w:val="Heading1"/>
        <w:keepNext/>
        <w:keepLines/>
      </w:pPr>
      <w:r>
        <w:t>Participation</w:t>
      </w:r>
    </w:p>
    <w:p w14:paraId="79E7D2C1" w14:textId="77777777" w:rsidR="00DB11C5" w:rsidRDefault="00DB11C5" w:rsidP="00601424">
      <w:pPr>
        <w:pStyle w:val="BodyText"/>
        <w:keepNext/>
        <w:keepLines/>
      </w:pPr>
      <w:r>
        <w:t xml:space="preserve">All persons wishing to participate in the </w:t>
      </w:r>
      <w:r w:rsidR="00A727C1">
        <w:t>symposium</w:t>
      </w:r>
      <w:r>
        <w:t xml:space="preserve"> are requested to register online in advance. In addition, they must send a completed Participation Form (Form A), the </w:t>
      </w:r>
      <w:r w:rsidR="00823832">
        <w:t xml:space="preserve">Form for Submission of a </w:t>
      </w:r>
      <w:r>
        <w:t xml:space="preserve">Paper (Form B) (if applicable), and the Grant Application Form (Form C) (if applicable) as soon as possible to the competent official authority </w:t>
      </w:r>
      <w:r>
        <w:rPr>
          <w:color w:val="000000"/>
          <w:szCs w:val="22"/>
          <w:lang w:eastAsia="en-GB"/>
        </w:rPr>
        <w:t>(</w:t>
      </w:r>
      <w:r>
        <w:rPr>
          <w:szCs w:val="22"/>
        </w:rPr>
        <w:t>see Section N)</w:t>
      </w:r>
      <w:r>
        <w:rPr>
          <w:color w:val="000000"/>
          <w:szCs w:val="22"/>
          <w:lang w:eastAsia="en-GB"/>
        </w:rPr>
        <w:t xml:space="preserve"> </w:t>
      </w:r>
      <w:r>
        <w:t>for subsequent transmission to the IAEA.</w:t>
      </w:r>
    </w:p>
    <w:p w14:paraId="4D8D27DB" w14:textId="3FE5AA72" w:rsidR="00A52C7F" w:rsidRDefault="00DB11C5" w:rsidP="00823832">
      <w:pPr>
        <w:pStyle w:val="BodyText"/>
      </w:pPr>
      <w:r>
        <w:t xml:space="preserve">Participants whose official designations have been received by the IAEA will </w:t>
      </w:r>
      <w:r w:rsidR="00823832">
        <w:t xml:space="preserve">be sent </w:t>
      </w:r>
      <w:r>
        <w:t xml:space="preserve">further information on the </w:t>
      </w:r>
      <w:r w:rsidR="00A727C1">
        <w:t>symposium</w:t>
      </w:r>
      <w:r>
        <w:t xml:space="preserve"> at least three months before </w:t>
      </w:r>
      <w:r w:rsidR="00823832">
        <w:t xml:space="preserve">it </w:t>
      </w:r>
      <w:r w:rsidR="005D13F8">
        <w:t>begins.</w:t>
      </w:r>
      <w:r>
        <w:t xml:space="preserve"> This information will also be </w:t>
      </w:r>
      <w:r w:rsidR="00823832">
        <w:t xml:space="preserve">made </w:t>
      </w:r>
      <w:r>
        <w:t xml:space="preserve">available on the </w:t>
      </w:r>
      <w:r w:rsidR="00A727C1">
        <w:t>symposium</w:t>
      </w:r>
      <w:r>
        <w:t xml:space="preserve"> web</w:t>
      </w:r>
      <w:r w:rsidR="00823832">
        <w:t xml:space="preserve"> page </w:t>
      </w:r>
      <w:r>
        <w:t>(see Section Q).</w:t>
      </w:r>
    </w:p>
    <w:p w14:paraId="3B3ECC0F" w14:textId="77777777" w:rsidR="00733D7D" w:rsidRDefault="00733D7D" w:rsidP="00A86483">
      <w:pPr>
        <w:pStyle w:val="Heading1"/>
        <w:keepNext/>
        <w:keepLines/>
      </w:pPr>
      <w:r>
        <w:lastRenderedPageBreak/>
        <w:t>Expenditures</w:t>
      </w:r>
    </w:p>
    <w:p w14:paraId="73272A92" w14:textId="77777777" w:rsidR="00733D7D" w:rsidRDefault="00733D7D" w:rsidP="00A86483">
      <w:pPr>
        <w:pStyle w:val="BodyText"/>
        <w:keepNext/>
        <w:keepLines/>
      </w:pPr>
      <w:r>
        <w:t>No registration fee is charged to participants.</w:t>
      </w:r>
    </w:p>
    <w:p w14:paraId="40991C0C" w14:textId="0E09450E" w:rsidR="00733D7D" w:rsidRDefault="00C91D08" w:rsidP="00B654FE">
      <w:pPr>
        <w:pStyle w:val="BodyText"/>
      </w:pPr>
      <w:r w:rsidRPr="00C91D08">
        <w:t xml:space="preserve">The IAEA is generally not in a position to bear the travel and other costs of participants </w:t>
      </w:r>
      <w:r w:rsidR="00220B3F">
        <w:t>in</w:t>
      </w:r>
      <w:r w:rsidR="00220B3F" w:rsidRPr="00C91D08">
        <w:t xml:space="preserve"> </w:t>
      </w:r>
      <w:r>
        <w:t>the</w:t>
      </w:r>
      <w:r w:rsidRPr="00C91D08">
        <w:t xml:space="preserve"> </w:t>
      </w:r>
      <w:r w:rsidR="00A727C1">
        <w:t>symposium</w:t>
      </w:r>
      <w:r w:rsidRPr="00C91D08">
        <w:t xml:space="preserve">. The IAEA has, however, limited funds at its disposal to help meet the cost of attendance of </w:t>
      </w:r>
      <w:r w:rsidR="00220B3F">
        <w:t>certain participants</w:t>
      </w:r>
      <w:r>
        <w:t xml:space="preserve">. </w:t>
      </w:r>
      <w:r w:rsidRPr="00C91D08">
        <w:t xml:space="preserve">Such assistance may be offered, upon specific request, </w:t>
      </w:r>
      <w:r w:rsidR="00220B3F">
        <w:t xml:space="preserve">to normally one participant per country </w:t>
      </w:r>
      <w:r w:rsidRPr="00C91D08">
        <w:t>provided that</w:t>
      </w:r>
      <w:r w:rsidR="00220B3F">
        <w:t>,</w:t>
      </w:r>
      <w:r w:rsidRPr="00C91D08">
        <w:t xml:space="preserve"> in the IAEA</w:t>
      </w:r>
      <w:r w:rsidR="00220B3F">
        <w:t>’</w:t>
      </w:r>
      <w:r w:rsidRPr="00C91D08">
        <w:t>s view</w:t>
      </w:r>
      <w:r w:rsidR="00220B3F">
        <w:t>,</w:t>
      </w:r>
      <w:r w:rsidRPr="00C91D08">
        <w:t xml:space="preserve"> the participant </w:t>
      </w:r>
      <w:r w:rsidR="00220B3F">
        <w:t xml:space="preserve">on whose behalf assistance is requested </w:t>
      </w:r>
      <w:r w:rsidRPr="00C91D08">
        <w:t xml:space="preserve">will make an important contribution to the </w:t>
      </w:r>
      <w:r w:rsidR="00A727C1">
        <w:t>symposium</w:t>
      </w:r>
      <w:r w:rsidRPr="00C91D08">
        <w:t xml:space="preserve">. </w:t>
      </w:r>
      <w:r w:rsidR="00245D80">
        <w:t>In general, not more than one grant will be awarded to any one country</w:t>
      </w:r>
      <w:r w:rsidRPr="00C91D08">
        <w:t>.</w:t>
      </w:r>
    </w:p>
    <w:p w14:paraId="4CD5DFAF" w14:textId="1FEC012F" w:rsidR="00733D7D" w:rsidRDefault="00733D7D" w:rsidP="00733D7D">
      <w:pPr>
        <w:pStyle w:val="BodyText"/>
      </w:pPr>
      <w:r>
        <w:t>If governments wish to apply for a grant on behalf of one of their specialists, they should address specific requests to the IAEA to this effect. Governments should ensure that applications for grants are:</w:t>
      </w:r>
    </w:p>
    <w:p w14:paraId="43F328EC" w14:textId="6C3F9FF0" w:rsidR="00733D7D" w:rsidRDefault="00733D7D" w:rsidP="00723F01">
      <w:pPr>
        <w:pStyle w:val="BodyTextMultiline"/>
        <w:numPr>
          <w:ilvl w:val="0"/>
          <w:numId w:val="15"/>
        </w:numPr>
      </w:pPr>
      <w:r>
        <w:t xml:space="preserve">Submitted by </w:t>
      </w:r>
      <w:r w:rsidR="00D57514">
        <w:rPr>
          <w:b/>
        </w:rPr>
        <w:t>1</w:t>
      </w:r>
      <w:r w:rsidR="00A727C1" w:rsidRPr="00A727C1">
        <w:rPr>
          <w:b/>
        </w:rPr>
        <w:t xml:space="preserve"> November 2013</w:t>
      </w:r>
      <w:r w:rsidR="00A727C1">
        <w:t>;</w:t>
      </w:r>
    </w:p>
    <w:p w14:paraId="6275B23C" w14:textId="77777777" w:rsidR="00733D7D" w:rsidRDefault="00733D7D" w:rsidP="00733D7D">
      <w:pPr>
        <w:pStyle w:val="BodyTextMultiline"/>
      </w:pPr>
      <w:r>
        <w:t>Accompanied by a duly completed and signed Grant Application Form (Form C);</w:t>
      </w:r>
    </w:p>
    <w:p w14:paraId="58439318" w14:textId="77777777" w:rsidR="00733D7D" w:rsidRDefault="00733D7D" w:rsidP="00733D7D">
      <w:pPr>
        <w:pStyle w:val="BodyTextMultiline"/>
      </w:pPr>
      <w:r>
        <w:t>Accompanied by a completed Participation Form (Form A).</w:t>
      </w:r>
    </w:p>
    <w:p w14:paraId="336EDDC1" w14:textId="77777777" w:rsidR="00733D7D" w:rsidRDefault="00733D7D" w:rsidP="00733D7D">
      <w:pPr>
        <w:pStyle w:val="BodyText"/>
      </w:pPr>
      <w:r>
        <w:t>Applications that do not comply with the above conditions cannot be considered.</w:t>
      </w:r>
    </w:p>
    <w:p w14:paraId="3F3E0D61" w14:textId="77777777" w:rsidR="00C91D08" w:rsidRDefault="00733D7D" w:rsidP="00733D7D">
      <w:pPr>
        <w:pStyle w:val="BodyText"/>
      </w:pPr>
      <w:r>
        <w:t xml:space="preserve">Approved grants will be issued in the form of a lump sum payment that usually covers </w:t>
      </w:r>
      <w:r w:rsidRPr="002820A3">
        <w:rPr>
          <w:b/>
        </w:rPr>
        <w:t>only part of the cost of attendance</w:t>
      </w:r>
      <w:r>
        <w:t>.</w:t>
      </w:r>
    </w:p>
    <w:p w14:paraId="4A941B07" w14:textId="77777777" w:rsidR="00733D7D" w:rsidRDefault="00733D7D" w:rsidP="00C91D08">
      <w:pPr>
        <w:pStyle w:val="Heading1"/>
      </w:pPr>
      <w:r>
        <w:t>Distribution of Documents</w:t>
      </w:r>
    </w:p>
    <w:p w14:paraId="2EDDBEC0" w14:textId="77777777" w:rsidR="00733D7D" w:rsidRDefault="00733D7D" w:rsidP="00220B3F">
      <w:pPr>
        <w:pStyle w:val="BodyText"/>
      </w:pPr>
      <w:r>
        <w:t xml:space="preserve">A preliminary programme will be posted on the IAEA </w:t>
      </w:r>
      <w:r w:rsidR="00A727C1">
        <w:t>symposium</w:t>
      </w:r>
      <w:r>
        <w:t xml:space="preserve"> web</w:t>
      </w:r>
      <w:r w:rsidR="00220B3F">
        <w:t xml:space="preserve"> page </w:t>
      </w:r>
      <w:r>
        <w:t xml:space="preserve">as soon as possible. The final programme and the </w:t>
      </w:r>
      <w:r w:rsidR="00A727C1">
        <w:t xml:space="preserve">electronic </w:t>
      </w:r>
      <w:r w:rsidR="00AC2001" w:rsidRPr="00AC2001">
        <w:rPr>
          <w:i/>
        </w:rPr>
        <w:t>Compilation o</w:t>
      </w:r>
      <w:r w:rsidRPr="00AC2001">
        <w:rPr>
          <w:i/>
        </w:rPr>
        <w:t xml:space="preserve">f </w:t>
      </w:r>
      <w:r w:rsidR="00A727C1" w:rsidRPr="00AC2001">
        <w:rPr>
          <w:i/>
        </w:rPr>
        <w:t>Abstracts</w:t>
      </w:r>
      <w:r w:rsidR="00A727C1">
        <w:t xml:space="preserve"> </w:t>
      </w:r>
      <w:r>
        <w:t xml:space="preserve">will be available free of charge upon registration at the </w:t>
      </w:r>
      <w:r w:rsidR="00A727C1">
        <w:t>symposium</w:t>
      </w:r>
      <w:r>
        <w:t>.</w:t>
      </w:r>
    </w:p>
    <w:p w14:paraId="0BEB921C" w14:textId="77777777" w:rsidR="00733D7D" w:rsidRDefault="00733D7D" w:rsidP="00A86483">
      <w:pPr>
        <w:pStyle w:val="Heading1"/>
      </w:pPr>
      <w:r>
        <w:t>Exhibitions</w:t>
      </w:r>
    </w:p>
    <w:p w14:paraId="67510526" w14:textId="7B818649" w:rsidR="00733D7D" w:rsidRPr="00601424" w:rsidRDefault="00733D7D" w:rsidP="00A86483">
      <w:pPr>
        <w:pStyle w:val="BodyText"/>
      </w:pPr>
      <w:r>
        <w:t xml:space="preserve">A limited amount of space will be available for commercial vendors’ displays/exhibits during the </w:t>
      </w:r>
      <w:r w:rsidR="00A727C1">
        <w:t>symposium</w:t>
      </w:r>
      <w:r>
        <w:t xml:space="preserve">. Interested parties should contact the </w:t>
      </w:r>
      <w:r w:rsidR="00601424">
        <w:t>Symposium Secretariat</w:t>
      </w:r>
      <w:r>
        <w:t xml:space="preserve"> by email</w:t>
      </w:r>
      <w:r w:rsidR="00601424">
        <w:t xml:space="preserve">: </w:t>
      </w:r>
      <w:hyperlink r:id="rId9" w:history="1">
        <w:r w:rsidR="00FE5877" w:rsidRPr="00ED04F0">
          <w:rPr>
            <w:rStyle w:val="Hyperlink"/>
          </w:rPr>
          <w:t>N.Mokhtar@iaea.org</w:t>
        </w:r>
      </w:hyperlink>
      <w:r w:rsidR="00FE5877">
        <w:t xml:space="preserve"> </w:t>
      </w:r>
      <w:r w:rsidRPr="00601424">
        <w:t xml:space="preserve">before </w:t>
      </w:r>
      <w:r w:rsidR="00601424">
        <w:rPr>
          <w:b/>
        </w:rPr>
        <w:t>12 September 2013</w:t>
      </w:r>
      <w:r w:rsidR="00601424">
        <w:t>.</w:t>
      </w:r>
    </w:p>
    <w:p w14:paraId="2A3F7FDD" w14:textId="77777777" w:rsidR="00733D7D" w:rsidRDefault="00733D7D" w:rsidP="00733D7D">
      <w:pPr>
        <w:pStyle w:val="Heading1"/>
      </w:pPr>
      <w:r>
        <w:t>Working Language</w:t>
      </w:r>
    </w:p>
    <w:p w14:paraId="6118FAD4" w14:textId="77777777" w:rsidR="00733D7D" w:rsidRDefault="00733D7D" w:rsidP="00733D7D">
      <w:pPr>
        <w:pStyle w:val="BodyText"/>
      </w:pPr>
      <w:r>
        <w:t xml:space="preserve">The working language of the </w:t>
      </w:r>
      <w:r w:rsidR="00A727C1">
        <w:t>symposium</w:t>
      </w:r>
      <w:r>
        <w:t xml:space="preserve"> will be English.</w:t>
      </w:r>
    </w:p>
    <w:p w14:paraId="165B840A" w14:textId="77777777" w:rsidR="00733D7D" w:rsidRDefault="00733D7D" w:rsidP="00A86483">
      <w:pPr>
        <w:pStyle w:val="Heading1"/>
        <w:keepNext/>
        <w:keepLines/>
      </w:pPr>
      <w:r>
        <w:lastRenderedPageBreak/>
        <w:t>Accommodation</w:t>
      </w:r>
    </w:p>
    <w:p w14:paraId="4FE5321F" w14:textId="77777777" w:rsidR="00F17703" w:rsidRDefault="00F17703" w:rsidP="00A86483">
      <w:pPr>
        <w:keepNext/>
        <w:keepLines/>
        <w:tabs>
          <w:tab w:val="left" w:pos="-1440"/>
          <w:tab w:val="left" w:pos="-720"/>
          <w:tab w:val="left" w:pos="0"/>
          <w:tab w:val="left" w:pos="566"/>
          <w:tab w:val="left" w:pos="144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70" w:line="280" w:lineRule="atLeast"/>
        <w:ind w:right="-142"/>
        <w:jc w:val="both"/>
      </w:pPr>
      <w:r>
        <w:t xml:space="preserve">Participants must make their own travel and </w:t>
      </w:r>
      <w:r w:rsidR="00361B07">
        <w:t xml:space="preserve">accommodation </w:t>
      </w:r>
      <w:r>
        <w:t>arrangement</w:t>
      </w:r>
      <w:r w:rsidR="00BF24FA">
        <w:t>s</w:t>
      </w:r>
      <w:r>
        <w:t xml:space="preserve">. Hotels which are offering a reduced rate for </w:t>
      </w:r>
      <w:r w:rsidR="00A727C1">
        <w:t>symposium</w:t>
      </w:r>
      <w:r>
        <w:t xml:space="preserve"> participants will be listed on the </w:t>
      </w:r>
      <w:r w:rsidR="00A727C1">
        <w:t>symposium</w:t>
      </w:r>
      <w:r>
        <w:t xml:space="preserve"> web</w:t>
      </w:r>
      <w:r w:rsidR="00361B07">
        <w:t xml:space="preserve"> page</w:t>
      </w:r>
      <w:r>
        <w:t>. Please note that the IAEA is not in a position to assist participants with hotel bookings</w:t>
      </w:r>
      <w:r w:rsidR="002A25AD">
        <w:t>,</w:t>
      </w:r>
      <w:r>
        <w:t xml:space="preserve"> nor can the IAEA assume responsibility</w:t>
      </w:r>
      <w:r w:rsidR="00BF24FA">
        <w:t xml:space="preserve"> </w:t>
      </w:r>
      <w:r>
        <w:t>for paying cancellation fees or for re-bookings and no shows.</w:t>
      </w:r>
    </w:p>
    <w:p w14:paraId="26C0BBD6" w14:textId="77777777" w:rsidR="00733D7D" w:rsidRDefault="00733D7D" w:rsidP="00733D7D">
      <w:pPr>
        <w:pStyle w:val="Heading1"/>
      </w:pPr>
      <w:r>
        <w:t>Visa</w:t>
      </w:r>
      <w:r w:rsidR="00F579AE">
        <w:t>s</w:t>
      </w:r>
    </w:p>
    <w:p w14:paraId="4AF2BBC9" w14:textId="410016D1" w:rsidR="00F82C2F" w:rsidRDefault="00733D7D" w:rsidP="00B654FE">
      <w:pPr>
        <w:pStyle w:val="BodyText"/>
      </w:pPr>
      <w:r>
        <w:t xml:space="preserve">Designated participants who require a visa to enter Austria should submit the necessary application to the nearest diplomatic or consular representative of Austria at least </w:t>
      </w:r>
      <w:r w:rsidR="00B654FE">
        <w:t xml:space="preserve">four </w:t>
      </w:r>
      <w:r>
        <w:t xml:space="preserve">weeks before entry into Austria. Please note that </w:t>
      </w:r>
      <w:smartTag w:uri="urn:schemas-microsoft-com:office:smarttags" w:element="country-region">
        <w:r>
          <w:t>Austria</w:t>
        </w:r>
      </w:smartTag>
      <w:r>
        <w:t xml:space="preserve"> is a </w:t>
      </w:r>
      <w:smartTag w:uri="urn:schemas-microsoft-com:office:smarttags" w:element="place">
        <w:smartTag w:uri="urn:schemas-microsoft-com:office:smarttags" w:element="PlaceName">
          <w:r>
            <w:t>Schengen</w:t>
          </w:r>
        </w:smartTag>
        <w:r>
          <w:t xml:space="preserve"> </w:t>
        </w:r>
        <w:smartTag w:uri="urn:schemas-microsoft-com:office:smarttags" w:element="PlaceType">
          <w:r>
            <w:t>State</w:t>
          </w:r>
        </w:smartTag>
      </w:smartTag>
      <w:r>
        <w:t xml:space="preserve"> and therefore persons who require a visa will have to apply for a Schengen visa. In States where </w:t>
      </w:r>
      <w:smartTag w:uri="urn:schemas-microsoft-com:office:smarttags" w:element="country-region">
        <w:r>
          <w:t>Austria</w:t>
        </w:r>
      </w:smartTag>
      <w:r>
        <w:t xml:space="preserve"> has no diplomatic mission, visas can be obtained from the consular authority of a </w:t>
      </w:r>
      <w:smartTag w:uri="urn:schemas-microsoft-com:office:smarttags" w:element="PlaceName">
        <w:r>
          <w:t>Schengen</w:t>
        </w:r>
      </w:smartTag>
      <w:r>
        <w:t xml:space="preserve"> </w:t>
      </w:r>
      <w:smartTag w:uri="urn:schemas-microsoft-com:office:smarttags" w:element="PlaceName">
        <w:r>
          <w:t>Partner</w:t>
        </w:r>
      </w:smartTag>
      <w:r>
        <w:t xml:space="preserve"> </w:t>
      </w:r>
      <w:smartTag w:uri="urn:schemas-microsoft-com:office:smarttags" w:element="PlaceType">
        <w:r>
          <w:t>State</w:t>
        </w:r>
      </w:smartTag>
      <w:r>
        <w:t xml:space="preserve"> representing </w:t>
      </w:r>
      <w:smartTag w:uri="urn:schemas-microsoft-com:office:smarttags" w:element="place">
        <w:smartTag w:uri="urn:schemas-microsoft-com:office:smarttags" w:element="country-region">
          <w:r>
            <w:t>Austria</w:t>
          </w:r>
        </w:smartTag>
      </w:smartTag>
      <w:r>
        <w:t xml:space="preserve"> in the country in question.</w:t>
      </w:r>
    </w:p>
    <w:p w14:paraId="5D1AECF4" w14:textId="77777777" w:rsidR="00733D7D" w:rsidRPr="00F82C2F" w:rsidRDefault="00F82C2F" w:rsidP="00F82C2F">
      <w:pPr>
        <w:pStyle w:val="Heading1"/>
      </w:pPr>
      <w:r>
        <w:t>Channels of Communication</w:t>
      </w:r>
    </w:p>
    <w:p w14:paraId="6D012BCC" w14:textId="77777777" w:rsidR="00733D7D" w:rsidRDefault="00733D7D" w:rsidP="00F579AE">
      <w:pPr>
        <w:pStyle w:val="BodyText"/>
      </w:pPr>
      <w:r>
        <w:t>The Participation Form</w:t>
      </w:r>
      <w:r w:rsidR="00F579AE">
        <w:t xml:space="preserve"> (Form A)</w:t>
      </w:r>
      <w:r>
        <w:t xml:space="preserve"> and</w:t>
      </w:r>
      <w:r w:rsidR="00F579AE">
        <w:t>,</w:t>
      </w:r>
      <w:r>
        <w:t xml:space="preserve"> as applicable, the Form for Submission of a Paper</w:t>
      </w:r>
      <w:r w:rsidR="00F579AE">
        <w:t xml:space="preserve"> (Form B)</w:t>
      </w:r>
      <w:r>
        <w:t>, and the Grant Application Form</w:t>
      </w:r>
      <w:r w:rsidR="00F579AE">
        <w:t xml:space="preserve"> (Form C)</w:t>
      </w:r>
      <w:r>
        <w:t>, should be sent to the competent national authority (</w:t>
      </w:r>
      <w:r w:rsidR="00BF24FA">
        <w:t xml:space="preserve">usually the </w:t>
      </w:r>
      <w:r>
        <w:t>Ministry of Foreign Affairs</w:t>
      </w:r>
      <w:r w:rsidR="00F579AE">
        <w:t xml:space="preserve"> or</w:t>
      </w:r>
      <w:r>
        <w:t xml:space="preserve"> </w:t>
      </w:r>
      <w:r w:rsidR="00F579AE">
        <w:t>N</w:t>
      </w:r>
      <w:r>
        <w:t xml:space="preserve">ational </w:t>
      </w:r>
      <w:r w:rsidR="00F579AE">
        <w:t>A</w:t>
      </w:r>
      <w:r>
        <w:t xml:space="preserve">tomic </w:t>
      </w:r>
      <w:r w:rsidR="00F579AE">
        <w:t>E</w:t>
      </w:r>
      <w:r>
        <w:t xml:space="preserve">nergy </w:t>
      </w:r>
      <w:r w:rsidR="00F579AE">
        <w:t>A</w:t>
      </w:r>
      <w:r>
        <w:t>uthority) for official transmission to the IAEA.</w:t>
      </w:r>
    </w:p>
    <w:p w14:paraId="60FA252C" w14:textId="77777777" w:rsidR="00733D7D" w:rsidRDefault="00F82C2F" w:rsidP="00A86483">
      <w:pPr>
        <w:pStyle w:val="Heading1"/>
      </w:pPr>
      <w:r>
        <w:t>Key Deadlines</w:t>
      </w:r>
    </w:p>
    <w:p w14:paraId="7770F0C2" w14:textId="5FE7A316" w:rsidR="00733D7D" w:rsidRDefault="00B74E5E" w:rsidP="00A86483">
      <w:pPr>
        <w:pStyle w:val="BodyText"/>
        <w:widowControl w:val="0"/>
      </w:pPr>
      <w:r>
        <w:t xml:space="preserve">Submission of Form B and </w:t>
      </w:r>
      <w:r w:rsidR="00A727C1">
        <w:t>abstract</w:t>
      </w:r>
      <w:r w:rsidR="00733D7D">
        <w:t>:</w:t>
      </w:r>
      <w:r w:rsidR="00733D7D">
        <w:tab/>
      </w:r>
      <w:r w:rsidR="00AC2001">
        <w:rPr>
          <w:b/>
        </w:rPr>
        <w:tab/>
      </w:r>
      <w:r w:rsidR="00AC2001">
        <w:rPr>
          <w:b/>
        </w:rPr>
        <w:tab/>
      </w:r>
      <w:r w:rsidR="00A841A2">
        <w:rPr>
          <w:b/>
        </w:rPr>
        <w:t>1</w:t>
      </w:r>
      <w:r w:rsidR="00AC2001">
        <w:rPr>
          <w:b/>
        </w:rPr>
        <w:t xml:space="preserve"> November 2013</w:t>
      </w:r>
    </w:p>
    <w:p w14:paraId="42D13245" w14:textId="01FC749D" w:rsidR="00733D7D" w:rsidRDefault="00733D7D" w:rsidP="00A86483">
      <w:pPr>
        <w:pStyle w:val="BodyText"/>
        <w:widowControl w:val="0"/>
      </w:pPr>
      <w:r>
        <w:t>Submission of Form C:</w:t>
      </w:r>
      <w:r>
        <w:tab/>
      </w:r>
      <w:r>
        <w:tab/>
      </w:r>
      <w:r>
        <w:tab/>
      </w:r>
      <w:r>
        <w:tab/>
      </w:r>
      <w:r>
        <w:tab/>
      </w:r>
      <w:r w:rsidR="00A841A2">
        <w:rPr>
          <w:b/>
        </w:rPr>
        <w:t>1</w:t>
      </w:r>
      <w:r w:rsidR="00AC2001" w:rsidRPr="00AC2001">
        <w:rPr>
          <w:b/>
        </w:rPr>
        <w:t xml:space="preserve"> November 2013</w:t>
      </w:r>
      <w:r>
        <w:tab/>
      </w:r>
    </w:p>
    <w:p w14:paraId="6E825B34" w14:textId="59000928" w:rsidR="00733D7D" w:rsidRDefault="00733D7D" w:rsidP="00A86483">
      <w:pPr>
        <w:pStyle w:val="BodyText"/>
        <w:widowControl w:val="0"/>
      </w:pPr>
      <w:r>
        <w:t xml:space="preserve">Notification of acceptance of </w:t>
      </w:r>
      <w:r w:rsidR="00B654FE">
        <w:t>paper</w:t>
      </w:r>
      <w:r>
        <w:t>:</w:t>
      </w:r>
      <w:r>
        <w:tab/>
      </w:r>
      <w:r>
        <w:tab/>
      </w:r>
      <w:r>
        <w:tab/>
      </w:r>
      <w:r w:rsidR="00AC2001" w:rsidRPr="00AC2001">
        <w:rPr>
          <w:b/>
        </w:rPr>
        <w:t xml:space="preserve">end </w:t>
      </w:r>
      <w:r w:rsidR="00FE5877">
        <w:rPr>
          <w:b/>
        </w:rPr>
        <w:t xml:space="preserve">of </w:t>
      </w:r>
      <w:r w:rsidR="00AC2001" w:rsidRPr="00AC2001">
        <w:rPr>
          <w:b/>
        </w:rPr>
        <w:t>December 2013</w:t>
      </w:r>
    </w:p>
    <w:p w14:paraId="19F1C770" w14:textId="77777777" w:rsidR="00733D7D" w:rsidRDefault="00A727C1" w:rsidP="00A86483">
      <w:pPr>
        <w:pStyle w:val="Heading1"/>
        <w:keepNext/>
        <w:keepLines/>
      </w:pPr>
      <w:r>
        <w:lastRenderedPageBreak/>
        <w:t>Symposium</w:t>
      </w:r>
      <w:r w:rsidR="00F82C2F">
        <w:t xml:space="preserve"> Secretariat</w:t>
      </w:r>
    </w:p>
    <w:p w14:paraId="6B7CDC97" w14:textId="77777777" w:rsidR="00733D7D" w:rsidRDefault="00733D7D" w:rsidP="00A86483">
      <w:pPr>
        <w:pStyle w:val="Heading4"/>
        <w:keepNext/>
        <w:keepLines/>
        <w:spacing w:after="120"/>
      </w:pPr>
      <w:r>
        <w:t>Scientific Secretar</w:t>
      </w:r>
      <w:r w:rsidR="00A727C1">
        <w:t>ies</w:t>
      </w:r>
      <w:r>
        <w:t xml:space="preserve"> of the </w:t>
      </w:r>
      <w:r w:rsidR="00A727C1">
        <w:t>Symposium</w:t>
      </w:r>
      <w:r>
        <w:t>:</w:t>
      </w:r>
    </w:p>
    <w:p w14:paraId="302782F2" w14:textId="3F6C713F" w:rsidR="0046256E" w:rsidRDefault="0046256E" w:rsidP="00A86483">
      <w:pPr>
        <w:pStyle w:val="BodyText"/>
        <w:keepNext/>
        <w:keepLines/>
        <w:spacing w:after="0" w:line="240" w:lineRule="auto"/>
      </w:pPr>
      <w:r w:rsidRPr="00601424">
        <w:rPr>
          <w:b/>
          <w:bCs/>
        </w:rPr>
        <w:t xml:space="preserve">Ms </w:t>
      </w:r>
      <w:proofErr w:type="spellStart"/>
      <w:r w:rsidRPr="00601424">
        <w:rPr>
          <w:b/>
          <w:bCs/>
        </w:rPr>
        <w:t>Najat</w:t>
      </w:r>
      <w:proofErr w:type="spellEnd"/>
      <w:r w:rsidRPr="00601424">
        <w:rPr>
          <w:b/>
          <w:bCs/>
        </w:rPr>
        <w:t xml:space="preserve"> </w:t>
      </w:r>
      <w:proofErr w:type="spellStart"/>
      <w:r w:rsidRPr="00601424">
        <w:rPr>
          <w:b/>
          <w:bCs/>
        </w:rPr>
        <w:t>Mokhtar</w:t>
      </w:r>
      <w:proofErr w:type="spellEnd"/>
      <w:r>
        <w:t xml:space="preserve"> and </w:t>
      </w:r>
      <w:r w:rsidRPr="00601424">
        <w:rPr>
          <w:b/>
          <w:bCs/>
        </w:rPr>
        <w:t xml:space="preserve">Ms </w:t>
      </w:r>
      <w:r w:rsidR="00330CCE" w:rsidRPr="00601424">
        <w:rPr>
          <w:b/>
          <w:bCs/>
        </w:rPr>
        <w:t xml:space="preserve">Cornelia </w:t>
      </w:r>
      <w:proofErr w:type="spellStart"/>
      <w:r w:rsidR="00330CCE" w:rsidRPr="00601424">
        <w:rPr>
          <w:b/>
          <w:bCs/>
        </w:rPr>
        <w:t>Loechl</w:t>
      </w:r>
      <w:proofErr w:type="spellEnd"/>
    </w:p>
    <w:p w14:paraId="76D73B94" w14:textId="0DCEFE4B" w:rsidR="0046256E" w:rsidRDefault="0046256E" w:rsidP="00A86483">
      <w:pPr>
        <w:pStyle w:val="BodyText"/>
        <w:keepNext/>
        <w:keepLines/>
        <w:spacing w:after="0" w:line="240" w:lineRule="auto"/>
      </w:pPr>
      <w:r>
        <w:t>Nutritional and Health-</w:t>
      </w:r>
      <w:r w:rsidR="00B654FE">
        <w:t>R</w:t>
      </w:r>
      <w:r>
        <w:t>elated Environmental Studies Section</w:t>
      </w:r>
    </w:p>
    <w:p w14:paraId="3A15896A" w14:textId="77777777" w:rsidR="0046256E" w:rsidRDefault="0046256E" w:rsidP="00A86483">
      <w:pPr>
        <w:pStyle w:val="BodyText"/>
        <w:keepNext/>
        <w:keepLines/>
        <w:spacing w:after="0" w:line="240" w:lineRule="auto"/>
      </w:pPr>
      <w:r>
        <w:t>Division of Human Health</w:t>
      </w:r>
    </w:p>
    <w:p w14:paraId="5FDC9BCC" w14:textId="0E4AADF1" w:rsidR="00B654FE" w:rsidRDefault="00B654FE" w:rsidP="00A86483">
      <w:pPr>
        <w:pStyle w:val="BodyText"/>
        <w:keepNext/>
        <w:keepLines/>
        <w:spacing w:after="0" w:line="240" w:lineRule="auto"/>
      </w:pPr>
      <w:r>
        <w:t>Department of Nuclear Sciences and Applications</w:t>
      </w:r>
    </w:p>
    <w:p w14:paraId="67456984" w14:textId="727A7C0C" w:rsidR="00733D7D" w:rsidRDefault="00733D7D" w:rsidP="00A86483">
      <w:pPr>
        <w:pStyle w:val="BodyText"/>
        <w:keepNext/>
        <w:keepLines/>
        <w:spacing w:after="0" w:line="240" w:lineRule="auto"/>
      </w:pPr>
      <w:r>
        <w:t>International Atomic Energy Agency</w:t>
      </w:r>
      <w:r w:rsidR="00D219E7">
        <w:br/>
      </w:r>
      <w:r>
        <w:t>Tel</w:t>
      </w:r>
      <w:r w:rsidR="007841F4">
        <w:t>.: +43 1 2600</w:t>
      </w:r>
      <w:r w:rsidR="00330CCE">
        <w:t xml:space="preserve"> 21657 and 21635</w:t>
      </w:r>
      <w:r w:rsidR="00D219E7">
        <w:br/>
      </w:r>
      <w:r>
        <w:t xml:space="preserve">Email: </w:t>
      </w:r>
      <w:hyperlink r:id="rId10" w:history="1">
        <w:r w:rsidR="00330CCE" w:rsidRPr="009714FE">
          <w:rPr>
            <w:rStyle w:val="Hyperlink"/>
          </w:rPr>
          <w:t>N.Mokhtar@iaea.org</w:t>
        </w:r>
      </w:hyperlink>
      <w:r w:rsidR="00B654FE">
        <w:t xml:space="preserve"> and</w:t>
      </w:r>
      <w:r w:rsidR="00330CCE">
        <w:t xml:space="preserve"> </w:t>
      </w:r>
      <w:hyperlink r:id="rId11" w:history="1">
        <w:r w:rsidR="00330CCE" w:rsidRPr="009714FE">
          <w:rPr>
            <w:rStyle w:val="Hyperlink"/>
          </w:rPr>
          <w:t>C.Loechl@iaea.org</w:t>
        </w:r>
      </w:hyperlink>
    </w:p>
    <w:p w14:paraId="6CEDEE21" w14:textId="77777777" w:rsidR="00F579AE" w:rsidRPr="003341DE" w:rsidRDefault="00D219E7" w:rsidP="00B654FE">
      <w:pPr>
        <w:pStyle w:val="BodyText"/>
        <w:rPr>
          <w:b/>
          <w:bCs/>
          <w:sz w:val="24"/>
          <w:szCs w:val="24"/>
        </w:rPr>
      </w:pPr>
      <w:r>
        <w:br/>
      </w:r>
      <w:r w:rsidR="00A24B98" w:rsidRPr="003341DE">
        <w:rPr>
          <w:b/>
          <w:bCs/>
          <w:sz w:val="24"/>
          <w:szCs w:val="24"/>
        </w:rPr>
        <w:t>Assistance to Scientific Secretar</w:t>
      </w:r>
      <w:r w:rsidR="00A727C1">
        <w:rPr>
          <w:b/>
          <w:bCs/>
          <w:sz w:val="24"/>
          <w:szCs w:val="24"/>
        </w:rPr>
        <w:t>ies</w:t>
      </w:r>
      <w:r w:rsidR="00A24B98" w:rsidRPr="003341DE">
        <w:rPr>
          <w:b/>
          <w:bCs/>
          <w:sz w:val="24"/>
          <w:szCs w:val="24"/>
        </w:rPr>
        <w:t>:</w:t>
      </w:r>
    </w:p>
    <w:p w14:paraId="06723DEB" w14:textId="74297ED3" w:rsidR="00A24B98" w:rsidRDefault="00330CCE" w:rsidP="00A86483">
      <w:pPr>
        <w:pStyle w:val="BodyText"/>
        <w:spacing w:after="0"/>
      </w:pPr>
      <w:r w:rsidRPr="00601424">
        <w:rPr>
          <w:b/>
          <w:bCs/>
        </w:rPr>
        <w:t xml:space="preserve">Mr </w:t>
      </w:r>
      <w:proofErr w:type="spellStart"/>
      <w:r w:rsidRPr="00601424">
        <w:rPr>
          <w:b/>
          <w:bCs/>
        </w:rPr>
        <w:t>Tarik</w:t>
      </w:r>
      <w:proofErr w:type="spellEnd"/>
      <w:r w:rsidRPr="00601424">
        <w:rPr>
          <w:b/>
          <w:bCs/>
        </w:rPr>
        <w:t xml:space="preserve"> </w:t>
      </w:r>
      <w:proofErr w:type="spellStart"/>
      <w:r w:rsidRPr="00601424">
        <w:rPr>
          <w:b/>
          <w:bCs/>
        </w:rPr>
        <w:t>Becic</w:t>
      </w:r>
      <w:proofErr w:type="spellEnd"/>
      <w:r w:rsidR="00FE5877">
        <w:rPr>
          <w:b/>
          <w:bCs/>
        </w:rPr>
        <w:br/>
      </w:r>
      <w:r w:rsidR="0046256E">
        <w:t>Nutritional and Health-</w:t>
      </w:r>
      <w:r w:rsidR="00B654FE">
        <w:t>R</w:t>
      </w:r>
      <w:r w:rsidR="0046256E">
        <w:t>elated Environmental Studies Section</w:t>
      </w:r>
      <w:r w:rsidR="00FE5877">
        <w:br/>
      </w:r>
      <w:r w:rsidR="0046256E">
        <w:t>Division of Human Health</w:t>
      </w:r>
      <w:r w:rsidR="00B654FE">
        <w:br/>
        <w:t>Department of Nuclear Sciences and Applications</w:t>
      </w:r>
      <w:r w:rsidR="00FE5877">
        <w:br/>
      </w:r>
      <w:r w:rsidR="000D095D">
        <w:t>International Atomic Energy Agency</w:t>
      </w:r>
      <w:r w:rsidR="000D095D">
        <w:br/>
      </w:r>
      <w:r w:rsidR="00A24B98" w:rsidRPr="00A24B98">
        <w:t>T</w:t>
      </w:r>
      <w:r>
        <w:t>el.: +43 1 2600 26785</w:t>
      </w:r>
      <w:r w:rsidR="00A24B98" w:rsidRPr="00A24B98">
        <w:br/>
        <w:t xml:space="preserve">Email: </w:t>
      </w:r>
      <w:hyperlink r:id="rId12" w:history="1">
        <w:r w:rsidRPr="009714FE">
          <w:rPr>
            <w:rStyle w:val="Hyperlink"/>
          </w:rPr>
          <w:t>T.Becic@iaea.org</w:t>
        </w:r>
      </w:hyperlink>
      <w:r w:rsidR="00A24B98" w:rsidRPr="00A24B98">
        <w:br/>
      </w:r>
    </w:p>
    <w:p w14:paraId="67BE02E9" w14:textId="77777777" w:rsidR="00733D7D" w:rsidRPr="00E02D1C" w:rsidRDefault="00733D7D" w:rsidP="00723F01">
      <w:pPr>
        <w:pStyle w:val="Heading4"/>
        <w:spacing w:after="120"/>
      </w:pPr>
      <w:r w:rsidRPr="00E02D1C">
        <w:t>Administration and Organization:</w:t>
      </w:r>
    </w:p>
    <w:p w14:paraId="7F829ABA" w14:textId="55D9B6A3" w:rsidR="00733D7D" w:rsidRDefault="00D76881" w:rsidP="00F579AE">
      <w:pPr>
        <w:pStyle w:val="BodyText"/>
        <w:rPr>
          <w:rStyle w:val="Hyperlink"/>
        </w:rPr>
      </w:pPr>
      <w:r w:rsidRPr="00A86483">
        <w:rPr>
          <w:b/>
          <w:bCs/>
        </w:rPr>
        <w:t>Ms K</w:t>
      </w:r>
      <w:r w:rsidR="00F579AE" w:rsidRPr="00A86483">
        <w:rPr>
          <w:b/>
          <w:bCs/>
        </w:rPr>
        <w:t>aren</w:t>
      </w:r>
      <w:r w:rsidRPr="00A86483">
        <w:rPr>
          <w:b/>
          <w:bCs/>
        </w:rPr>
        <w:t xml:space="preserve"> Morrison</w:t>
      </w:r>
      <w:r w:rsidR="00D219E7">
        <w:br/>
      </w:r>
      <w:r w:rsidR="00733D7D">
        <w:t>Conference Services Section</w:t>
      </w:r>
      <w:r w:rsidR="00D219E7">
        <w:br/>
      </w:r>
      <w:r w:rsidR="00733D7D">
        <w:t>Division of Conference and Document Services</w:t>
      </w:r>
      <w:r w:rsidR="00B654FE">
        <w:br/>
        <w:t>Department of Management</w:t>
      </w:r>
      <w:r w:rsidR="00D219E7">
        <w:br/>
      </w:r>
      <w:r w:rsidR="00733D7D">
        <w:t>International Atomic Energy Agency</w:t>
      </w:r>
      <w:r w:rsidR="00D219E7">
        <w:br/>
      </w:r>
      <w:r w:rsidR="00733D7D">
        <w:t>Tel.: +43 1 2600 213</w:t>
      </w:r>
      <w:r>
        <w:t>17</w:t>
      </w:r>
      <w:r w:rsidR="00D219E7">
        <w:br/>
      </w:r>
      <w:r w:rsidR="00733D7D" w:rsidRPr="00D219E7">
        <w:t xml:space="preserve">Email: </w:t>
      </w:r>
      <w:hyperlink r:id="rId13" w:history="1">
        <w:r w:rsidR="00F579AE">
          <w:rPr>
            <w:rStyle w:val="Hyperlink"/>
          </w:rPr>
          <w:t>K.Morrison@iaea.org</w:t>
        </w:r>
      </w:hyperlink>
    </w:p>
    <w:p w14:paraId="5076DBF6" w14:textId="76B270F6" w:rsidR="005B737E" w:rsidRPr="00601424" w:rsidRDefault="005B737E" w:rsidP="00A86483">
      <w:pPr>
        <w:pStyle w:val="BodyText"/>
        <w:spacing w:after="0"/>
        <w:rPr>
          <w:rStyle w:val="Hyperlink"/>
          <w:color w:val="auto"/>
        </w:rPr>
      </w:pPr>
    </w:p>
    <w:p w14:paraId="7AE15916" w14:textId="0EDA5341" w:rsidR="005B737E" w:rsidRPr="0046256E" w:rsidRDefault="005B737E" w:rsidP="00B654FE">
      <w:pPr>
        <w:pStyle w:val="Heading4"/>
        <w:spacing w:after="120"/>
      </w:pPr>
      <w:r w:rsidRPr="0046256E">
        <w:t xml:space="preserve">IAEA Contact </w:t>
      </w:r>
      <w:r w:rsidR="00B654FE">
        <w:t>I</w:t>
      </w:r>
      <w:r w:rsidRPr="0046256E">
        <w:t>nformation:</w:t>
      </w:r>
    </w:p>
    <w:p w14:paraId="32239056" w14:textId="2EEB05C4" w:rsidR="005B737E" w:rsidRDefault="005B737E" w:rsidP="00601424">
      <w:pPr>
        <w:pStyle w:val="BodyText"/>
      </w:pPr>
      <w:r>
        <w:t>International Atomic Energy Agency</w:t>
      </w:r>
      <w:r>
        <w:br/>
        <w:t>Vienna International Centre</w:t>
      </w:r>
      <w:r>
        <w:br/>
        <w:t>PO Box 100</w:t>
      </w:r>
      <w:r>
        <w:br/>
        <w:t>1400 VIENNA,</w:t>
      </w:r>
      <w:r w:rsidR="00B654FE">
        <w:t xml:space="preserve"> </w:t>
      </w:r>
      <w:r>
        <w:t>AUSTRIA</w:t>
      </w:r>
      <w:r>
        <w:br/>
        <w:t>Tel.: +43 1 2600 (0) or extension</w:t>
      </w:r>
    </w:p>
    <w:p w14:paraId="196509F0" w14:textId="72EEB884" w:rsidR="005B737E" w:rsidRDefault="005B737E" w:rsidP="00601424">
      <w:pPr>
        <w:pStyle w:val="BodyText"/>
        <w:contextualSpacing/>
      </w:pPr>
      <w:r>
        <w:t>Fax: +43</w:t>
      </w:r>
      <w:r w:rsidR="00FE5877">
        <w:t xml:space="preserve"> </w:t>
      </w:r>
      <w:r>
        <w:t>1 26007</w:t>
      </w:r>
    </w:p>
    <w:p w14:paraId="543AF5BB" w14:textId="2E2F2F37" w:rsidR="005B737E" w:rsidRPr="00D219E7" w:rsidRDefault="005B737E" w:rsidP="00601424">
      <w:pPr>
        <w:pStyle w:val="BodyText"/>
        <w:contextualSpacing/>
      </w:pPr>
      <w:r>
        <w:t xml:space="preserve">Email: </w:t>
      </w:r>
      <w:hyperlink r:id="rId14" w:history="1">
        <w:r w:rsidR="00B654FE" w:rsidRPr="00F0024E">
          <w:rPr>
            <w:rStyle w:val="Hyperlink"/>
          </w:rPr>
          <w:t>official.mail@iaea.org</w:t>
        </w:r>
      </w:hyperlink>
      <w:r>
        <w:br/>
      </w:r>
    </w:p>
    <w:p w14:paraId="74F1F3F4" w14:textId="77777777" w:rsidR="00733D7D" w:rsidRDefault="00733D7D" w:rsidP="00F579AE">
      <w:pPr>
        <w:pStyle w:val="BodyText"/>
      </w:pPr>
      <w:r>
        <w:t>Subsequent correspondence on scientific matters should be sent to the Scientific Secretar</w:t>
      </w:r>
      <w:r w:rsidR="00F579AE">
        <w:t>ies</w:t>
      </w:r>
      <w:r>
        <w:t xml:space="preserve"> and correspondence on administrative matters to the IAEA Conference Services Section.</w:t>
      </w:r>
    </w:p>
    <w:p w14:paraId="0128BC80" w14:textId="119C08BD" w:rsidR="00733D7D" w:rsidRDefault="005F5A3D" w:rsidP="00B654FE">
      <w:pPr>
        <w:pStyle w:val="Heading1"/>
      </w:pPr>
      <w:r>
        <w:t>Symposium</w:t>
      </w:r>
      <w:r w:rsidR="00F82C2F">
        <w:t xml:space="preserve"> </w:t>
      </w:r>
      <w:r w:rsidR="00B654FE">
        <w:t>W</w:t>
      </w:r>
      <w:r w:rsidR="00F82C2F">
        <w:t xml:space="preserve">eb </w:t>
      </w:r>
      <w:r w:rsidR="00B654FE">
        <w:t>P</w:t>
      </w:r>
      <w:r w:rsidR="00F82C2F">
        <w:t>age</w:t>
      </w:r>
    </w:p>
    <w:p w14:paraId="12D41A59" w14:textId="0E2D7C0B" w:rsidR="00733D7D" w:rsidRDefault="00733D7D" w:rsidP="00F579AE">
      <w:pPr>
        <w:pStyle w:val="BodyText"/>
      </w:pPr>
      <w:r>
        <w:t xml:space="preserve">Please visit the IAEA </w:t>
      </w:r>
      <w:r w:rsidR="005F5A3D">
        <w:t>symposium</w:t>
      </w:r>
      <w:r>
        <w:t xml:space="preserve"> web page regularly for new information regarding this </w:t>
      </w:r>
      <w:r w:rsidR="005F5A3D">
        <w:t>symposium</w:t>
      </w:r>
      <w:r>
        <w:t>:</w:t>
      </w:r>
    </w:p>
    <w:p w14:paraId="17D3E450" w14:textId="295A8BF7" w:rsidR="0046256E" w:rsidRPr="00601424" w:rsidRDefault="00343FF1" w:rsidP="005A734F">
      <w:pPr>
        <w:pStyle w:val="BodyText"/>
        <w:rPr>
          <w:iCs/>
        </w:rPr>
      </w:pPr>
      <w:hyperlink r:id="rId15" w:history="1">
        <w:r w:rsidR="005A734F" w:rsidRPr="00601424">
          <w:rPr>
            <w:rStyle w:val="Hyperlink"/>
            <w:iCs/>
          </w:rPr>
          <w:t>http://www-pub.iaea.org/iaeameetings/46087/Understanding-Moderate-Malnutrition-in-Children</w:t>
        </w:r>
      </w:hyperlink>
    </w:p>
    <w:sectPr w:rsidR="0046256E" w:rsidRPr="00601424" w:rsidSect="00A52C7F">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993" w:right="1418" w:bottom="993" w:left="1418" w:header="539" w:footer="96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76EA1" w14:textId="77777777" w:rsidR="00321B78" w:rsidRDefault="00321B78">
      <w:r>
        <w:separator/>
      </w:r>
    </w:p>
  </w:endnote>
  <w:endnote w:type="continuationSeparator" w:id="0">
    <w:p w14:paraId="3DC26781" w14:textId="77777777" w:rsidR="00321B78" w:rsidRDefault="0032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6BF92" w14:textId="77777777" w:rsidR="000726B2" w:rsidRDefault="00321B78">
    <w:pPr>
      <w:pStyle w:val="zyxClassification1"/>
    </w:pPr>
    <w:r>
      <w:fldChar w:fldCharType="begin"/>
    </w:r>
    <w:r>
      <w:instrText xml:space="preserve"> DOCPROPERTY "IaeaClassification"  \* MERGEFORMAT </w:instrText>
    </w:r>
    <w:r>
      <w:fldChar w:fldCharType="end"/>
    </w:r>
  </w:p>
  <w:p w14:paraId="452049F0" w14:textId="77777777" w:rsidR="000726B2" w:rsidRDefault="00321B78">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8371D" w14:textId="77777777" w:rsidR="000726B2" w:rsidRDefault="00321B78">
    <w:pPr>
      <w:pStyle w:val="zyxClassification1"/>
    </w:pPr>
    <w:r>
      <w:fldChar w:fldCharType="begin"/>
    </w:r>
    <w:r>
      <w:instrText xml:space="preserve"> DOCPROPERTY "IaeaClassification"  \* MERGEFORMAT </w:instrText>
    </w:r>
    <w:r>
      <w:fldChar w:fldCharType="end"/>
    </w:r>
  </w:p>
  <w:p w14:paraId="75273A1D" w14:textId="77777777" w:rsidR="000726B2" w:rsidRDefault="00321B78">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0726B2" w14:paraId="1F308A85" w14:textId="77777777">
      <w:trPr>
        <w:cantSplit/>
      </w:trPr>
      <w:tc>
        <w:tcPr>
          <w:tcW w:w="4644" w:type="dxa"/>
        </w:tcPr>
        <w:p w14:paraId="314706F2" w14:textId="77777777" w:rsidR="000726B2" w:rsidRDefault="00321B78">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0CE24A55" w14:textId="77777777" w:rsidR="000726B2" w:rsidRDefault="00321B78">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tc>
        <w:tcPr>
          <w:tcW w:w="5670" w:type="dxa"/>
          <w:tcMar>
            <w:right w:w="249" w:type="dxa"/>
          </w:tcMar>
        </w:tcPr>
        <w:p w14:paraId="604A5F3E" w14:textId="77777777" w:rsidR="000726B2" w:rsidRDefault="000726B2">
          <w:pPr>
            <w:pStyle w:val="zyxConfidBlack"/>
            <w:framePr w:wrap="auto" w:vAnchor="margin" w:hAnchor="text" w:xAlign="left" w:yAlign="inline"/>
            <w:suppressOverlap w:val="0"/>
          </w:pPr>
          <w:bookmarkStart w:id="2" w:name="DOC_bkmClassification2"/>
        </w:p>
        <w:bookmarkEnd w:id="2"/>
        <w:p w14:paraId="2034A87D" w14:textId="77777777" w:rsidR="000726B2" w:rsidRDefault="000726B2">
          <w:pPr>
            <w:spacing w:after="20" w:line="220" w:lineRule="exact"/>
            <w:jc w:val="right"/>
            <w:rPr>
              <w:rFonts w:ascii="Arial" w:hAnsi="Arial" w:cs="Arial"/>
              <w:color w:val="FF0000"/>
            </w:rPr>
          </w:pPr>
        </w:p>
      </w:tc>
    </w:tr>
  </w:tbl>
  <w:p w14:paraId="243ED241" w14:textId="77777777" w:rsidR="000726B2" w:rsidRDefault="000726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D4471" w14:textId="77777777" w:rsidR="00321B78" w:rsidRDefault="00321B78">
      <w:r>
        <w:t>___________________________________________________________________________</w:t>
      </w:r>
    </w:p>
  </w:footnote>
  <w:footnote w:type="continuationSeparator" w:id="0">
    <w:p w14:paraId="266C7359" w14:textId="77777777" w:rsidR="00321B78" w:rsidRDefault="00321B78">
      <w:r>
        <w:t>___________________________________________________________________________</w:t>
      </w:r>
    </w:p>
  </w:footnote>
  <w:footnote w:type="continuationNotice" w:id="1">
    <w:p w14:paraId="5ED58F64" w14:textId="77777777" w:rsidR="00321B78" w:rsidRDefault="00321B78"/>
  </w:footnote>
  <w:footnote w:id="2">
    <w:p w14:paraId="24435F0B" w14:textId="64B206C9" w:rsidR="000726B2" w:rsidRDefault="000726B2" w:rsidP="005F5A3D">
      <w:pPr>
        <w:pStyle w:val="FootnoteText"/>
      </w:pPr>
      <w:r>
        <w:rPr>
          <w:rStyle w:val="FootnoteReference"/>
        </w:rPr>
        <w:footnoteRef/>
      </w:r>
      <w:r>
        <w:t xml:space="preserve"> See the special series of papers on maternal and child </w:t>
      </w:r>
      <w:proofErr w:type="spellStart"/>
      <w:r>
        <w:t>undernutrition</w:t>
      </w:r>
      <w:proofErr w:type="spellEnd"/>
      <w:r>
        <w:t xml:space="preserve"> published by </w:t>
      </w:r>
      <w:r>
        <w:rPr>
          <w:i/>
          <w:iCs/>
        </w:rPr>
        <w:t>The Lancet</w:t>
      </w:r>
      <w:r>
        <w:t xml:space="preserve"> in 2008. More details can be found on the following WHO web page</w:t>
      </w:r>
      <w:proofErr w:type="gramStart"/>
      <w:r>
        <w:t>:</w:t>
      </w:r>
      <w:proofErr w:type="gramEnd"/>
      <w:r>
        <w:br/>
      </w:r>
      <w:hyperlink r:id="rId1" w:history="1">
        <w:r w:rsidRPr="00F0024E">
          <w:rPr>
            <w:rStyle w:val="Hyperlink"/>
          </w:rPr>
          <w:t>http://www.who.int/nutrition/publications/lancetseries_maternal_and_childundernutrition/en/</w:t>
        </w:r>
      </w:hyperlink>
      <w:r>
        <w:t>.</w:t>
      </w:r>
    </w:p>
  </w:footnote>
  <w:footnote w:id="3">
    <w:p w14:paraId="54AEFBDB" w14:textId="0529DDBE" w:rsidR="000726B2" w:rsidRDefault="000726B2">
      <w:pPr>
        <w:pStyle w:val="FootnoteText"/>
      </w:pPr>
      <w:r>
        <w:rPr>
          <w:rStyle w:val="FootnoteReference"/>
        </w:rPr>
        <w:footnoteRef/>
      </w:r>
      <w:r>
        <w:t xml:space="preserve"> A z-score is the number of standard deviations below or above the reference median value.</w:t>
      </w:r>
    </w:p>
  </w:footnote>
  <w:footnote w:id="4">
    <w:p w14:paraId="4D606739" w14:textId="5A29AA72" w:rsidR="000726B2" w:rsidRPr="007A208F" w:rsidRDefault="000726B2" w:rsidP="007A208F">
      <w:pPr>
        <w:pStyle w:val="FootnoteText"/>
      </w:pPr>
      <w:r>
        <w:rPr>
          <w:rStyle w:val="FootnoteReference"/>
        </w:rPr>
        <w:footnoteRef/>
      </w:r>
      <w:r>
        <w:t xml:space="preserve"> See S. Horton, M. </w:t>
      </w:r>
      <w:proofErr w:type="spellStart"/>
      <w:r>
        <w:t>Shekar</w:t>
      </w:r>
      <w:proofErr w:type="spellEnd"/>
      <w:r>
        <w:t xml:space="preserve">, C. McDonald, A. </w:t>
      </w:r>
      <w:proofErr w:type="spellStart"/>
      <w:r>
        <w:t>Mahal</w:t>
      </w:r>
      <w:proofErr w:type="spellEnd"/>
      <w:r>
        <w:t xml:space="preserve">, J. K. Brooks, </w:t>
      </w:r>
      <w:r>
        <w:rPr>
          <w:i/>
          <w:iCs/>
        </w:rPr>
        <w:t>Scaling Up Nutrition. What Will It Cost?</w:t>
      </w:r>
      <w:r>
        <w:t xml:space="preserve"> (World Bank, 2010), p. xxiii. This publication is available online at</w:t>
      </w:r>
      <w:proofErr w:type="gramStart"/>
      <w:r>
        <w:t>:</w:t>
      </w:r>
      <w:proofErr w:type="gramEnd"/>
      <w:r>
        <w:br/>
      </w:r>
      <w:hyperlink r:id="rId2" w:history="1">
        <w:r w:rsidRPr="00F0024E">
          <w:rPr>
            <w:rStyle w:val="Hyperlink"/>
          </w:rPr>
          <w:t>http://siteresources.worldbank.org/HEALTHNUTRITIONANDPOPULATION/Resources/Peer-Reviewed-Publications/ScalingUpNutrition.pdf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736" w14:textId="77777777" w:rsidR="000726B2" w:rsidRDefault="000726B2">
    <w:pPr>
      <w:pStyle w:val="Header"/>
      <w:spacing w:after="0"/>
      <w:rPr>
        <w:sz w:val="8"/>
      </w:rPr>
    </w:pPr>
    <w:r>
      <w:br/>
      <w:t xml:space="preserve">Page </w:t>
    </w:r>
    <w:r>
      <w:fldChar w:fldCharType="begin"/>
    </w:r>
    <w:r>
      <w:instrText xml:space="preserve"> PAGE </w:instrText>
    </w:r>
    <w:r>
      <w:fldChar w:fldCharType="separate"/>
    </w:r>
    <w:r w:rsidR="00DE42A0">
      <w:rPr>
        <w:noProof/>
      </w:rPr>
      <w:t>8</w:t>
    </w:r>
    <w:r>
      <w:fldChar w:fldCharType="end"/>
    </w:r>
    <w:r>
      <w:br/>
    </w:r>
  </w:p>
  <w:p w14:paraId="45FF0827" w14:textId="77777777" w:rsidR="000726B2" w:rsidRDefault="00321B78">
    <w:pPr>
      <w:pStyle w:val="zyxClassification1"/>
    </w:pPr>
    <w:r>
      <w:fldChar w:fldCharType="begin"/>
    </w:r>
    <w:r>
      <w:instrText xml:space="preserve"> DOCPROPERTY "IaeaClassification"  \* MERGEFORMAT </w:instrText>
    </w:r>
    <w:r>
      <w:fldChar w:fldCharType="end"/>
    </w:r>
  </w:p>
  <w:p w14:paraId="63E88939" w14:textId="77777777" w:rsidR="000726B2" w:rsidRDefault="00321B78">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A4AEF" w14:textId="77777777" w:rsidR="000726B2" w:rsidRDefault="000726B2" w:rsidP="001B0EFB">
    <w:pPr>
      <w:pStyle w:val="Header"/>
      <w:spacing w:after="0"/>
      <w:jc w:val="right"/>
      <w:rPr>
        <w:sz w:val="8"/>
      </w:rPr>
    </w:pPr>
    <w:r>
      <w:t xml:space="preserve">Page </w:t>
    </w:r>
    <w:r>
      <w:fldChar w:fldCharType="begin"/>
    </w:r>
    <w:r>
      <w:instrText xml:space="preserve"> PAGE </w:instrText>
    </w:r>
    <w:r>
      <w:fldChar w:fldCharType="separate"/>
    </w:r>
    <w:r w:rsidR="00343FF1">
      <w:rPr>
        <w:noProof/>
      </w:rPr>
      <w:t>8</w:t>
    </w:r>
    <w:r>
      <w:fldChar w:fldCharType="end"/>
    </w:r>
  </w:p>
  <w:p w14:paraId="26E9A04C" w14:textId="77777777" w:rsidR="000726B2" w:rsidRDefault="000726B2">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0726B2" w14:paraId="1CBB74BB" w14:textId="77777777">
      <w:trPr>
        <w:cantSplit/>
        <w:trHeight w:val="716"/>
      </w:trPr>
      <w:tc>
        <w:tcPr>
          <w:tcW w:w="979" w:type="dxa"/>
          <w:vMerge w:val="restart"/>
        </w:tcPr>
        <w:p w14:paraId="36EBD709" w14:textId="77777777" w:rsidR="000726B2" w:rsidRDefault="000726B2">
          <w:pPr>
            <w:spacing w:before="180"/>
            <w:ind w:left="17"/>
          </w:pPr>
        </w:p>
      </w:tc>
      <w:tc>
        <w:tcPr>
          <w:tcW w:w="3638" w:type="dxa"/>
          <w:vAlign w:val="bottom"/>
        </w:tcPr>
        <w:p w14:paraId="10A53D54" w14:textId="77777777" w:rsidR="000726B2" w:rsidRDefault="000726B2">
          <w:pPr>
            <w:spacing w:after="20"/>
          </w:pPr>
        </w:p>
      </w:tc>
      <w:tc>
        <w:tcPr>
          <w:tcW w:w="5702" w:type="dxa"/>
          <w:vMerge w:val="restart"/>
          <w:tcMar>
            <w:right w:w="193" w:type="dxa"/>
          </w:tcMar>
        </w:tcPr>
        <w:p w14:paraId="2E2E76D0" w14:textId="77777777" w:rsidR="000726B2" w:rsidRDefault="000726B2">
          <w:pPr>
            <w:pStyle w:val="zyxConfidBlack"/>
            <w:framePr w:wrap="auto" w:vAnchor="margin" w:hAnchor="text" w:xAlign="left" w:yAlign="inline"/>
            <w:suppressOverlap w:val="0"/>
          </w:pPr>
          <w:bookmarkStart w:id="1" w:name="DOC_bkmClassification1"/>
        </w:p>
        <w:bookmarkEnd w:id="1"/>
        <w:p w14:paraId="4790E559" w14:textId="77777777" w:rsidR="000726B2" w:rsidRDefault="000726B2">
          <w:pPr>
            <w:pStyle w:val="zyxConfid2Red"/>
          </w:pPr>
        </w:p>
      </w:tc>
    </w:tr>
    <w:tr w:rsidR="000726B2" w14:paraId="16E2EAEE" w14:textId="77777777">
      <w:trPr>
        <w:cantSplit/>
        <w:trHeight w:val="167"/>
      </w:trPr>
      <w:tc>
        <w:tcPr>
          <w:tcW w:w="979" w:type="dxa"/>
          <w:vMerge/>
        </w:tcPr>
        <w:p w14:paraId="5E79E4E7" w14:textId="77777777" w:rsidR="000726B2" w:rsidRDefault="000726B2">
          <w:pPr>
            <w:spacing w:before="57"/>
          </w:pPr>
        </w:p>
      </w:tc>
      <w:tc>
        <w:tcPr>
          <w:tcW w:w="3638" w:type="dxa"/>
          <w:vAlign w:val="bottom"/>
        </w:tcPr>
        <w:p w14:paraId="054F49E3" w14:textId="77777777" w:rsidR="000726B2" w:rsidRDefault="000726B2">
          <w:pPr>
            <w:pStyle w:val="Heading9"/>
            <w:spacing w:before="0" w:after="10"/>
          </w:pPr>
        </w:p>
      </w:tc>
      <w:tc>
        <w:tcPr>
          <w:tcW w:w="5702" w:type="dxa"/>
          <w:vMerge/>
          <w:vAlign w:val="bottom"/>
        </w:tcPr>
        <w:p w14:paraId="4DD24662" w14:textId="77777777" w:rsidR="000726B2" w:rsidRDefault="000726B2">
          <w:pPr>
            <w:pStyle w:val="Heading9"/>
            <w:spacing w:before="0" w:after="10"/>
          </w:pPr>
        </w:p>
      </w:tc>
    </w:tr>
  </w:tbl>
  <w:p w14:paraId="1A5B7153" w14:textId="77777777" w:rsidR="000726B2" w:rsidRDefault="000726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6AE"/>
    <w:multiLevelType w:val="hybridMultilevel"/>
    <w:tmpl w:val="EC9C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62411A6"/>
    <w:multiLevelType w:val="hybridMultilevel"/>
    <w:tmpl w:val="7ADA6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4D7548"/>
    <w:multiLevelType w:val="hybridMultilevel"/>
    <w:tmpl w:val="054A61F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B54D34"/>
    <w:multiLevelType w:val="hybridMultilevel"/>
    <w:tmpl w:val="1C08D6F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26223085"/>
    <w:multiLevelType w:val="hybridMultilevel"/>
    <w:tmpl w:val="4510E11A"/>
    <w:lvl w:ilvl="0" w:tplc="08090001">
      <w:start w:val="1"/>
      <w:numFmt w:val="bullet"/>
      <w:lvlText w:val=""/>
      <w:lvlJc w:val="left"/>
      <w:pPr>
        <w:ind w:left="720" w:hanging="360"/>
      </w:pPr>
      <w:rPr>
        <w:rFonts w:ascii="Symbol" w:hAnsi="Symbol" w:hint="default"/>
        <w:strike w:val="0"/>
      </w:rPr>
    </w:lvl>
    <w:lvl w:ilvl="1" w:tplc="94D8C09C">
      <w:numFmt w:val="bullet"/>
      <w:lvlText w:val="•"/>
      <w:lvlJc w:val="left"/>
      <w:pPr>
        <w:ind w:left="1650" w:hanging="57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tentative="1">
      <w:start w:val="1"/>
      <w:numFmt w:val="bullet"/>
      <w:lvlText w:val=""/>
      <w:lvlJc w:val="left"/>
      <w:pPr>
        <w:tabs>
          <w:tab w:val="num" w:pos="1440"/>
        </w:tabs>
        <w:ind w:left="1440" w:hanging="360"/>
      </w:pPr>
      <w:rPr>
        <w:rFonts w:ascii="Wingdings" w:hAnsi="Wingdings" w:hint="default"/>
        <w:sz w:val="20"/>
      </w:rPr>
    </w:lvl>
    <w:lvl w:ilvl="2" w:tplc="0A9C6B90" w:tentative="1">
      <w:start w:val="1"/>
      <w:numFmt w:val="bullet"/>
      <w:lvlText w:val=""/>
      <w:lvlJc w:val="left"/>
      <w:pPr>
        <w:tabs>
          <w:tab w:val="num" w:pos="2160"/>
        </w:tabs>
        <w:ind w:left="2160" w:hanging="360"/>
      </w:pPr>
      <w:rPr>
        <w:rFonts w:ascii="Wingdings" w:hAnsi="Wingdings" w:hint="default"/>
        <w:sz w:val="20"/>
      </w:rPr>
    </w:lvl>
    <w:lvl w:ilvl="3" w:tplc="E190FCB8" w:tentative="1">
      <w:start w:val="1"/>
      <w:numFmt w:val="bullet"/>
      <w:lvlText w:val=""/>
      <w:lvlJc w:val="left"/>
      <w:pPr>
        <w:tabs>
          <w:tab w:val="num" w:pos="2880"/>
        </w:tabs>
        <w:ind w:left="2880" w:hanging="360"/>
      </w:pPr>
      <w:rPr>
        <w:rFonts w:ascii="Wingdings" w:hAnsi="Wingdings" w:hint="default"/>
        <w:sz w:val="20"/>
      </w:rPr>
    </w:lvl>
    <w:lvl w:ilvl="4" w:tplc="B48029F8" w:tentative="1">
      <w:start w:val="1"/>
      <w:numFmt w:val="bullet"/>
      <w:lvlText w:val=""/>
      <w:lvlJc w:val="left"/>
      <w:pPr>
        <w:tabs>
          <w:tab w:val="num" w:pos="3600"/>
        </w:tabs>
        <w:ind w:left="3600" w:hanging="360"/>
      </w:pPr>
      <w:rPr>
        <w:rFonts w:ascii="Wingdings" w:hAnsi="Wingdings" w:hint="default"/>
        <w:sz w:val="20"/>
      </w:rPr>
    </w:lvl>
    <w:lvl w:ilvl="5" w:tplc="5A389DC8" w:tentative="1">
      <w:start w:val="1"/>
      <w:numFmt w:val="bullet"/>
      <w:lvlText w:val=""/>
      <w:lvlJc w:val="left"/>
      <w:pPr>
        <w:tabs>
          <w:tab w:val="num" w:pos="4320"/>
        </w:tabs>
        <w:ind w:left="4320" w:hanging="360"/>
      </w:pPr>
      <w:rPr>
        <w:rFonts w:ascii="Wingdings" w:hAnsi="Wingdings" w:hint="default"/>
        <w:sz w:val="20"/>
      </w:rPr>
    </w:lvl>
    <w:lvl w:ilvl="6" w:tplc="71A8A79A" w:tentative="1">
      <w:start w:val="1"/>
      <w:numFmt w:val="bullet"/>
      <w:lvlText w:val=""/>
      <w:lvlJc w:val="left"/>
      <w:pPr>
        <w:tabs>
          <w:tab w:val="num" w:pos="5040"/>
        </w:tabs>
        <w:ind w:left="5040" w:hanging="360"/>
      </w:pPr>
      <w:rPr>
        <w:rFonts w:ascii="Wingdings" w:hAnsi="Wingdings" w:hint="default"/>
        <w:sz w:val="20"/>
      </w:rPr>
    </w:lvl>
    <w:lvl w:ilvl="7" w:tplc="5F943F0E" w:tentative="1">
      <w:start w:val="1"/>
      <w:numFmt w:val="bullet"/>
      <w:lvlText w:val=""/>
      <w:lvlJc w:val="left"/>
      <w:pPr>
        <w:tabs>
          <w:tab w:val="num" w:pos="5760"/>
        </w:tabs>
        <w:ind w:left="5760" w:hanging="360"/>
      </w:pPr>
      <w:rPr>
        <w:rFonts w:ascii="Wingdings" w:hAnsi="Wingdings" w:hint="default"/>
        <w:sz w:val="20"/>
      </w:rPr>
    </w:lvl>
    <w:lvl w:ilvl="8" w:tplc="852EB582"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nsid w:val="32D30028"/>
    <w:multiLevelType w:val="hybridMultilevel"/>
    <w:tmpl w:val="892A8272"/>
    <w:lvl w:ilvl="0" w:tplc="C596917E">
      <w:start w:val="1"/>
      <w:numFmt w:val="decimal"/>
      <w:lvlText w:val="%1."/>
      <w:lvlJc w:val="left"/>
      <w:pPr>
        <w:ind w:left="360" w:hanging="360"/>
      </w:pPr>
      <w:rPr>
        <w:rFonts w:hint="default"/>
        <w:strike w:val="0"/>
      </w:rPr>
    </w:lvl>
    <w:lvl w:ilvl="1" w:tplc="94D8C09C">
      <w:numFmt w:val="bullet"/>
      <w:lvlText w:val="•"/>
      <w:lvlJc w:val="left"/>
      <w:pPr>
        <w:ind w:left="1290" w:hanging="570"/>
      </w:pPr>
      <w:rPr>
        <w:rFonts w:ascii="Times New Roman" w:eastAsia="Times New Roman"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B71C37"/>
    <w:multiLevelType w:val="hybridMultilevel"/>
    <w:tmpl w:val="768C7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124ECC"/>
    <w:multiLevelType w:val="hybridMultilevel"/>
    <w:tmpl w:val="58DC55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3E12E6"/>
    <w:multiLevelType w:val="hybridMultilevel"/>
    <w:tmpl w:val="5BA8BB12"/>
    <w:lvl w:ilvl="0" w:tplc="AC8875CA">
      <w:start w:val="1"/>
      <w:numFmt w:val="bullet"/>
      <w:lvlText w:val="-"/>
      <w:lvlJc w:val="left"/>
      <w:pPr>
        <w:ind w:left="1001" w:hanging="360"/>
      </w:pPr>
      <w:rPr>
        <w:rFonts w:ascii="Times New Roman" w:eastAsia="Times New Roman" w:hAnsi="Times New Roman" w:cs="Times New Roman"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5">
    <w:nsid w:val="608F061E"/>
    <w:multiLevelType w:val="hybridMultilevel"/>
    <w:tmpl w:val="8502143C"/>
    <w:lvl w:ilvl="0" w:tplc="0809000F">
      <w:start w:val="1"/>
      <w:numFmt w:val="decimal"/>
      <w:lvlText w:val="%1."/>
      <w:lvlJc w:val="left"/>
      <w:pPr>
        <w:ind w:left="720" w:hanging="360"/>
      </w:pPr>
    </w:lvl>
    <w:lvl w:ilvl="1" w:tplc="94D8C09C">
      <w:numFmt w:val="bullet"/>
      <w:lvlText w:val="•"/>
      <w:lvlJc w:val="left"/>
      <w:pPr>
        <w:ind w:left="1650" w:hanging="57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D51093"/>
    <w:multiLevelType w:val="multilevel"/>
    <w:tmpl w:val="3C96AECA"/>
    <w:name w:val="HeadingTemplate"/>
    <w:lvl w:ilvl="0">
      <w:start w:val="1"/>
      <w:numFmt w:val="upperLetter"/>
      <w:lvlRestart w:val="0"/>
      <w:pStyle w:val="Heading1"/>
      <w:lvlText w:val="%1."/>
      <w:lvlJc w:val="left"/>
      <w:pPr>
        <w:tabs>
          <w:tab w:val="num" w:pos="601"/>
        </w:tabs>
        <w:ind w:left="142"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7">
    <w:nsid w:val="71F45EBF"/>
    <w:multiLevelType w:val="hybridMultilevel"/>
    <w:tmpl w:val="A7CE2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4"/>
  </w:num>
  <w:num w:numId="3">
    <w:abstractNumId w:val="16"/>
  </w:num>
  <w:num w:numId="4">
    <w:abstractNumId w:val="16"/>
  </w:num>
  <w:num w:numId="5">
    <w:abstractNumId w:val="16"/>
  </w:num>
  <w:num w:numId="6">
    <w:abstractNumId w:val="8"/>
  </w:num>
  <w:num w:numId="7">
    <w:abstractNumId w:val="13"/>
  </w:num>
  <w:num w:numId="8">
    <w:abstractNumId w:val="18"/>
  </w:num>
  <w:num w:numId="9">
    <w:abstractNumId w:val="1"/>
  </w:num>
  <w:num w:numId="10">
    <w:abstractNumId w:val="16"/>
  </w:num>
  <w:num w:numId="11">
    <w:abstractNumId w:val="2"/>
  </w:num>
  <w:num w:numId="12">
    <w:abstractNumId w:val="3"/>
  </w:num>
  <w:num w:numId="13">
    <w:abstractNumId w:val="10"/>
  </w:num>
  <w:num w:numId="14">
    <w:abstractNumId w:val="1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num>
  <w:num w:numId="18">
    <w:abstractNumId w:val="9"/>
  </w:num>
  <w:num w:numId="19">
    <w:abstractNumId w:val="14"/>
  </w:num>
  <w:num w:numId="20">
    <w:abstractNumId w:val="11"/>
  </w:num>
  <w:num w:numId="21">
    <w:abstractNumId w:val="7"/>
  </w:num>
  <w:num w:numId="22">
    <w:abstractNumId w:val="16"/>
    <w:lvlOverride w:ilvl="0">
      <w:startOverride w:val="3"/>
    </w:lvlOverride>
  </w:num>
  <w:num w:numId="23">
    <w:abstractNumId w:val="6"/>
  </w:num>
  <w:num w:numId="24">
    <w:abstractNumId w:val="5"/>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733D7D"/>
    <w:rsid w:val="00036C10"/>
    <w:rsid w:val="00044D9E"/>
    <w:rsid w:val="000675C1"/>
    <w:rsid w:val="000726B2"/>
    <w:rsid w:val="0009623D"/>
    <w:rsid w:val="000B290A"/>
    <w:rsid w:val="000D095D"/>
    <w:rsid w:val="000E7936"/>
    <w:rsid w:val="000F6D1F"/>
    <w:rsid w:val="00110F9E"/>
    <w:rsid w:val="0014118B"/>
    <w:rsid w:val="00147515"/>
    <w:rsid w:val="00156C4A"/>
    <w:rsid w:val="00175731"/>
    <w:rsid w:val="001838A6"/>
    <w:rsid w:val="00193CB8"/>
    <w:rsid w:val="00194967"/>
    <w:rsid w:val="00197798"/>
    <w:rsid w:val="001B0EFB"/>
    <w:rsid w:val="001B4251"/>
    <w:rsid w:val="001C18B1"/>
    <w:rsid w:val="001C3D9A"/>
    <w:rsid w:val="001F5094"/>
    <w:rsid w:val="0020182F"/>
    <w:rsid w:val="00205242"/>
    <w:rsid w:val="00212178"/>
    <w:rsid w:val="00220B3F"/>
    <w:rsid w:val="00223FEB"/>
    <w:rsid w:val="002362B8"/>
    <w:rsid w:val="002458DB"/>
    <w:rsid w:val="00245D80"/>
    <w:rsid w:val="00247802"/>
    <w:rsid w:val="002531B0"/>
    <w:rsid w:val="00261CCC"/>
    <w:rsid w:val="00263DD2"/>
    <w:rsid w:val="002820A3"/>
    <w:rsid w:val="002A25AD"/>
    <w:rsid w:val="002C216A"/>
    <w:rsid w:val="002D3931"/>
    <w:rsid w:val="002D4E49"/>
    <w:rsid w:val="0030544B"/>
    <w:rsid w:val="00312460"/>
    <w:rsid w:val="003170C9"/>
    <w:rsid w:val="00321B78"/>
    <w:rsid w:val="00330CCE"/>
    <w:rsid w:val="003341DE"/>
    <w:rsid w:val="00343E7E"/>
    <w:rsid w:val="00343FF1"/>
    <w:rsid w:val="0034442C"/>
    <w:rsid w:val="003541B9"/>
    <w:rsid w:val="00354354"/>
    <w:rsid w:val="00355565"/>
    <w:rsid w:val="00361B07"/>
    <w:rsid w:val="00367EE0"/>
    <w:rsid w:val="003A4D71"/>
    <w:rsid w:val="003E0F83"/>
    <w:rsid w:val="003E338E"/>
    <w:rsid w:val="00417E1C"/>
    <w:rsid w:val="00423668"/>
    <w:rsid w:val="00423A98"/>
    <w:rsid w:val="00423EB7"/>
    <w:rsid w:val="004259CF"/>
    <w:rsid w:val="0043401E"/>
    <w:rsid w:val="0045153E"/>
    <w:rsid w:val="004605D4"/>
    <w:rsid w:val="0046256E"/>
    <w:rsid w:val="00482738"/>
    <w:rsid w:val="004A4E41"/>
    <w:rsid w:val="004B7646"/>
    <w:rsid w:val="004B780D"/>
    <w:rsid w:val="004D3700"/>
    <w:rsid w:val="00506CCE"/>
    <w:rsid w:val="005411AA"/>
    <w:rsid w:val="005612CD"/>
    <w:rsid w:val="00565EC8"/>
    <w:rsid w:val="005833A2"/>
    <w:rsid w:val="005942C2"/>
    <w:rsid w:val="005978F0"/>
    <w:rsid w:val="00597BFB"/>
    <w:rsid w:val="005A251B"/>
    <w:rsid w:val="005A734F"/>
    <w:rsid w:val="005B2C5F"/>
    <w:rsid w:val="005B737E"/>
    <w:rsid w:val="005D13F8"/>
    <w:rsid w:val="005E4F9B"/>
    <w:rsid w:val="005F5A3D"/>
    <w:rsid w:val="0060103D"/>
    <w:rsid w:val="00601424"/>
    <w:rsid w:val="00601D91"/>
    <w:rsid w:val="00606404"/>
    <w:rsid w:val="00654FDF"/>
    <w:rsid w:val="00660007"/>
    <w:rsid w:val="00682EC8"/>
    <w:rsid w:val="00685FB0"/>
    <w:rsid w:val="006919B5"/>
    <w:rsid w:val="006C5C95"/>
    <w:rsid w:val="006D7D22"/>
    <w:rsid w:val="006F053F"/>
    <w:rsid w:val="006F3244"/>
    <w:rsid w:val="00702B07"/>
    <w:rsid w:val="0070771A"/>
    <w:rsid w:val="00712273"/>
    <w:rsid w:val="00713479"/>
    <w:rsid w:val="00723F01"/>
    <w:rsid w:val="007269E5"/>
    <w:rsid w:val="0073230C"/>
    <w:rsid w:val="00733D7D"/>
    <w:rsid w:val="00782B34"/>
    <w:rsid w:val="007841F4"/>
    <w:rsid w:val="00787121"/>
    <w:rsid w:val="007A208F"/>
    <w:rsid w:val="007A4FBD"/>
    <w:rsid w:val="007C0A3B"/>
    <w:rsid w:val="007D03F1"/>
    <w:rsid w:val="007D0B5E"/>
    <w:rsid w:val="007D727D"/>
    <w:rsid w:val="007D797F"/>
    <w:rsid w:val="007F0C59"/>
    <w:rsid w:val="00805F93"/>
    <w:rsid w:val="00812D12"/>
    <w:rsid w:val="00823832"/>
    <w:rsid w:val="0082545A"/>
    <w:rsid w:val="00844AD3"/>
    <w:rsid w:val="00846CB6"/>
    <w:rsid w:val="0085179E"/>
    <w:rsid w:val="008840E5"/>
    <w:rsid w:val="008958D5"/>
    <w:rsid w:val="00895CCD"/>
    <w:rsid w:val="008A07F1"/>
    <w:rsid w:val="008B114F"/>
    <w:rsid w:val="008B4FC5"/>
    <w:rsid w:val="008B7481"/>
    <w:rsid w:val="008C15A2"/>
    <w:rsid w:val="008C4AB5"/>
    <w:rsid w:val="008D190A"/>
    <w:rsid w:val="008D2392"/>
    <w:rsid w:val="009154D7"/>
    <w:rsid w:val="00924EC4"/>
    <w:rsid w:val="009267EE"/>
    <w:rsid w:val="00945289"/>
    <w:rsid w:val="00954A6D"/>
    <w:rsid w:val="00962B12"/>
    <w:rsid w:val="00971935"/>
    <w:rsid w:val="0097458D"/>
    <w:rsid w:val="009B3446"/>
    <w:rsid w:val="009C79C4"/>
    <w:rsid w:val="009D10A1"/>
    <w:rsid w:val="00A20FFC"/>
    <w:rsid w:val="00A24B98"/>
    <w:rsid w:val="00A27349"/>
    <w:rsid w:val="00A327BF"/>
    <w:rsid w:val="00A476F6"/>
    <w:rsid w:val="00A5203C"/>
    <w:rsid w:val="00A52C7F"/>
    <w:rsid w:val="00A6270B"/>
    <w:rsid w:val="00A727C1"/>
    <w:rsid w:val="00A757B1"/>
    <w:rsid w:val="00A841A2"/>
    <w:rsid w:val="00A86483"/>
    <w:rsid w:val="00AA5FB8"/>
    <w:rsid w:val="00AA6B71"/>
    <w:rsid w:val="00AB25AC"/>
    <w:rsid w:val="00AC2001"/>
    <w:rsid w:val="00AC34CA"/>
    <w:rsid w:val="00AC396E"/>
    <w:rsid w:val="00AC663F"/>
    <w:rsid w:val="00AD6D6D"/>
    <w:rsid w:val="00AE0EBA"/>
    <w:rsid w:val="00B01AA1"/>
    <w:rsid w:val="00B20954"/>
    <w:rsid w:val="00B309E4"/>
    <w:rsid w:val="00B4451B"/>
    <w:rsid w:val="00B450AA"/>
    <w:rsid w:val="00B654FE"/>
    <w:rsid w:val="00B74E5E"/>
    <w:rsid w:val="00B81FA9"/>
    <w:rsid w:val="00B95F39"/>
    <w:rsid w:val="00BB3C37"/>
    <w:rsid w:val="00BC2827"/>
    <w:rsid w:val="00BC7EEE"/>
    <w:rsid w:val="00BE0A3A"/>
    <w:rsid w:val="00BE6F22"/>
    <w:rsid w:val="00BF24FA"/>
    <w:rsid w:val="00BF7510"/>
    <w:rsid w:val="00C0234B"/>
    <w:rsid w:val="00C07D14"/>
    <w:rsid w:val="00C15551"/>
    <w:rsid w:val="00C155E0"/>
    <w:rsid w:val="00C2565A"/>
    <w:rsid w:val="00C476AC"/>
    <w:rsid w:val="00C506D5"/>
    <w:rsid w:val="00C7021C"/>
    <w:rsid w:val="00C82B47"/>
    <w:rsid w:val="00C91D08"/>
    <w:rsid w:val="00C9204F"/>
    <w:rsid w:val="00C93106"/>
    <w:rsid w:val="00C95F5B"/>
    <w:rsid w:val="00CA4EDC"/>
    <w:rsid w:val="00CB4343"/>
    <w:rsid w:val="00CB6767"/>
    <w:rsid w:val="00CC605C"/>
    <w:rsid w:val="00CD1B47"/>
    <w:rsid w:val="00CE4185"/>
    <w:rsid w:val="00CE601E"/>
    <w:rsid w:val="00CE7785"/>
    <w:rsid w:val="00CF00C8"/>
    <w:rsid w:val="00CF5647"/>
    <w:rsid w:val="00D07FC3"/>
    <w:rsid w:val="00D11AE0"/>
    <w:rsid w:val="00D219E7"/>
    <w:rsid w:val="00D23353"/>
    <w:rsid w:val="00D24795"/>
    <w:rsid w:val="00D556A2"/>
    <w:rsid w:val="00D57514"/>
    <w:rsid w:val="00D60BB7"/>
    <w:rsid w:val="00D70BAD"/>
    <w:rsid w:val="00D76881"/>
    <w:rsid w:val="00D95717"/>
    <w:rsid w:val="00DA7457"/>
    <w:rsid w:val="00DB110D"/>
    <w:rsid w:val="00DB11C5"/>
    <w:rsid w:val="00DE42A0"/>
    <w:rsid w:val="00E02D1C"/>
    <w:rsid w:val="00E065ED"/>
    <w:rsid w:val="00E1214B"/>
    <w:rsid w:val="00E1459A"/>
    <w:rsid w:val="00E55257"/>
    <w:rsid w:val="00E66F92"/>
    <w:rsid w:val="00E75713"/>
    <w:rsid w:val="00E8186D"/>
    <w:rsid w:val="00E82132"/>
    <w:rsid w:val="00E970C6"/>
    <w:rsid w:val="00E97783"/>
    <w:rsid w:val="00EA165A"/>
    <w:rsid w:val="00EB0220"/>
    <w:rsid w:val="00EB45A4"/>
    <w:rsid w:val="00ED0729"/>
    <w:rsid w:val="00EE04A3"/>
    <w:rsid w:val="00EE433C"/>
    <w:rsid w:val="00EF5766"/>
    <w:rsid w:val="00EF71EE"/>
    <w:rsid w:val="00F17703"/>
    <w:rsid w:val="00F35004"/>
    <w:rsid w:val="00F46EB0"/>
    <w:rsid w:val="00F579AE"/>
    <w:rsid w:val="00F7133B"/>
    <w:rsid w:val="00F82C2F"/>
    <w:rsid w:val="00F93732"/>
    <w:rsid w:val="00FA0B83"/>
    <w:rsid w:val="00FA381B"/>
    <w:rsid w:val="00FC2B51"/>
    <w:rsid w:val="00FD1191"/>
    <w:rsid w:val="00FD20E6"/>
    <w:rsid w:val="00FE5877"/>
    <w:rsid w:val="00FE64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2289"/>
    <o:shapelayout v:ext="edit">
      <o:idmap v:ext="edit" data="1"/>
    </o:shapelayout>
  </w:shapeDefaults>
  <w:decimalSymbol w:val="."/>
  <w:listSeparator w:val=","/>
  <w14:docId w14:val="5E7B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pPr>
      <w:widowControl w:val="0"/>
      <w:numPr>
        <w:numId w:val="3"/>
      </w:numPr>
      <w:tabs>
        <w:tab w:val="clear" w:pos="601"/>
        <w:tab w:val="num" w:pos="459"/>
      </w:tabs>
      <w:spacing w:before="851" w:after="390" w:line="360" w:lineRule="exact"/>
      <w:ind w:left="0"/>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val="en-GB" w:eastAsia="en-US" w:bidi="ar-SA"/>
    </w:rPr>
  </w:style>
  <w:style w:type="character" w:customStyle="1" w:styleId="Heading1Char">
    <w:name w:val="Heading 1 Char"/>
    <w:link w:val="Heading1"/>
    <w:rsid w:val="00F82C2F"/>
    <w:rPr>
      <w:b/>
      <w:sz w:val="32"/>
      <w:lang w:eastAsia="en-US"/>
    </w:rPr>
  </w:style>
  <w:style w:type="character" w:styleId="Hyperlink">
    <w:name w:val="Hyperlink"/>
    <w:rsid w:val="00F82C2F"/>
    <w:rPr>
      <w:color w:val="0000FF"/>
      <w:u w:val="single"/>
    </w:rPr>
  </w:style>
  <w:style w:type="character" w:customStyle="1" w:styleId="BodyTextChar">
    <w:name w:val="Body Text Char"/>
    <w:link w:val="BodyText"/>
    <w:rsid w:val="00DB11C5"/>
    <w:rPr>
      <w:sz w:val="22"/>
      <w:lang w:eastAsia="en-US"/>
    </w:rPr>
  </w:style>
  <w:style w:type="paragraph" w:styleId="BalloonText">
    <w:name w:val="Balloon Text"/>
    <w:basedOn w:val="Normal"/>
    <w:link w:val="BalloonTextChar"/>
    <w:rsid w:val="0043401E"/>
    <w:rPr>
      <w:rFonts w:ascii="Tahoma" w:hAnsi="Tahoma" w:cs="Tahoma"/>
      <w:sz w:val="16"/>
      <w:szCs w:val="16"/>
    </w:rPr>
  </w:style>
  <w:style w:type="character" w:customStyle="1" w:styleId="BalloonTextChar">
    <w:name w:val="Balloon Text Char"/>
    <w:link w:val="BalloonText"/>
    <w:rsid w:val="0043401E"/>
    <w:rPr>
      <w:rFonts w:ascii="Tahoma" w:hAnsi="Tahoma" w:cs="Tahoma"/>
      <w:sz w:val="16"/>
      <w:szCs w:val="16"/>
      <w:lang w:eastAsia="en-US"/>
    </w:rPr>
  </w:style>
  <w:style w:type="character" w:styleId="CommentReference">
    <w:name w:val="annotation reference"/>
    <w:rsid w:val="0030544B"/>
    <w:rPr>
      <w:sz w:val="16"/>
      <w:szCs w:val="16"/>
    </w:rPr>
  </w:style>
  <w:style w:type="paragraph" w:styleId="CommentText">
    <w:name w:val="annotation text"/>
    <w:basedOn w:val="Normal"/>
    <w:link w:val="CommentTextChar"/>
    <w:rsid w:val="0030544B"/>
    <w:rPr>
      <w:sz w:val="20"/>
    </w:rPr>
  </w:style>
  <w:style w:type="character" w:customStyle="1" w:styleId="CommentTextChar">
    <w:name w:val="Comment Text Char"/>
    <w:link w:val="CommentText"/>
    <w:rsid w:val="0030544B"/>
    <w:rPr>
      <w:lang w:eastAsia="en-US"/>
    </w:rPr>
  </w:style>
  <w:style w:type="paragraph" w:styleId="CommentSubject">
    <w:name w:val="annotation subject"/>
    <w:basedOn w:val="CommentText"/>
    <w:next w:val="CommentText"/>
    <w:link w:val="CommentSubjectChar"/>
    <w:rsid w:val="0030544B"/>
    <w:rPr>
      <w:b/>
      <w:bCs/>
    </w:rPr>
  </w:style>
  <w:style w:type="character" w:customStyle="1" w:styleId="CommentSubjectChar">
    <w:name w:val="Comment Subject Char"/>
    <w:link w:val="CommentSubject"/>
    <w:rsid w:val="0030544B"/>
    <w:rPr>
      <w:b/>
      <w:bCs/>
      <w:lang w:eastAsia="en-US"/>
    </w:rPr>
  </w:style>
  <w:style w:type="character" w:customStyle="1" w:styleId="LETT2">
    <w:name w:val="LETT2"/>
    <w:rsid w:val="00A24B98"/>
  </w:style>
  <w:style w:type="paragraph" w:styleId="Revision">
    <w:name w:val="Revision"/>
    <w:hidden/>
    <w:uiPriority w:val="99"/>
    <w:semiHidden/>
    <w:rsid w:val="00C9204F"/>
    <w:rPr>
      <w:sz w:val="22"/>
      <w:lang w:eastAsia="en-US"/>
    </w:rPr>
  </w:style>
  <w:style w:type="character" w:styleId="FollowedHyperlink">
    <w:name w:val="FollowedHyperlink"/>
    <w:basedOn w:val="DefaultParagraphFont"/>
    <w:rsid w:val="00F579AE"/>
    <w:rPr>
      <w:color w:val="800080" w:themeColor="followedHyperlink"/>
      <w:u w:val="single"/>
    </w:rPr>
  </w:style>
  <w:style w:type="paragraph" w:styleId="ListParagraph">
    <w:name w:val="List Paragraph"/>
    <w:basedOn w:val="Normal"/>
    <w:uiPriority w:val="34"/>
    <w:qFormat/>
    <w:rsid w:val="006D7D22"/>
    <w:pPr>
      <w:ind w:left="720"/>
      <w:contextualSpacing/>
    </w:pPr>
  </w:style>
  <w:style w:type="paragraph" w:customStyle="1" w:styleId="PDSReportSubTitle">
    <w:name w:val="_PDS_ReportSubTitle"/>
    <w:basedOn w:val="Heading6"/>
    <w:rsid w:val="00B95F39"/>
    <w:pPr>
      <w:spacing w:before="0" w:after="0"/>
      <w:jc w:val="center"/>
    </w:pPr>
    <w:rPr>
      <w:szCs w:val="20"/>
      <w:u w:val="single"/>
    </w:rPr>
  </w:style>
  <w:style w:type="paragraph" w:styleId="NormalWeb">
    <w:name w:val="Normal (Web)"/>
    <w:basedOn w:val="Normal"/>
    <w:rsid w:val="005B2C5F"/>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pPr>
      <w:widowControl w:val="0"/>
      <w:numPr>
        <w:numId w:val="3"/>
      </w:numPr>
      <w:tabs>
        <w:tab w:val="clear" w:pos="601"/>
        <w:tab w:val="num" w:pos="459"/>
      </w:tabs>
      <w:spacing w:before="851" w:after="390" w:line="360" w:lineRule="exact"/>
      <w:ind w:left="0"/>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val="en-GB" w:eastAsia="en-US" w:bidi="ar-SA"/>
    </w:rPr>
  </w:style>
  <w:style w:type="character" w:customStyle="1" w:styleId="Heading1Char">
    <w:name w:val="Heading 1 Char"/>
    <w:link w:val="Heading1"/>
    <w:rsid w:val="00F82C2F"/>
    <w:rPr>
      <w:b/>
      <w:sz w:val="32"/>
      <w:lang w:eastAsia="en-US"/>
    </w:rPr>
  </w:style>
  <w:style w:type="character" w:styleId="Hyperlink">
    <w:name w:val="Hyperlink"/>
    <w:rsid w:val="00F82C2F"/>
    <w:rPr>
      <w:color w:val="0000FF"/>
      <w:u w:val="single"/>
    </w:rPr>
  </w:style>
  <w:style w:type="character" w:customStyle="1" w:styleId="BodyTextChar">
    <w:name w:val="Body Text Char"/>
    <w:link w:val="BodyText"/>
    <w:rsid w:val="00DB11C5"/>
    <w:rPr>
      <w:sz w:val="22"/>
      <w:lang w:eastAsia="en-US"/>
    </w:rPr>
  </w:style>
  <w:style w:type="paragraph" w:styleId="BalloonText">
    <w:name w:val="Balloon Text"/>
    <w:basedOn w:val="Normal"/>
    <w:link w:val="BalloonTextChar"/>
    <w:rsid w:val="0043401E"/>
    <w:rPr>
      <w:rFonts w:ascii="Tahoma" w:hAnsi="Tahoma" w:cs="Tahoma"/>
      <w:sz w:val="16"/>
      <w:szCs w:val="16"/>
    </w:rPr>
  </w:style>
  <w:style w:type="character" w:customStyle="1" w:styleId="BalloonTextChar">
    <w:name w:val="Balloon Text Char"/>
    <w:link w:val="BalloonText"/>
    <w:rsid w:val="0043401E"/>
    <w:rPr>
      <w:rFonts w:ascii="Tahoma" w:hAnsi="Tahoma" w:cs="Tahoma"/>
      <w:sz w:val="16"/>
      <w:szCs w:val="16"/>
      <w:lang w:eastAsia="en-US"/>
    </w:rPr>
  </w:style>
  <w:style w:type="character" w:styleId="CommentReference">
    <w:name w:val="annotation reference"/>
    <w:rsid w:val="0030544B"/>
    <w:rPr>
      <w:sz w:val="16"/>
      <w:szCs w:val="16"/>
    </w:rPr>
  </w:style>
  <w:style w:type="paragraph" w:styleId="CommentText">
    <w:name w:val="annotation text"/>
    <w:basedOn w:val="Normal"/>
    <w:link w:val="CommentTextChar"/>
    <w:rsid w:val="0030544B"/>
    <w:rPr>
      <w:sz w:val="20"/>
    </w:rPr>
  </w:style>
  <w:style w:type="character" w:customStyle="1" w:styleId="CommentTextChar">
    <w:name w:val="Comment Text Char"/>
    <w:link w:val="CommentText"/>
    <w:rsid w:val="0030544B"/>
    <w:rPr>
      <w:lang w:eastAsia="en-US"/>
    </w:rPr>
  </w:style>
  <w:style w:type="paragraph" w:styleId="CommentSubject">
    <w:name w:val="annotation subject"/>
    <w:basedOn w:val="CommentText"/>
    <w:next w:val="CommentText"/>
    <w:link w:val="CommentSubjectChar"/>
    <w:rsid w:val="0030544B"/>
    <w:rPr>
      <w:b/>
      <w:bCs/>
    </w:rPr>
  </w:style>
  <w:style w:type="character" w:customStyle="1" w:styleId="CommentSubjectChar">
    <w:name w:val="Comment Subject Char"/>
    <w:link w:val="CommentSubject"/>
    <w:rsid w:val="0030544B"/>
    <w:rPr>
      <w:b/>
      <w:bCs/>
      <w:lang w:eastAsia="en-US"/>
    </w:rPr>
  </w:style>
  <w:style w:type="character" w:customStyle="1" w:styleId="LETT2">
    <w:name w:val="LETT2"/>
    <w:rsid w:val="00A24B98"/>
  </w:style>
  <w:style w:type="paragraph" w:styleId="Revision">
    <w:name w:val="Revision"/>
    <w:hidden/>
    <w:uiPriority w:val="99"/>
    <w:semiHidden/>
    <w:rsid w:val="00C9204F"/>
    <w:rPr>
      <w:sz w:val="22"/>
      <w:lang w:eastAsia="en-US"/>
    </w:rPr>
  </w:style>
  <w:style w:type="character" w:styleId="FollowedHyperlink">
    <w:name w:val="FollowedHyperlink"/>
    <w:basedOn w:val="DefaultParagraphFont"/>
    <w:rsid w:val="00F579AE"/>
    <w:rPr>
      <w:color w:val="800080" w:themeColor="followedHyperlink"/>
      <w:u w:val="single"/>
    </w:rPr>
  </w:style>
  <w:style w:type="paragraph" w:styleId="ListParagraph">
    <w:name w:val="List Paragraph"/>
    <w:basedOn w:val="Normal"/>
    <w:uiPriority w:val="34"/>
    <w:qFormat/>
    <w:rsid w:val="006D7D22"/>
    <w:pPr>
      <w:ind w:left="720"/>
      <w:contextualSpacing/>
    </w:pPr>
  </w:style>
  <w:style w:type="paragraph" w:customStyle="1" w:styleId="PDSReportSubTitle">
    <w:name w:val="_PDS_ReportSubTitle"/>
    <w:basedOn w:val="Heading6"/>
    <w:rsid w:val="00B95F39"/>
    <w:pPr>
      <w:spacing w:before="0" w:after="0"/>
      <w:jc w:val="center"/>
    </w:pPr>
    <w:rPr>
      <w:szCs w:val="20"/>
      <w:u w:val="single"/>
    </w:rPr>
  </w:style>
  <w:style w:type="paragraph" w:styleId="NormalWeb">
    <w:name w:val="Normal (Web)"/>
    <w:basedOn w:val="Normal"/>
    <w:rsid w:val="005B2C5F"/>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55703">
      <w:bodyDiv w:val="1"/>
      <w:marLeft w:val="0"/>
      <w:marRight w:val="0"/>
      <w:marTop w:val="0"/>
      <w:marBottom w:val="0"/>
      <w:divBdr>
        <w:top w:val="none" w:sz="0" w:space="0" w:color="auto"/>
        <w:left w:val="none" w:sz="0" w:space="0" w:color="auto"/>
        <w:bottom w:val="none" w:sz="0" w:space="0" w:color="auto"/>
        <w:right w:val="none" w:sz="0" w:space="0" w:color="auto"/>
      </w:divBdr>
    </w:div>
    <w:div w:id="856768731">
      <w:bodyDiv w:val="1"/>
      <w:marLeft w:val="0"/>
      <w:marRight w:val="0"/>
      <w:marTop w:val="0"/>
      <w:marBottom w:val="0"/>
      <w:divBdr>
        <w:top w:val="none" w:sz="0" w:space="0" w:color="auto"/>
        <w:left w:val="none" w:sz="0" w:space="0" w:color="auto"/>
        <w:bottom w:val="none" w:sz="0" w:space="0" w:color="auto"/>
        <w:right w:val="none" w:sz="0" w:space="0" w:color="auto"/>
      </w:divBdr>
    </w:div>
    <w:div w:id="1266768999">
      <w:bodyDiv w:val="1"/>
      <w:marLeft w:val="0"/>
      <w:marRight w:val="0"/>
      <w:marTop w:val="0"/>
      <w:marBottom w:val="0"/>
      <w:divBdr>
        <w:top w:val="none" w:sz="0" w:space="0" w:color="auto"/>
        <w:left w:val="none" w:sz="0" w:space="0" w:color="auto"/>
        <w:bottom w:val="none" w:sz="0" w:space="0" w:color="auto"/>
        <w:right w:val="none" w:sz="0" w:space="0" w:color="auto"/>
      </w:divBdr>
    </w:div>
    <w:div w:id="1595238300">
      <w:bodyDiv w:val="1"/>
      <w:marLeft w:val="0"/>
      <w:marRight w:val="0"/>
      <w:marTop w:val="0"/>
      <w:marBottom w:val="0"/>
      <w:divBdr>
        <w:top w:val="none" w:sz="0" w:space="0" w:color="auto"/>
        <w:left w:val="none" w:sz="0" w:space="0" w:color="auto"/>
        <w:bottom w:val="none" w:sz="0" w:space="0" w:color="auto"/>
        <w:right w:val="none" w:sz="0" w:space="0" w:color="auto"/>
      </w:divBdr>
    </w:div>
    <w:div w:id="1773353793">
      <w:bodyDiv w:val="1"/>
      <w:marLeft w:val="0"/>
      <w:marRight w:val="0"/>
      <w:marTop w:val="0"/>
      <w:marBottom w:val="0"/>
      <w:divBdr>
        <w:top w:val="none" w:sz="0" w:space="0" w:color="auto"/>
        <w:left w:val="none" w:sz="0" w:space="0" w:color="auto"/>
        <w:bottom w:val="none" w:sz="0" w:space="0" w:color="auto"/>
        <w:right w:val="none" w:sz="0" w:space="0" w:color="auto"/>
      </w:divBdr>
    </w:div>
    <w:div w:id="20075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morrison@iaea.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Becic@iaea.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oechl@iaea.org" TargetMode="External"/><Relationship Id="rId5" Type="http://schemas.openxmlformats.org/officeDocument/2006/relationships/webSettings" Target="webSettings.xml"/><Relationship Id="rId15" Type="http://schemas.openxmlformats.org/officeDocument/2006/relationships/hyperlink" Target="http://www-pub.iaea.org/iaeameetings/46087/Understanding-Moderate-Malnutrition-in-Children" TargetMode="External"/><Relationship Id="rId23" Type="http://schemas.openxmlformats.org/officeDocument/2006/relationships/theme" Target="theme/theme1.xml"/><Relationship Id="rId10" Type="http://schemas.openxmlformats.org/officeDocument/2006/relationships/hyperlink" Target="mailto:N.Mokhtar@iaea.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Mokhtar@iaea.org" TargetMode="External"/><Relationship Id="rId14" Type="http://schemas.openxmlformats.org/officeDocument/2006/relationships/hyperlink" Target="mailto:official.mail@iaea.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teresources.worldbank.org/HEALTHNUTRITIONANDPOPULATION/Resources/Peer-Reviewed-Publications/ScalingUpNutrition.pdf" TargetMode="External"/><Relationship Id="rId1" Type="http://schemas.openxmlformats.org/officeDocument/2006/relationships/hyperlink" Target="http://www.who.int/nutrition/publications/lancetseries_maternal_and_childundernutrition/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(r01).dotx</Template>
  <TotalTime>2</TotalTime>
  <Pages>8</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16635</CharactersWithSpaces>
  <SharedDoc>false</SharedDoc>
  <HLinks>
    <vt:vector size="18" baseType="variant">
      <vt:variant>
        <vt:i4>5767220</vt:i4>
      </vt:variant>
      <vt:variant>
        <vt:i4>6</vt:i4>
      </vt:variant>
      <vt:variant>
        <vt:i4>0</vt:i4>
      </vt:variant>
      <vt:variant>
        <vt:i4>5</vt:i4>
      </vt:variant>
      <vt:variant>
        <vt:lpwstr>mailto:k.morrison@iaea.org</vt:lpwstr>
      </vt:variant>
      <vt:variant>
        <vt:lpwstr/>
      </vt:variant>
      <vt:variant>
        <vt:i4>2686999</vt:i4>
      </vt:variant>
      <vt:variant>
        <vt:i4>3</vt:i4>
      </vt:variant>
      <vt:variant>
        <vt:i4>0</vt:i4>
      </vt:variant>
      <vt:variant>
        <vt:i4>5</vt:i4>
      </vt:variant>
      <vt:variant>
        <vt:lpwstr>mailto:imic2013@iaea.org</vt:lpwstr>
      </vt:variant>
      <vt:variant>
        <vt:lpwstr/>
      </vt:variant>
      <vt:variant>
        <vt:i4>2686999</vt:i4>
      </vt:variant>
      <vt:variant>
        <vt:i4>0</vt:i4>
      </vt:variant>
      <vt:variant>
        <vt:i4>0</vt:i4>
      </vt:variant>
      <vt:variant>
        <vt:i4>5</vt:i4>
      </vt:variant>
      <vt:variant>
        <vt:lpwstr>mailto:imic2013@iaea.org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FOOTE, Corinne</dc:creator>
  <cp:lastModifiedBy>SHAJU KATTIPPURAKKAL, Joseph</cp:lastModifiedBy>
  <cp:revision>5</cp:revision>
  <cp:lastPrinted>2013-11-05T15:51:00Z</cp:lastPrinted>
  <dcterms:created xsi:type="dcterms:W3CDTF">2013-06-19T09:32:00Z</dcterms:created>
  <dcterms:modified xsi:type="dcterms:W3CDTF">2013-11-05T15:51:00Z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