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7D" w:rsidRPr="000F0F8E" w:rsidRDefault="00733D7D" w:rsidP="00733D7D">
      <w:pPr>
        <w:pStyle w:val="BodyText"/>
        <w:spacing w:after="0"/>
        <w:jc w:val="right"/>
        <w:rPr>
          <w:b/>
          <w:spacing w:val="-3"/>
          <w:sz w:val="28"/>
        </w:rPr>
      </w:pPr>
      <w:bookmarkStart w:id="0" w:name="_GoBack"/>
      <w:bookmarkEnd w:id="0"/>
      <w:r w:rsidRPr="000F0F8E">
        <w:rPr>
          <w:b/>
          <w:spacing w:val="-3"/>
          <w:sz w:val="28"/>
        </w:rPr>
        <w:t>IAEA-CN-</w:t>
      </w:r>
      <w:r w:rsidR="00B27F4B" w:rsidRPr="000F0F8E">
        <w:rPr>
          <w:b/>
          <w:spacing w:val="-3"/>
          <w:sz w:val="28"/>
        </w:rPr>
        <w:t>2</w:t>
      </w:r>
      <w:r w:rsidR="004E27FB" w:rsidRPr="000F0F8E">
        <w:rPr>
          <w:b/>
          <w:spacing w:val="-3"/>
          <w:sz w:val="28"/>
        </w:rPr>
        <w:t>1</w:t>
      </w:r>
      <w:r w:rsidR="00B27F4B" w:rsidRPr="000F0F8E">
        <w:rPr>
          <w:b/>
          <w:spacing w:val="-3"/>
          <w:sz w:val="28"/>
        </w:rPr>
        <w:t>4</w:t>
      </w:r>
    </w:p>
    <w:p w:rsidR="000A5FE0" w:rsidRPr="000F0F8E" w:rsidRDefault="0019280F" w:rsidP="00AE2E9B">
      <w:pPr>
        <w:pStyle w:val="BodyText"/>
        <w:jc w:val="center"/>
      </w:pPr>
      <w:r w:rsidRPr="000F0F8E">
        <w:rPr>
          <w:noProof/>
          <w:lang w:eastAsia="en-GB"/>
        </w:rPr>
        <w:drawing>
          <wp:inline distT="0" distB="0" distL="0" distR="0" wp14:anchorId="66ED54D7" wp14:editId="39DCB21E">
            <wp:extent cx="1420495" cy="1074420"/>
            <wp:effectExtent l="0" t="0" r="8255" b="0"/>
            <wp:docPr id="4" name="Picture 4" descr="Description: IAEA_new_logo_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IAEA_new_logo_cente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95" cy="1074420"/>
                    </a:xfrm>
                    <a:prstGeom prst="rect">
                      <a:avLst/>
                    </a:prstGeom>
                    <a:noFill/>
                    <a:ln>
                      <a:noFill/>
                    </a:ln>
                  </pic:spPr>
                </pic:pic>
              </a:graphicData>
            </a:graphic>
          </wp:inline>
        </w:drawing>
      </w:r>
    </w:p>
    <w:p w:rsidR="00733D7D" w:rsidRPr="000F0F8E" w:rsidRDefault="00733D7D">
      <w:pPr>
        <w:pStyle w:val="BodyText"/>
      </w:pPr>
    </w:p>
    <w:p w:rsidR="004E27FB" w:rsidRPr="000F0F8E" w:rsidRDefault="004E27FB" w:rsidP="004E27FB">
      <w:pPr>
        <w:pStyle w:val="Title"/>
        <w:spacing w:line="240" w:lineRule="auto"/>
      </w:pPr>
      <w:r w:rsidRPr="000F0F8E">
        <w:t>International Conference on</w:t>
      </w:r>
    </w:p>
    <w:p w:rsidR="004E27FB" w:rsidRPr="000F0F8E" w:rsidRDefault="004E27FB" w:rsidP="004E27FB">
      <w:pPr>
        <w:pStyle w:val="Title"/>
        <w:spacing w:line="240" w:lineRule="auto"/>
      </w:pPr>
      <w:r w:rsidRPr="000F0F8E">
        <w:t>Challenges Faced by Technical and</w:t>
      </w:r>
    </w:p>
    <w:p w:rsidR="00BE152A" w:rsidRPr="000F0F8E" w:rsidRDefault="004E27FB" w:rsidP="004E27FB">
      <w:pPr>
        <w:pStyle w:val="Title"/>
        <w:spacing w:line="240" w:lineRule="auto"/>
      </w:pPr>
      <w:r w:rsidRPr="000F0F8E">
        <w:t xml:space="preserve">Scientific Support </w:t>
      </w:r>
      <w:r w:rsidRPr="00F353C9">
        <w:t>Organizations (TSO</w:t>
      </w:r>
      <w:r w:rsidR="004B4211" w:rsidRPr="00F353C9">
        <w:t>s</w:t>
      </w:r>
      <w:r w:rsidRPr="00F353C9">
        <w:t>)</w:t>
      </w:r>
    </w:p>
    <w:p w:rsidR="003C1C0F" w:rsidRPr="000F0F8E" w:rsidRDefault="004E27FB" w:rsidP="004E27FB">
      <w:pPr>
        <w:pStyle w:val="Title"/>
        <w:spacing w:line="240" w:lineRule="auto"/>
      </w:pPr>
      <w:r w:rsidRPr="000F0F8E">
        <w:t>in Enhancing Nuclear Safety and Security</w:t>
      </w:r>
      <w:r w:rsidR="005F35BB" w:rsidRPr="000F0F8E">
        <w:t>:</w:t>
      </w:r>
    </w:p>
    <w:p w:rsidR="00281089" w:rsidRPr="000F0F8E" w:rsidRDefault="00281089" w:rsidP="004E27FB">
      <w:pPr>
        <w:pStyle w:val="Title"/>
        <w:spacing w:line="240" w:lineRule="auto"/>
        <w:rPr>
          <w:sz w:val="28"/>
          <w:szCs w:val="28"/>
        </w:rPr>
      </w:pPr>
    </w:p>
    <w:p w:rsidR="00281089" w:rsidRPr="000F0F8E" w:rsidRDefault="00281089" w:rsidP="004E27FB">
      <w:pPr>
        <w:pStyle w:val="Title"/>
        <w:spacing w:line="240" w:lineRule="auto"/>
        <w:rPr>
          <w:bCs w:val="0"/>
          <w:iCs/>
          <w:sz w:val="36"/>
          <w:szCs w:val="36"/>
        </w:rPr>
      </w:pPr>
      <w:r w:rsidRPr="000F0F8E">
        <w:rPr>
          <w:sz w:val="36"/>
          <w:szCs w:val="36"/>
        </w:rPr>
        <w:t xml:space="preserve">Strengthening Cooperation and </w:t>
      </w:r>
      <w:r w:rsidR="004C1D49" w:rsidRPr="000F0F8E">
        <w:rPr>
          <w:sz w:val="36"/>
          <w:szCs w:val="36"/>
        </w:rPr>
        <w:t>Improving</w:t>
      </w:r>
      <w:r w:rsidRPr="000F0F8E">
        <w:rPr>
          <w:sz w:val="36"/>
          <w:szCs w:val="36"/>
        </w:rPr>
        <w:t xml:space="preserve"> Capabilities</w:t>
      </w:r>
    </w:p>
    <w:p w:rsidR="0019280F" w:rsidRPr="000F0F8E" w:rsidRDefault="0019280F" w:rsidP="004E27FB">
      <w:pPr>
        <w:overflowPunct/>
        <w:jc w:val="center"/>
        <w:textAlignment w:val="auto"/>
        <w:rPr>
          <w:sz w:val="24"/>
          <w:szCs w:val="24"/>
          <w:lang w:eastAsia="en-GB"/>
        </w:rPr>
      </w:pPr>
    </w:p>
    <w:p w:rsidR="0019280F" w:rsidRPr="000F0F8E" w:rsidRDefault="0019280F" w:rsidP="0019280F">
      <w:pPr>
        <w:overflowPunct/>
        <w:jc w:val="center"/>
        <w:textAlignment w:val="auto"/>
        <w:rPr>
          <w:sz w:val="24"/>
          <w:szCs w:val="24"/>
          <w:lang w:eastAsia="en-GB"/>
        </w:rPr>
      </w:pPr>
    </w:p>
    <w:p w:rsidR="0019280F" w:rsidRPr="00F353C9" w:rsidRDefault="00BE152A" w:rsidP="0019280F">
      <w:pPr>
        <w:pStyle w:val="Subtitle"/>
        <w:rPr>
          <w:lang w:val="en-GB"/>
        </w:rPr>
      </w:pPr>
      <w:r w:rsidRPr="00F353C9">
        <w:rPr>
          <w:lang w:val="en-GB"/>
        </w:rPr>
        <w:t>Beijing, China</w:t>
      </w:r>
    </w:p>
    <w:p w:rsidR="0019280F" w:rsidRPr="000F0F8E" w:rsidRDefault="0019280F" w:rsidP="0019280F">
      <w:pPr>
        <w:overflowPunct/>
        <w:jc w:val="center"/>
        <w:textAlignment w:val="auto"/>
        <w:rPr>
          <w:sz w:val="24"/>
          <w:szCs w:val="24"/>
          <w:lang w:eastAsia="en-GB"/>
        </w:rPr>
      </w:pPr>
    </w:p>
    <w:p w:rsidR="00733D7D" w:rsidRPr="00F353C9" w:rsidRDefault="00281089" w:rsidP="00F90647">
      <w:pPr>
        <w:pStyle w:val="Subtitle"/>
        <w:rPr>
          <w:lang w:val="en-GB"/>
        </w:rPr>
      </w:pPr>
      <w:r w:rsidRPr="00F353C9">
        <w:rPr>
          <w:lang w:val="en-GB"/>
        </w:rPr>
        <w:t>2</w:t>
      </w:r>
      <w:r w:rsidR="00B27F4B" w:rsidRPr="00F353C9">
        <w:rPr>
          <w:lang w:val="en-GB"/>
        </w:rPr>
        <w:t>7</w:t>
      </w:r>
      <w:r w:rsidR="00F90647" w:rsidRPr="00F353C9">
        <w:rPr>
          <w:lang w:val="en-GB"/>
        </w:rPr>
        <w:t>–</w:t>
      </w:r>
      <w:r w:rsidRPr="00F353C9">
        <w:rPr>
          <w:lang w:val="en-GB"/>
        </w:rPr>
        <w:t>3</w:t>
      </w:r>
      <w:r w:rsidR="00B27F4B" w:rsidRPr="00F353C9">
        <w:rPr>
          <w:lang w:val="en-GB"/>
        </w:rPr>
        <w:t xml:space="preserve">1 </w:t>
      </w:r>
      <w:r w:rsidRPr="00F353C9">
        <w:rPr>
          <w:lang w:val="en-GB"/>
        </w:rPr>
        <w:t>October</w:t>
      </w:r>
      <w:r w:rsidR="00BE152A" w:rsidRPr="00F353C9">
        <w:rPr>
          <w:lang w:val="en-GB"/>
        </w:rPr>
        <w:t xml:space="preserve"> 2014</w:t>
      </w:r>
    </w:p>
    <w:p w:rsidR="006F1D5E" w:rsidRPr="000F0F8E" w:rsidRDefault="006F1D5E" w:rsidP="006F1D5E">
      <w:pPr>
        <w:overflowPunct/>
        <w:jc w:val="center"/>
        <w:textAlignment w:val="auto"/>
        <w:rPr>
          <w:sz w:val="24"/>
          <w:szCs w:val="24"/>
          <w:lang w:eastAsia="en-GB"/>
        </w:rPr>
      </w:pPr>
    </w:p>
    <w:p w:rsidR="006F1D5E" w:rsidRPr="000F0F8E" w:rsidRDefault="006F1D5E" w:rsidP="006F1D5E">
      <w:pPr>
        <w:overflowPunct/>
        <w:jc w:val="center"/>
        <w:textAlignment w:val="auto"/>
        <w:rPr>
          <w:sz w:val="24"/>
          <w:szCs w:val="24"/>
          <w:lang w:eastAsia="en-GB"/>
        </w:rPr>
      </w:pPr>
    </w:p>
    <w:p w:rsidR="006F1D5E" w:rsidRPr="00F353C9" w:rsidRDefault="006F1D5E" w:rsidP="0038166C">
      <w:pPr>
        <w:overflowPunct/>
        <w:jc w:val="center"/>
        <w:textAlignment w:val="auto"/>
        <w:rPr>
          <w:b/>
          <w:sz w:val="24"/>
          <w:szCs w:val="24"/>
          <w:lang w:eastAsia="en-GB"/>
        </w:rPr>
      </w:pPr>
      <w:r w:rsidRPr="00F353C9">
        <w:rPr>
          <w:b/>
          <w:sz w:val="24"/>
          <w:szCs w:val="24"/>
          <w:lang w:eastAsia="en-GB"/>
        </w:rPr>
        <w:t>Organized by the</w:t>
      </w:r>
    </w:p>
    <w:p w:rsidR="006F1D5E" w:rsidRPr="00F353C9" w:rsidRDefault="006F1D5E" w:rsidP="0038166C">
      <w:pPr>
        <w:pStyle w:val="Subtitle"/>
        <w:spacing w:before="0" w:after="0"/>
        <w:rPr>
          <w:b w:val="0"/>
          <w:bCs/>
          <w:szCs w:val="28"/>
          <w:lang w:val="en-GB" w:eastAsia="en-GB"/>
        </w:rPr>
      </w:pPr>
      <w:r w:rsidRPr="00F353C9">
        <w:rPr>
          <w:b w:val="0"/>
          <w:bCs/>
          <w:szCs w:val="28"/>
          <w:lang w:val="en-GB" w:eastAsia="en-GB"/>
        </w:rPr>
        <w:t>International Atomic Energy Agency (IAEA)</w:t>
      </w:r>
    </w:p>
    <w:p w:rsidR="00E51FCD" w:rsidRPr="00F353C9" w:rsidRDefault="00E51FCD" w:rsidP="0038166C">
      <w:pPr>
        <w:pStyle w:val="Subtitle"/>
        <w:spacing w:before="0" w:after="0"/>
        <w:rPr>
          <w:b w:val="0"/>
          <w:bCs/>
          <w:szCs w:val="28"/>
          <w:lang w:val="en-GB" w:eastAsia="en-GB"/>
        </w:rPr>
      </w:pPr>
    </w:p>
    <w:p w:rsidR="006F1D5E" w:rsidRPr="00F353C9" w:rsidRDefault="006F1D5E" w:rsidP="0038166C">
      <w:pPr>
        <w:overflowPunct/>
        <w:jc w:val="center"/>
        <w:textAlignment w:val="auto"/>
        <w:rPr>
          <w:b/>
          <w:sz w:val="24"/>
          <w:szCs w:val="24"/>
          <w:lang w:eastAsia="en-GB"/>
        </w:rPr>
      </w:pPr>
      <w:r w:rsidRPr="00F353C9">
        <w:rPr>
          <w:b/>
          <w:sz w:val="24"/>
          <w:szCs w:val="24"/>
          <w:lang w:eastAsia="en-GB"/>
        </w:rPr>
        <w:t>Hosted by the</w:t>
      </w:r>
    </w:p>
    <w:p w:rsidR="002A12C2" w:rsidRPr="000F0F8E" w:rsidRDefault="006F1D5E" w:rsidP="0038166C">
      <w:pPr>
        <w:overflowPunct/>
        <w:jc w:val="center"/>
        <w:textAlignment w:val="auto"/>
        <w:rPr>
          <w:i/>
          <w:sz w:val="24"/>
          <w:szCs w:val="24"/>
          <w:lang w:eastAsia="en-GB"/>
        </w:rPr>
      </w:pPr>
      <w:r w:rsidRPr="00F353C9">
        <w:rPr>
          <w:rFonts w:cs="Arial"/>
          <w:bCs/>
          <w:sz w:val="28"/>
          <w:szCs w:val="28"/>
          <w:lang w:eastAsia="en-GB"/>
        </w:rPr>
        <w:t xml:space="preserve">Government of </w:t>
      </w:r>
      <w:r w:rsidR="00BE152A" w:rsidRPr="00F353C9">
        <w:rPr>
          <w:rFonts w:cs="Arial"/>
          <w:bCs/>
          <w:sz w:val="28"/>
          <w:szCs w:val="28"/>
          <w:lang w:eastAsia="en-GB"/>
        </w:rPr>
        <w:t>China</w:t>
      </w:r>
    </w:p>
    <w:p w:rsidR="0038166C" w:rsidRPr="000F0F8E" w:rsidRDefault="0038166C" w:rsidP="0038166C">
      <w:pPr>
        <w:overflowPunct/>
        <w:jc w:val="center"/>
        <w:textAlignment w:val="auto"/>
        <w:rPr>
          <w:bCs/>
          <w:i/>
          <w:iCs/>
          <w:sz w:val="28"/>
          <w:szCs w:val="28"/>
          <w:lang w:eastAsia="en-GB"/>
        </w:rPr>
      </w:pPr>
    </w:p>
    <w:p w:rsidR="006F1D5E" w:rsidRPr="00130AAD" w:rsidRDefault="006F1D5E" w:rsidP="0038166C">
      <w:pPr>
        <w:overflowPunct/>
        <w:jc w:val="center"/>
        <w:textAlignment w:val="auto"/>
        <w:rPr>
          <w:b/>
          <w:sz w:val="24"/>
          <w:szCs w:val="24"/>
          <w:lang w:eastAsia="en-GB"/>
        </w:rPr>
      </w:pPr>
      <w:r w:rsidRPr="00130AAD">
        <w:rPr>
          <w:b/>
          <w:sz w:val="24"/>
          <w:szCs w:val="24"/>
          <w:lang w:eastAsia="en-GB"/>
        </w:rPr>
        <w:t>through the</w:t>
      </w:r>
    </w:p>
    <w:p w:rsidR="006F1D5E" w:rsidRPr="00130AAD" w:rsidRDefault="00E24488" w:rsidP="0038166C">
      <w:pPr>
        <w:overflowPunct/>
        <w:jc w:val="center"/>
        <w:textAlignment w:val="auto"/>
        <w:rPr>
          <w:rFonts w:cs="Arial"/>
          <w:bCs/>
          <w:sz w:val="28"/>
          <w:szCs w:val="28"/>
          <w:lang w:eastAsia="en-GB"/>
        </w:rPr>
      </w:pPr>
      <w:r w:rsidRPr="00130AAD">
        <w:rPr>
          <w:rFonts w:cs="Arial"/>
          <w:bCs/>
          <w:sz w:val="28"/>
          <w:szCs w:val="28"/>
          <w:lang w:eastAsia="en-GB"/>
        </w:rPr>
        <w:t>Nuclear and Radiation Safety Centr</w:t>
      </w:r>
      <w:r w:rsidR="0009613A" w:rsidRPr="00130AAD">
        <w:rPr>
          <w:rFonts w:cs="Arial"/>
          <w:bCs/>
          <w:sz w:val="28"/>
          <w:szCs w:val="28"/>
          <w:lang w:eastAsia="en-GB"/>
        </w:rPr>
        <w:t>e</w:t>
      </w:r>
    </w:p>
    <w:p w:rsidR="008302A6" w:rsidRPr="00130AAD" w:rsidRDefault="008302A6" w:rsidP="008302A6">
      <w:pPr>
        <w:overflowPunct/>
        <w:jc w:val="center"/>
        <w:textAlignment w:val="auto"/>
        <w:rPr>
          <w:rFonts w:cs="Arial"/>
          <w:bCs/>
          <w:sz w:val="28"/>
          <w:szCs w:val="28"/>
          <w:lang w:eastAsia="en-GB"/>
        </w:rPr>
      </w:pPr>
      <w:r w:rsidRPr="00130AAD">
        <w:rPr>
          <w:rFonts w:cs="Arial"/>
          <w:bCs/>
          <w:sz w:val="28"/>
          <w:szCs w:val="28"/>
          <w:lang w:eastAsia="en-GB"/>
        </w:rPr>
        <w:t>State Nuclear Security Technology Center, China Atomic Energy Authority</w:t>
      </w:r>
    </w:p>
    <w:p w:rsidR="008302A6" w:rsidRPr="00130AAD" w:rsidRDefault="008302A6" w:rsidP="008302A6">
      <w:pPr>
        <w:overflowPunct/>
        <w:jc w:val="center"/>
        <w:textAlignment w:val="auto"/>
        <w:rPr>
          <w:rFonts w:cs="Arial"/>
          <w:bCs/>
          <w:sz w:val="28"/>
          <w:szCs w:val="28"/>
          <w:lang w:eastAsia="en-GB"/>
        </w:rPr>
      </w:pPr>
      <w:r w:rsidRPr="00130AAD">
        <w:rPr>
          <w:rFonts w:cs="Arial"/>
          <w:bCs/>
          <w:sz w:val="28"/>
          <w:szCs w:val="28"/>
          <w:lang w:eastAsia="en-GB"/>
        </w:rPr>
        <w:t>Radiation Monitoring Technical Center of Ministry of Environmental Protection</w:t>
      </w:r>
    </w:p>
    <w:p w:rsidR="008302A6" w:rsidRPr="00130AAD" w:rsidRDefault="008302A6" w:rsidP="008302A6">
      <w:pPr>
        <w:overflowPunct/>
        <w:jc w:val="center"/>
        <w:textAlignment w:val="auto"/>
        <w:rPr>
          <w:rFonts w:cs="Arial"/>
          <w:bCs/>
          <w:sz w:val="28"/>
          <w:szCs w:val="28"/>
          <w:lang w:eastAsia="en-GB"/>
        </w:rPr>
      </w:pPr>
      <w:r w:rsidRPr="00130AAD">
        <w:rPr>
          <w:rFonts w:cs="Arial"/>
          <w:bCs/>
          <w:sz w:val="28"/>
          <w:szCs w:val="28"/>
          <w:lang w:eastAsia="en-GB"/>
        </w:rPr>
        <w:t>Suzhou Nuclear Safety Center, Suzhou Nuclear Power Research Institute</w:t>
      </w:r>
    </w:p>
    <w:p w:rsidR="008302A6" w:rsidRPr="00130AAD" w:rsidRDefault="008302A6" w:rsidP="008302A6">
      <w:pPr>
        <w:overflowPunct/>
        <w:jc w:val="center"/>
        <w:textAlignment w:val="auto"/>
        <w:rPr>
          <w:rFonts w:cs="Arial"/>
          <w:bCs/>
          <w:sz w:val="28"/>
          <w:szCs w:val="28"/>
          <w:lang w:eastAsia="en-GB"/>
        </w:rPr>
      </w:pPr>
      <w:r w:rsidRPr="00130AAD">
        <w:rPr>
          <w:rFonts w:cs="Arial"/>
          <w:bCs/>
          <w:sz w:val="28"/>
          <w:szCs w:val="28"/>
          <w:lang w:eastAsia="en-GB"/>
        </w:rPr>
        <w:t>Beijing Review Center of Nuclear Safety</w:t>
      </w:r>
    </w:p>
    <w:p w:rsidR="00800EDA" w:rsidRPr="00130AAD" w:rsidRDefault="00800EDA" w:rsidP="00733D7D">
      <w:pPr>
        <w:pStyle w:val="Subtitle"/>
        <w:rPr>
          <w:szCs w:val="28"/>
          <w:lang w:val="en-GB"/>
        </w:rPr>
      </w:pPr>
    </w:p>
    <w:p w:rsidR="002F400C" w:rsidRPr="00130AAD" w:rsidRDefault="002F400C" w:rsidP="00733D7D">
      <w:pPr>
        <w:pStyle w:val="Subtitle"/>
        <w:rPr>
          <w:sz w:val="24"/>
          <w:lang w:val="en-GB"/>
        </w:rPr>
      </w:pPr>
      <w:r w:rsidRPr="00130AAD">
        <w:rPr>
          <w:sz w:val="24"/>
          <w:lang w:val="en-GB"/>
        </w:rPr>
        <w:t>In cooperation with the</w:t>
      </w:r>
    </w:p>
    <w:p w:rsidR="002F400C" w:rsidRPr="00130AAD" w:rsidRDefault="002F400C" w:rsidP="002F400C">
      <w:pPr>
        <w:pStyle w:val="Subtitle"/>
        <w:rPr>
          <w:b w:val="0"/>
          <w:szCs w:val="28"/>
        </w:rPr>
      </w:pPr>
      <w:r w:rsidRPr="00130AAD">
        <w:rPr>
          <w:b w:val="0"/>
          <w:szCs w:val="28"/>
        </w:rPr>
        <w:t>European Technical Safety Organisations Network (ETSON)</w:t>
      </w:r>
    </w:p>
    <w:p w:rsidR="002F400C" w:rsidRPr="002F400C" w:rsidRDefault="002F400C" w:rsidP="00733D7D">
      <w:pPr>
        <w:pStyle w:val="Subtitle"/>
        <w:rPr>
          <w:szCs w:val="28"/>
          <w:lang w:val="en-GB"/>
        </w:rPr>
      </w:pPr>
    </w:p>
    <w:p w:rsidR="004C3D0F" w:rsidRPr="00F353C9" w:rsidRDefault="00733D7D" w:rsidP="00733D7D">
      <w:pPr>
        <w:pStyle w:val="Subtitle"/>
        <w:rPr>
          <w:sz w:val="40"/>
          <w:szCs w:val="40"/>
          <w:lang w:val="en-GB"/>
        </w:rPr>
      </w:pPr>
      <w:r w:rsidRPr="00F353C9">
        <w:rPr>
          <w:sz w:val="40"/>
          <w:szCs w:val="40"/>
          <w:lang w:val="en-GB"/>
        </w:rPr>
        <w:t>Announcement and Call for Papers</w:t>
      </w:r>
    </w:p>
    <w:p w:rsidR="004C3D0F" w:rsidRPr="00F353C9" w:rsidRDefault="004C3D0F" w:rsidP="00157449">
      <w:pPr>
        <w:pStyle w:val="Subtitle"/>
        <w:jc w:val="left"/>
        <w:rPr>
          <w:sz w:val="40"/>
          <w:szCs w:val="40"/>
          <w:lang w:val="en-GB"/>
        </w:rPr>
        <w:sectPr w:rsidR="004C3D0F" w:rsidRPr="00F353C9">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531" w:right="1418" w:bottom="1134" w:left="1418" w:header="539" w:footer="964" w:gutter="0"/>
          <w:pgNumType w:start="1"/>
          <w:cols w:space="720"/>
          <w:titlePg/>
        </w:sectPr>
      </w:pPr>
    </w:p>
    <w:p w:rsidR="00C36BBE" w:rsidRPr="000F0F8E" w:rsidRDefault="00733D7D" w:rsidP="00157449">
      <w:pPr>
        <w:pStyle w:val="Heading1"/>
      </w:pPr>
      <w:r w:rsidRPr="000F0F8E">
        <w:lastRenderedPageBreak/>
        <w:t>Introduction</w:t>
      </w:r>
    </w:p>
    <w:p w:rsidR="00BA0DC8" w:rsidRPr="000F0F8E" w:rsidRDefault="00BF5925" w:rsidP="00F90647">
      <w:pPr>
        <w:pStyle w:val="BodyText"/>
      </w:pPr>
      <w:r w:rsidRPr="000F0F8E">
        <w:t>The International Conference on Challenges Faced by</w:t>
      </w:r>
      <w:r w:rsidR="005C1999" w:rsidRPr="000F0F8E">
        <w:t xml:space="preserve"> </w:t>
      </w:r>
      <w:r w:rsidRPr="000F0F8E">
        <w:t xml:space="preserve">Technical and Scientific Support Organizations </w:t>
      </w:r>
      <w:r w:rsidRPr="00F353C9">
        <w:t>(TSOs)</w:t>
      </w:r>
      <w:r w:rsidR="005C1999" w:rsidRPr="000F0F8E">
        <w:t xml:space="preserve"> </w:t>
      </w:r>
      <w:r w:rsidRPr="000F0F8E">
        <w:t xml:space="preserve">in Enhancing Nuclear Safety and Security </w:t>
      </w:r>
      <w:r w:rsidR="004C3D0F" w:rsidRPr="000F0F8E">
        <w:t xml:space="preserve">to be held </w:t>
      </w:r>
      <w:r w:rsidRPr="000F0F8E">
        <w:t xml:space="preserve">in </w:t>
      </w:r>
      <w:r w:rsidR="005C1999" w:rsidRPr="000F0F8E">
        <w:t>Beijing</w:t>
      </w:r>
      <w:r w:rsidR="00F90647" w:rsidRPr="000F0F8E">
        <w:t>, China,</w:t>
      </w:r>
      <w:r w:rsidRPr="000F0F8E">
        <w:t xml:space="preserve"> in </w:t>
      </w:r>
      <w:r w:rsidR="00F90647" w:rsidRPr="000F0F8E">
        <w:t xml:space="preserve">October </w:t>
      </w:r>
      <w:r w:rsidR="005C1999" w:rsidRPr="000F0F8E">
        <w:t>2014</w:t>
      </w:r>
      <w:r w:rsidRPr="000F0F8E">
        <w:t xml:space="preserve"> will </w:t>
      </w:r>
      <w:r w:rsidR="004C3D0F" w:rsidRPr="000F0F8E">
        <w:t>continue</w:t>
      </w:r>
      <w:r w:rsidRPr="000F0F8E">
        <w:t xml:space="preserve"> the tradition established by the two preceding conferences on this subject, which were held, respectively, in </w:t>
      </w:r>
      <w:r w:rsidR="005C1999" w:rsidRPr="000F0F8E">
        <w:t>Tokyo</w:t>
      </w:r>
      <w:r w:rsidR="00F90647" w:rsidRPr="000F0F8E">
        <w:t>, Japan,</w:t>
      </w:r>
      <w:r w:rsidRPr="000F0F8E">
        <w:t xml:space="preserve"> in 20</w:t>
      </w:r>
      <w:r w:rsidR="005C1999" w:rsidRPr="000F0F8E">
        <w:t>10</w:t>
      </w:r>
      <w:r w:rsidRPr="000F0F8E">
        <w:t xml:space="preserve"> and in </w:t>
      </w:r>
      <w:r w:rsidR="005C1999" w:rsidRPr="000F0F8E">
        <w:t>Aix-en-Provence</w:t>
      </w:r>
      <w:r w:rsidR="00F90647" w:rsidRPr="000F0F8E">
        <w:t>, France,</w:t>
      </w:r>
      <w:r w:rsidRPr="000F0F8E">
        <w:t xml:space="preserve"> in 200</w:t>
      </w:r>
      <w:r w:rsidR="005C1999" w:rsidRPr="000F0F8E">
        <w:t>7</w:t>
      </w:r>
      <w:r w:rsidRPr="000F0F8E">
        <w:t xml:space="preserve">. Like these earlier conferences, the forthcoming one will play a vital part in the </w:t>
      </w:r>
      <w:r w:rsidR="00DB4E5D" w:rsidRPr="000F0F8E">
        <w:t xml:space="preserve">national and international </w:t>
      </w:r>
      <w:r w:rsidRPr="000F0F8E">
        <w:t xml:space="preserve">efforts </w:t>
      </w:r>
      <w:r w:rsidR="00E94184" w:rsidRPr="000F0F8E">
        <w:t>made to</w:t>
      </w:r>
      <w:r w:rsidR="00DB4E5D" w:rsidRPr="000F0F8E">
        <w:t xml:space="preserve"> ensur</w:t>
      </w:r>
      <w:r w:rsidR="00E94184" w:rsidRPr="000F0F8E">
        <w:t xml:space="preserve">e </w:t>
      </w:r>
      <w:r w:rsidR="00F90647" w:rsidRPr="000F0F8E">
        <w:t xml:space="preserve">the </w:t>
      </w:r>
      <w:r w:rsidR="00E94184" w:rsidRPr="000F0F8E">
        <w:t>effectiveness</w:t>
      </w:r>
      <w:r w:rsidR="00DB4E5D" w:rsidRPr="000F0F8E">
        <w:t xml:space="preserve"> </w:t>
      </w:r>
      <w:r w:rsidR="00F97175" w:rsidRPr="000F0F8E">
        <w:t xml:space="preserve">of </w:t>
      </w:r>
      <w:r w:rsidRPr="000F0F8E">
        <w:t>nuclear safety and security regulator</w:t>
      </w:r>
      <w:r w:rsidR="00E94184" w:rsidRPr="000F0F8E">
        <w:t xml:space="preserve">y systems </w:t>
      </w:r>
      <w:r w:rsidRPr="000F0F8E">
        <w:t xml:space="preserve">and will focus, in particular, on </w:t>
      </w:r>
      <w:r w:rsidR="00E94184" w:rsidRPr="000F0F8E">
        <w:t xml:space="preserve">prerequisites and ways for maintaining and strengthening </w:t>
      </w:r>
      <w:r w:rsidR="004D5D5A" w:rsidRPr="000F0F8E">
        <w:t xml:space="preserve">the actions </w:t>
      </w:r>
      <w:r w:rsidRPr="000F0F8E">
        <w:t xml:space="preserve">of </w:t>
      </w:r>
      <w:r w:rsidR="005C1999" w:rsidRPr="000F0F8E">
        <w:t>TSOs</w:t>
      </w:r>
      <w:r w:rsidRPr="000F0F8E">
        <w:t xml:space="preserve"> in </w:t>
      </w:r>
      <w:r w:rsidR="001D7F8D" w:rsidRPr="000F0F8E">
        <w:t xml:space="preserve">supporting </w:t>
      </w:r>
      <w:r w:rsidR="004D5D5A" w:rsidRPr="000F0F8E">
        <w:t>the enhancement of</w:t>
      </w:r>
      <w:r w:rsidR="005C1999" w:rsidRPr="000F0F8E">
        <w:t xml:space="preserve"> safety and security</w:t>
      </w:r>
      <w:r w:rsidR="004D5D5A" w:rsidRPr="000F0F8E">
        <w:t xml:space="preserve"> worldwide</w:t>
      </w:r>
      <w:r w:rsidR="005C1999" w:rsidRPr="000F0F8E">
        <w:t>.</w:t>
      </w:r>
    </w:p>
    <w:p w:rsidR="00D33070" w:rsidRPr="000F0F8E" w:rsidRDefault="00BF5925" w:rsidP="00F90647">
      <w:pPr>
        <w:pStyle w:val="BodyText"/>
      </w:pPr>
      <w:r w:rsidRPr="000F0F8E">
        <w:t>Th</w:t>
      </w:r>
      <w:r w:rsidR="00F90647" w:rsidRPr="000F0F8E">
        <w:t>is</w:t>
      </w:r>
      <w:r w:rsidRPr="000F0F8E">
        <w:t xml:space="preserve"> conference is being organized by the International Atomic Energy Agency (IAEA) and will be hosted by the Government of </w:t>
      </w:r>
      <w:r w:rsidR="005C1999" w:rsidRPr="000F0F8E">
        <w:t>China</w:t>
      </w:r>
      <w:r w:rsidRPr="000F0F8E">
        <w:t xml:space="preserve"> through the </w:t>
      </w:r>
      <w:r w:rsidR="005C1999" w:rsidRPr="000F0F8E">
        <w:t>Nuclear and Radiation Safety Centr</w:t>
      </w:r>
      <w:r w:rsidR="00BA0DC8" w:rsidRPr="000F0F8E">
        <w:t>e</w:t>
      </w:r>
      <w:r w:rsidR="005C1999" w:rsidRPr="000F0F8E">
        <w:t xml:space="preserve"> </w:t>
      </w:r>
      <w:r w:rsidRPr="000F0F8E">
        <w:t>(</w:t>
      </w:r>
      <w:r w:rsidR="005C1999" w:rsidRPr="000F0F8E">
        <w:t>N</w:t>
      </w:r>
      <w:r w:rsidR="00BA0DC8" w:rsidRPr="000F0F8E">
        <w:t>R</w:t>
      </w:r>
      <w:r w:rsidR="005C1999" w:rsidRPr="000F0F8E">
        <w:t>SC</w:t>
      </w:r>
      <w:r w:rsidRPr="000F0F8E">
        <w:t>).</w:t>
      </w:r>
    </w:p>
    <w:p w:rsidR="00D33070" w:rsidRPr="000F0F8E" w:rsidRDefault="000C49DF" w:rsidP="00F90647">
      <w:pPr>
        <w:pStyle w:val="BodyText"/>
        <w:rPr>
          <w:bCs/>
          <w:lang w:eastAsia="en-GB"/>
        </w:rPr>
      </w:pPr>
      <w:r w:rsidRPr="000F0F8E">
        <w:rPr>
          <w:lang w:eastAsia="en-GB"/>
        </w:rPr>
        <w:t xml:space="preserve">Because nuclear safety and security </w:t>
      </w:r>
      <w:r w:rsidR="00BA0DC8" w:rsidRPr="000F0F8E">
        <w:rPr>
          <w:lang w:eastAsia="en-GB"/>
        </w:rPr>
        <w:t xml:space="preserve">are to a great extent </w:t>
      </w:r>
      <w:r w:rsidRPr="000F0F8E">
        <w:rPr>
          <w:lang w:eastAsia="en-GB"/>
        </w:rPr>
        <w:t>scien</w:t>
      </w:r>
      <w:r w:rsidR="00BA0DC8" w:rsidRPr="000F0F8E">
        <w:rPr>
          <w:lang w:eastAsia="en-GB"/>
        </w:rPr>
        <w:t>tific in nature</w:t>
      </w:r>
      <w:r w:rsidRPr="000F0F8E">
        <w:rPr>
          <w:lang w:eastAsia="en-GB"/>
        </w:rPr>
        <w:t xml:space="preserve">, </w:t>
      </w:r>
      <w:r w:rsidR="00BA0DC8" w:rsidRPr="000F0F8E">
        <w:rPr>
          <w:lang w:eastAsia="en-GB"/>
        </w:rPr>
        <w:t xml:space="preserve">a </w:t>
      </w:r>
      <w:r w:rsidRPr="000F0F8E">
        <w:rPr>
          <w:lang w:eastAsia="en-GB"/>
        </w:rPr>
        <w:t>regulatory body</w:t>
      </w:r>
      <w:r w:rsidR="00BA0DC8" w:rsidRPr="000F0F8E">
        <w:rPr>
          <w:lang w:eastAsia="en-GB"/>
        </w:rPr>
        <w:t xml:space="preserve"> with responsibilities for </w:t>
      </w:r>
      <w:r w:rsidRPr="000F0F8E">
        <w:rPr>
          <w:lang w:eastAsia="en-GB"/>
        </w:rPr>
        <w:t xml:space="preserve">nuclear facilities and other licensed activities involving radioactive </w:t>
      </w:r>
      <w:r w:rsidR="00BA0DC8" w:rsidRPr="000F0F8E">
        <w:rPr>
          <w:lang w:eastAsia="en-GB"/>
        </w:rPr>
        <w:t>material</w:t>
      </w:r>
      <w:r w:rsidRPr="000F0F8E">
        <w:rPr>
          <w:lang w:eastAsia="en-GB"/>
        </w:rPr>
        <w:t xml:space="preserve"> </w:t>
      </w:r>
      <w:r w:rsidR="00F90647" w:rsidRPr="000F0F8E">
        <w:rPr>
          <w:lang w:eastAsia="en-GB"/>
        </w:rPr>
        <w:t xml:space="preserve">needs to </w:t>
      </w:r>
      <w:r w:rsidR="008F247D" w:rsidRPr="000F0F8E">
        <w:rPr>
          <w:lang w:eastAsia="en-GB"/>
        </w:rPr>
        <w:t>have</w:t>
      </w:r>
      <w:r w:rsidRPr="000F0F8E">
        <w:rPr>
          <w:lang w:eastAsia="en-GB"/>
        </w:rPr>
        <w:t xml:space="preserve"> permanent access to </w:t>
      </w:r>
      <w:r w:rsidR="00273769" w:rsidRPr="000F0F8E">
        <w:rPr>
          <w:lang w:eastAsia="en-GB"/>
        </w:rPr>
        <w:t xml:space="preserve">supporting </w:t>
      </w:r>
      <w:r w:rsidR="00576193" w:rsidRPr="000F0F8E">
        <w:rPr>
          <w:lang w:eastAsia="en-GB"/>
        </w:rPr>
        <w:t>expertise</w:t>
      </w:r>
      <w:r w:rsidR="00F92B04" w:rsidRPr="000F0F8E">
        <w:rPr>
          <w:lang w:eastAsia="en-GB"/>
        </w:rPr>
        <w:t>.</w:t>
      </w:r>
      <w:r w:rsidR="00303178" w:rsidRPr="000F0F8E">
        <w:rPr>
          <w:lang w:eastAsia="en-GB"/>
        </w:rPr>
        <w:t xml:space="preserve"> The </w:t>
      </w:r>
      <w:r w:rsidRPr="000F0F8E">
        <w:rPr>
          <w:lang w:eastAsia="en-GB"/>
        </w:rPr>
        <w:t xml:space="preserve">suitable </w:t>
      </w:r>
      <w:r w:rsidRPr="000F0F8E">
        <w:rPr>
          <w:bCs/>
          <w:lang w:eastAsia="en-GB"/>
        </w:rPr>
        <w:t xml:space="preserve">technical and scientific </w:t>
      </w:r>
      <w:r w:rsidR="00576193" w:rsidRPr="000F0F8E">
        <w:rPr>
          <w:bCs/>
          <w:lang w:eastAsia="en-GB"/>
        </w:rPr>
        <w:t>competence</w:t>
      </w:r>
      <w:r w:rsidR="00303178" w:rsidRPr="000F0F8E">
        <w:rPr>
          <w:bCs/>
          <w:lang w:eastAsia="en-GB"/>
        </w:rPr>
        <w:t xml:space="preserve"> can either be provided </w:t>
      </w:r>
      <w:r w:rsidR="00DD4F0A" w:rsidRPr="000F0F8E">
        <w:rPr>
          <w:bCs/>
          <w:lang w:eastAsia="en-GB"/>
        </w:rPr>
        <w:t>internal</w:t>
      </w:r>
      <w:r w:rsidR="00D935E9" w:rsidRPr="000F0F8E">
        <w:rPr>
          <w:bCs/>
          <w:lang w:eastAsia="en-GB"/>
        </w:rPr>
        <w:t>ly</w:t>
      </w:r>
      <w:r w:rsidR="00DD4F0A" w:rsidRPr="000F0F8E">
        <w:rPr>
          <w:bCs/>
          <w:lang w:eastAsia="en-GB"/>
        </w:rPr>
        <w:t xml:space="preserve"> to the regulatory body or through an external entity such as </w:t>
      </w:r>
      <w:r w:rsidR="00303178" w:rsidRPr="000F0F8E">
        <w:rPr>
          <w:lang w:eastAsia="en-GB"/>
        </w:rPr>
        <w:t>a TSO</w:t>
      </w:r>
      <w:r w:rsidRPr="000F0F8E">
        <w:rPr>
          <w:bCs/>
          <w:lang w:eastAsia="en-GB"/>
        </w:rPr>
        <w:t>.</w:t>
      </w:r>
      <w:r w:rsidRPr="000F0F8E">
        <w:t xml:space="preserve"> </w:t>
      </w:r>
      <w:r w:rsidR="0018588F" w:rsidRPr="000F0F8E">
        <w:t xml:space="preserve">The continuous generation of </w:t>
      </w:r>
      <w:r w:rsidR="00273769" w:rsidRPr="000F0F8E">
        <w:t xml:space="preserve">such </w:t>
      </w:r>
      <w:r w:rsidR="0018588F" w:rsidRPr="000F0F8E">
        <w:t>expertise</w:t>
      </w:r>
      <w:r w:rsidR="00D64B69" w:rsidRPr="000F0F8E">
        <w:t xml:space="preserve"> to be</w:t>
      </w:r>
      <w:r w:rsidR="00273769" w:rsidRPr="000F0F8E">
        <w:t xml:space="preserve"> </w:t>
      </w:r>
      <w:r w:rsidR="0018588F" w:rsidRPr="000F0F8E">
        <w:t>able to provide a competent and time</w:t>
      </w:r>
      <w:r w:rsidR="00D33070" w:rsidRPr="000F0F8E">
        <w:t>ly response to regulatory needs</w:t>
      </w:r>
      <w:r w:rsidR="00273769" w:rsidRPr="000F0F8E">
        <w:t>,</w:t>
      </w:r>
      <w:r w:rsidR="00D33070" w:rsidRPr="000F0F8E">
        <w:t xml:space="preserve"> and the development and maintenance of an appropriate knowledge base and associated tools and services</w:t>
      </w:r>
      <w:r w:rsidR="00273769" w:rsidRPr="000F0F8E">
        <w:t>,</w:t>
      </w:r>
      <w:r w:rsidR="00D33070" w:rsidRPr="000F0F8E">
        <w:t xml:space="preserve"> including </w:t>
      </w:r>
      <w:r w:rsidR="00D33070" w:rsidRPr="000F0F8E">
        <w:rPr>
          <w:bCs/>
          <w:lang w:eastAsia="en-GB"/>
        </w:rPr>
        <w:t>training and tutoring services</w:t>
      </w:r>
      <w:r w:rsidR="00273769" w:rsidRPr="000F0F8E">
        <w:rPr>
          <w:bCs/>
          <w:lang w:eastAsia="en-GB"/>
        </w:rPr>
        <w:t>,</w:t>
      </w:r>
      <w:r w:rsidR="00D33070" w:rsidRPr="000F0F8E">
        <w:rPr>
          <w:bCs/>
          <w:lang w:eastAsia="en-GB"/>
        </w:rPr>
        <w:t xml:space="preserve"> </w:t>
      </w:r>
      <w:r w:rsidR="00273769" w:rsidRPr="000F0F8E">
        <w:rPr>
          <w:bCs/>
          <w:lang w:eastAsia="en-GB"/>
        </w:rPr>
        <w:t>are</w:t>
      </w:r>
      <w:r w:rsidR="00D33070" w:rsidRPr="000F0F8E">
        <w:rPr>
          <w:bCs/>
          <w:lang w:eastAsia="en-GB"/>
        </w:rPr>
        <w:t xml:space="preserve"> </w:t>
      </w:r>
      <w:r w:rsidR="009477DA" w:rsidRPr="000F0F8E">
        <w:rPr>
          <w:bCs/>
          <w:lang w:eastAsia="en-GB"/>
        </w:rPr>
        <w:t xml:space="preserve">the main </w:t>
      </w:r>
      <w:r w:rsidR="00273769" w:rsidRPr="000F0F8E">
        <w:rPr>
          <w:bCs/>
          <w:lang w:eastAsia="en-GB"/>
        </w:rPr>
        <w:t>areas on which</w:t>
      </w:r>
      <w:r w:rsidR="00D33070" w:rsidRPr="000F0F8E">
        <w:rPr>
          <w:bCs/>
          <w:lang w:eastAsia="en-GB"/>
        </w:rPr>
        <w:t xml:space="preserve"> the conference</w:t>
      </w:r>
      <w:r w:rsidR="00273769" w:rsidRPr="000F0F8E">
        <w:rPr>
          <w:bCs/>
          <w:lang w:eastAsia="en-GB"/>
        </w:rPr>
        <w:t xml:space="preserve"> will focus</w:t>
      </w:r>
      <w:r w:rsidR="00D33070" w:rsidRPr="000F0F8E">
        <w:rPr>
          <w:bCs/>
          <w:lang w:eastAsia="en-GB"/>
        </w:rPr>
        <w:t>.</w:t>
      </w:r>
    </w:p>
    <w:p w:rsidR="00D572CD" w:rsidRPr="000F0F8E" w:rsidRDefault="00D572CD" w:rsidP="00157449">
      <w:pPr>
        <w:pStyle w:val="BodyText"/>
      </w:pPr>
      <w:r w:rsidRPr="000F0F8E">
        <w:t xml:space="preserve">Since the last conference in 2010 the most challenging nuclear event has been the accident at TEPCO’s Fukushima Daiichi nuclear power plant </w:t>
      </w:r>
      <w:r w:rsidR="00B17F00" w:rsidRPr="000F0F8E">
        <w:t xml:space="preserve">in March 2011. </w:t>
      </w:r>
      <w:r w:rsidRPr="000F0F8E">
        <w:t xml:space="preserve">On 22 September 2011, the IAEA General Conference unanimously endorsed the approval of the draft IAEA Action Plan on Nuclear Safety by the Board of Governors. </w:t>
      </w:r>
      <w:r w:rsidR="00B17F00" w:rsidRPr="000F0F8E">
        <w:t>The Action Plan cover</w:t>
      </w:r>
      <w:r w:rsidR="00DE0D89" w:rsidRPr="000F0F8E">
        <w:t>s</w:t>
      </w:r>
      <w:r w:rsidR="00B17F00" w:rsidRPr="000F0F8E">
        <w:t xml:space="preserve"> all the relevant aspects relating to nuclear safety, emergency preparedness and response, and radiation protection of people and the environment, as well as the relevant international legal framework. </w:t>
      </w:r>
      <w:r w:rsidRPr="000F0F8E">
        <w:t>The Action Plan sets out a comprehensive programme of work, in 12 major areas, to strengthen nuclear safety worldwide.</w:t>
      </w:r>
      <w:r w:rsidR="00F90647" w:rsidRPr="000F0F8E">
        <w:rPr>
          <w:rStyle w:val="FootnoteReference"/>
        </w:rPr>
        <w:footnoteReference w:id="2"/>
      </w:r>
    </w:p>
    <w:p w:rsidR="00AC3FEB" w:rsidRPr="000F0F8E" w:rsidRDefault="00D572CD" w:rsidP="00DE0D89">
      <w:pPr>
        <w:pStyle w:val="BodyText"/>
      </w:pPr>
      <w:r w:rsidRPr="000F0F8E">
        <w:t xml:space="preserve">This conference is being organized in connection with the implementation of the IAEA Action Plan on Nuclear Safety. It will be </w:t>
      </w:r>
      <w:r w:rsidR="000621AB" w:rsidRPr="000F0F8E">
        <w:t>a</w:t>
      </w:r>
      <w:r w:rsidRPr="000F0F8E">
        <w:t xml:space="preserve"> major event specifically devoted to </w:t>
      </w:r>
      <w:r w:rsidR="00DE0D89" w:rsidRPr="000F0F8E">
        <w:t>TSOs</w:t>
      </w:r>
      <w:r w:rsidR="000621AB" w:rsidRPr="000F0F8E">
        <w:t xml:space="preserve"> </w:t>
      </w:r>
      <w:r w:rsidR="00DE0D89" w:rsidRPr="000F0F8E">
        <w:t xml:space="preserve">and their role in the light of </w:t>
      </w:r>
      <w:r w:rsidRPr="000F0F8E">
        <w:t>the Fukushima Daiichi nuclear accident. T</w:t>
      </w:r>
      <w:r w:rsidR="006921CF" w:rsidRPr="000F0F8E">
        <w:t>he implications of the accident for all Member States</w:t>
      </w:r>
      <w:r w:rsidR="00DE0D89" w:rsidRPr="000F0F8E">
        <w:t xml:space="preserve"> </w:t>
      </w:r>
      <w:r w:rsidRPr="000F0F8E">
        <w:t xml:space="preserve">— not only </w:t>
      </w:r>
      <w:r w:rsidR="006921CF" w:rsidRPr="000F0F8E">
        <w:t xml:space="preserve">for </w:t>
      </w:r>
      <w:r w:rsidRPr="000F0F8E">
        <w:t xml:space="preserve">those with operating </w:t>
      </w:r>
      <w:r w:rsidR="00DE0D89" w:rsidRPr="000F0F8E">
        <w:t xml:space="preserve">nuclear power plants </w:t>
      </w:r>
      <w:r w:rsidRPr="000F0F8E">
        <w:t xml:space="preserve">— </w:t>
      </w:r>
      <w:r w:rsidR="00F97175" w:rsidRPr="000F0F8E">
        <w:t xml:space="preserve">and the activities of TSOs in response to the accident </w:t>
      </w:r>
      <w:r w:rsidR="00D8288F" w:rsidRPr="000F0F8E">
        <w:t xml:space="preserve">and beyond </w:t>
      </w:r>
      <w:r w:rsidRPr="000F0F8E">
        <w:t>will be addressed.</w:t>
      </w:r>
    </w:p>
    <w:p w:rsidR="00733D7D" w:rsidRPr="000F0F8E" w:rsidRDefault="00733D7D" w:rsidP="00273769">
      <w:pPr>
        <w:pStyle w:val="Heading1"/>
      </w:pPr>
      <w:r w:rsidRPr="000F0F8E">
        <w:t>Objective</w:t>
      </w:r>
      <w:r w:rsidR="00AD20E1" w:rsidRPr="000F0F8E">
        <w:t>s</w:t>
      </w:r>
    </w:p>
    <w:p w:rsidR="00D935E9" w:rsidRPr="000F0F8E" w:rsidRDefault="00706AF4" w:rsidP="00F90647">
      <w:pPr>
        <w:pStyle w:val="BodyText"/>
      </w:pPr>
      <w:r w:rsidRPr="000F0F8E">
        <w:t xml:space="preserve">The conference </w:t>
      </w:r>
      <w:r w:rsidR="00DE0D89" w:rsidRPr="000F0F8E">
        <w:t xml:space="preserve">aims </w:t>
      </w:r>
      <w:r w:rsidRPr="000F0F8E">
        <w:t xml:space="preserve">to further develop the common understanding of the responsibilities, needs, functions and opportunities of TSOs, </w:t>
      </w:r>
      <w:r w:rsidR="00DE0D89" w:rsidRPr="000F0F8E">
        <w:t xml:space="preserve">as well as </w:t>
      </w:r>
      <w:r w:rsidRPr="000F0F8E">
        <w:t xml:space="preserve">to </w:t>
      </w:r>
      <w:r w:rsidR="00DE0D89" w:rsidRPr="000F0F8E">
        <w:t>strengthen</w:t>
      </w:r>
      <w:r w:rsidRPr="000F0F8E">
        <w:t xml:space="preserve"> international cooperation and networking </w:t>
      </w:r>
      <w:r w:rsidRPr="000F0F8E">
        <w:lastRenderedPageBreak/>
        <w:t xml:space="preserve">among TSOs </w:t>
      </w:r>
      <w:r w:rsidR="00DE0D89" w:rsidRPr="000F0F8E">
        <w:t xml:space="preserve">with a view to </w:t>
      </w:r>
      <w:r w:rsidRPr="000F0F8E">
        <w:t xml:space="preserve">enhancing nuclear and radiation safety regulation, including </w:t>
      </w:r>
      <w:r w:rsidR="00DE0D89" w:rsidRPr="000F0F8E">
        <w:t xml:space="preserve">through </w:t>
      </w:r>
      <w:r w:rsidRPr="000F0F8E">
        <w:t>capacity building in countries embarking on nuclear power programmes</w:t>
      </w:r>
      <w:r w:rsidR="00303513" w:rsidRPr="000F0F8E">
        <w:t xml:space="preserve"> for the first time</w:t>
      </w:r>
      <w:r w:rsidRPr="000F0F8E">
        <w:t>.</w:t>
      </w:r>
    </w:p>
    <w:p w:rsidR="00706AF4" w:rsidRPr="000F0F8E" w:rsidRDefault="00706AF4" w:rsidP="00CD2EBC">
      <w:pPr>
        <w:pStyle w:val="BodyText"/>
      </w:pPr>
      <w:r w:rsidRPr="000F0F8E">
        <w:t xml:space="preserve">The objectives of this conference are to assess and review ways to further improve the effectiveness of TSOs taking into account lessons learned from the Fukushima Daiichi </w:t>
      </w:r>
      <w:r w:rsidR="00BB748D" w:rsidRPr="000F0F8E">
        <w:t>nuclear accident</w:t>
      </w:r>
      <w:r w:rsidR="00CD2EBC" w:rsidRPr="000F0F8E">
        <w:t>. In particular, the conference</w:t>
      </w:r>
      <w:r w:rsidR="00BB748D" w:rsidRPr="000F0F8E">
        <w:t xml:space="preserve"> </w:t>
      </w:r>
      <w:r w:rsidR="00CD2EBC" w:rsidRPr="000F0F8E">
        <w:t>will</w:t>
      </w:r>
      <w:r w:rsidR="00BB748D" w:rsidRPr="000F0F8E">
        <w:t>:</w:t>
      </w:r>
    </w:p>
    <w:p w:rsidR="00FA4C8C" w:rsidRPr="000F0F8E" w:rsidRDefault="00FA4C8C" w:rsidP="00CD2EBC">
      <w:pPr>
        <w:pStyle w:val="ListParagraph"/>
        <w:numPr>
          <w:ilvl w:val="0"/>
          <w:numId w:val="17"/>
        </w:numPr>
        <w:spacing w:before="120" w:after="120" w:line="280" w:lineRule="atLeast"/>
        <w:ind w:left="714" w:hanging="357"/>
        <w:contextualSpacing w:val="0"/>
        <w:jc w:val="both"/>
        <w:rPr>
          <w:rFonts w:eastAsia="Times New Roman"/>
        </w:rPr>
      </w:pPr>
      <w:r w:rsidRPr="000F0F8E">
        <w:rPr>
          <w:rFonts w:eastAsia="Times New Roman"/>
        </w:rPr>
        <w:t>Discuss the role of research and development in enhancing nuclear safety</w:t>
      </w:r>
      <w:r w:rsidR="00BB748D" w:rsidRPr="000F0F8E">
        <w:rPr>
          <w:rFonts w:eastAsia="Times New Roman"/>
        </w:rPr>
        <w:t>;</w:t>
      </w:r>
    </w:p>
    <w:p w:rsidR="00706AF4" w:rsidRPr="000F0F8E" w:rsidRDefault="00F74648" w:rsidP="00157449">
      <w:pPr>
        <w:pStyle w:val="ListParagraph"/>
        <w:numPr>
          <w:ilvl w:val="0"/>
          <w:numId w:val="17"/>
        </w:numPr>
        <w:spacing w:before="120" w:after="120" w:line="280" w:lineRule="atLeast"/>
        <w:ind w:left="714" w:hanging="357"/>
        <w:contextualSpacing w:val="0"/>
        <w:jc w:val="both"/>
        <w:rPr>
          <w:rFonts w:eastAsia="Times New Roman"/>
        </w:rPr>
      </w:pPr>
      <w:r w:rsidRPr="000F0F8E">
        <w:rPr>
          <w:rFonts w:eastAsia="Times New Roman"/>
        </w:rPr>
        <w:t>Help participants to u</w:t>
      </w:r>
      <w:r w:rsidR="00706AF4" w:rsidRPr="000F0F8E">
        <w:rPr>
          <w:rFonts w:eastAsia="Times New Roman"/>
        </w:rPr>
        <w:t xml:space="preserve">nderstand the impact of the Fukushima </w:t>
      </w:r>
      <w:r w:rsidRPr="000F0F8E">
        <w:rPr>
          <w:rFonts w:eastAsia="Times New Roman"/>
        </w:rPr>
        <w:t xml:space="preserve">Daiichi </w:t>
      </w:r>
      <w:r w:rsidR="00706AF4" w:rsidRPr="000F0F8E">
        <w:rPr>
          <w:rFonts w:eastAsia="Times New Roman"/>
        </w:rPr>
        <w:t xml:space="preserve">accident on TSOs and </w:t>
      </w:r>
      <w:r w:rsidRPr="000F0F8E">
        <w:rPr>
          <w:rFonts w:eastAsia="Times New Roman"/>
        </w:rPr>
        <w:t xml:space="preserve">to </w:t>
      </w:r>
      <w:r w:rsidR="00706AF4" w:rsidRPr="000F0F8E">
        <w:rPr>
          <w:rFonts w:eastAsia="Times New Roman"/>
        </w:rPr>
        <w:t>extract lessons to be learned;</w:t>
      </w:r>
    </w:p>
    <w:p w:rsidR="00706AF4" w:rsidRPr="000F0F8E" w:rsidRDefault="00F74648" w:rsidP="00157449">
      <w:pPr>
        <w:pStyle w:val="ListParagraph"/>
        <w:numPr>
          <w:ilvl w:val="0"/>
          <w:numId w:val="17"/>
        </w:numPr>
        <w:spacing w:before="120" w:after="120" w:line="280" w:lineRule="atLeast"/>
        <w:ind w:left="714" w:hanging="357"/>
        <w:contextualSpacing w:val="0"/>
        <w:jc w:val="both"/>
        <w:rPr>
          <w:rFonts w:eastAsia="Times New Roman"/>
        </w:rPr>
      </w:pPr>
      <w:r w:rsidRPr="000F0F8E">
        <w:rPr>
          <w:rFonts w:eastAsia="Times New Roman"/>
        </w:rPr>
        <w:t xml:space="preserve">Highlight </w:t>
      </w:r>
      <w:r w:rsidR="00706AF4" w:rsidRPr="000F0F8E">
        <w:rPr>
          <w:rFonts w:eastAsia="Times New Roman"/>
        </w:rPr>
        <w:t>the role of TSOs in the implementation of the IAEA Action Plan on Nuclear Safety;</w:t>
      </w:r>
    </w:p>
    <w:p w:rsidR="00706AF4" w:rsidRPr="000F0F8E" w:rsidRDefault="00F74648" w:rsidP="00157449">
      <w:pPr>
        <w:pStyle w:val="ListParagraph"/>
        <w:numPr>
          <w:ilvl w:val="0"/>
          <w:numId w:val="17"/>
        </w:numPr>
        <w:spacing w:before="120" w:after="120" w:line="280" w:lineRule="atLeast"/>
        <w:ind w:left="714" w:hanging="357"/>
        <w:contextualSpacing w:val="0"/>
        <w:jc w:val="both"/>
        <w:rPr>
          <w:rFonts w:eastAsia="Times New Roman"/>
        </w:rPr>
      </w:pPr>
      <w:r w:rsidRPr="000F0F8E">
        <w:rPr>
          <w:rFonts w:eastAsia="Times New Roman"/>
        </w:rPr>
        <w:t xml:space="preserve">Provide a forum for discussion of </w:t>
      </w:r>
      <w:r w:rsidR="00706AF4" w:rsidRPr="000F0F8E">
        <w:rPr>
          <w:rFonts w:eastAsia="Times New Roman"/>
        </w:rPr>
        <w:t xml:space="preserve">the roles, functions and value of TSOs in enhancing nuclear and radiation safety and nuclear security, including </w:t>
      </w:r>
      <w:r w:rsidRPr="000F0F8E">
        <w:rPr>
          <w:rFonts w:eastAsia="Times New Roman"/>
        </w:rPr>
        <w:t xml:space="preserve">through </w:t>
      </w:r>
      <w:r w:rsidR="00706AF4" w:rsidRPr="000F0F8E">
        <w:rPr>
          <w:rFonts w:eastAsia="Times New Roman"/>
        </w:rPr>
        <w:t>capacity building in those countries launching or expanding their nuclear power programmes;</w:t>
      </w:r>
    </w:p>
    <w:p w:rsidR="00706AF4" w:rsidRPr="000F0F8E" w:rsidRDefault="00F74648" w:rsidP="00157449">
      <w:pPr>
        <w:pStyle w:val="ListParagraph"/>
        <w:numPr>
          <w:ilvl w:val="0"/>
          <w:numId w:val="17"/>
        </w:numPr>
        <w:spacing w:before="120" w:after="120" w:line="280" w:lineRule="atLeast"/>
        <w:ind w:left="714" w:hanging="357"/>
        <w:contextualSpacing w:val="0"/>
        <w:jc w:val="both"/>
        <w:rPr>
          <w:rFonts w:eastAsia="Times New Roman"/>
        </w:rPr>
      </w:pPr>
      <w:r w:rsidRPr="000F0F8E">
        <w:rPr>
          <w:rFonts w:eastAsia="Times New Roman"/>
        </w:rPr>
        <w:t xml:space="preserve">Facilitate the exchange of </w:t>
      </w:r>
      <w:r w:rsidR="00706AF4" w:rsidRPr="000F0F8E">
        <w:rPr>
          <w:rFonts w:eastAsia="Times New Roman"/>
        </w:rPr>
        <w:t>experience and good practices in planning and implementing cooperative activities for capacity building and in identifying needs for assistance activities from the standpoint of recipient countries;</w:t>
      </w:r>
    </w:p>
    <w:p w:rsidR="00706AF4" w:rsidRPr="000F0F8E" w:rsidRDefault="00F74648" w:rsidP="00157449">
      <w:pPr>
        <w:pStyle w:val="ListParagraph"/>
        <w:numPr>
          <w:ilvl w:val="0"/>
          <w:numId w:val="17"/>
        </w:numPr>
        <w:spacing w:before="120" w:after="120" w:line="280" w:lineRule="atLeast"/>
        <w:ind w:left="714" w:hanging="357"/>
        <w:contextualSpacing w:val="0"/>
        <w:jc w:val="both"/>
        <w:rPr>
          <w:rFonts w:eastAsia="Times New Roman"/>
        </w:rPr>
      </w:pPr>
      <w:r w:rsidRPr="000F0F8E">
        <w:rPr>
          <w:rFonts w:eastAsia="Times New Roman"/>
        </w:rPr>
        <w:t xml:space="preserve">Consider </w:t>
      </w:r>
      <w:r w:rsidR="00706AF4" w:rsidRPr="000F0F8E">
        <w:rPr>
          <w:rFonts w:eastAsia="Times New Roman"/>
        </w:rPr>
        <w:t xml:space="preserve">appropriate approaches </w:t>
      </w:r>
      <w:r w:rsidRPr="000F0F8E">
        <w:rPr>
          <w:rFonts w:eastAsia="Times New Roman"/>
        </w:rPr>
        <w:t xml:space="preserve">for </w:t>
      </w:r>
      <w:r w:rsidR="00706AF4" w:rsidRPr="000F0F8E">
        <w:rPr>
          <w:rFonts w:eastAsia="Times New Roman"/>
        </w:rPr>
        <w:t>enhancing cooperation and effective networking among TSOs and beyond</w:t>
      </w:r>
      <w:r w:rsidRPr="000F0F8E">
        <w:rPr>
          <w:rFonts w:eastAsia="Times New Roman"/>
        </w:rPr>
        <w:t>,</w:t>
      </w:r>
      <w:r w:rsidR="00706AF4" w:rsidRPr="000F0F8E">
        <w:rPr>
          <w:rFonts w:eastAsia="Times New Roman"/>
        </w:rPr>
        <w:t xml:space="preserve"> including centres of excellence;</w:t>
      </w:r>
    </w:p>
    <w:p w:rsidR="00706AF4" w:rsidRPr="000F0F8E" w:rsidRDefault="00706AF4" w:rsidP="00157449">
      <w:pPr>
        <w:pStyle w:val="ListParagraph"/>
        <w:numPr>
          <w:ilvl w:val="0"/>
          <w:numId w:val="17"/>
        </w:numPr>
        <w:spacing w:before="120" w:after="120" w:line="280" w:lineRule="atLeast"/>
        <w:ind w:left="714" w:hanging="357"/>
        <w:contextualSpacing w:val="0"/>
        <w:jc w:val="both"/>
        <w:rPr>
          <w:rFonts w:eastAsia="Times New Roman"/>
        </w:rPr>
      </w:pPr>
      <w:r w:rsidRPr="000F0F8E">
        <w:rPr>
          <w:rFonts w:eastAsia="Times New Roman"/>
        </w:rPr>
        <w:t>Provide an overview of the technical and scientific support needed for maintaining a sustainable nuclear safety and security system;</w:t>
      </w:r>
      <w:r w:rsidR="00F74648" w:rsidRPr="000F0F8E">
        <w:rPr>
          <w:rFonts w:eastAsia="Times New Roman"/>
        </w:rPr>
        <w:t xml:space="preserve"> and</w:t>
      </w:r>
    </w:p>
    <w:p w:rsidR="0060528D" w:rsidRPr="000F0F8E" w:rsidRDefault="00706AF4" w:rsidP="00157449">
      <w:pPr>
        <w:pStyle w:val="ListParagraph"/>
        <w:numPr>
          <w:ilvl w:val="0"/>
          <w:numId w:val="17"/>
        </w:numPr>
        <w:spacing w:before="120" w:after="120" w:line="280" w:lineRule="atLeast"/>
        <w:ind w:left="714" w:hanging="357"/>
        <w:contextualSpacing w:val="0"/>
        <w:jc w:val="both"/>
      </w:pPr>
      <w:r w:rsidRPr="000F0F8E">
        <w:rPr>
          <w:rFonts w:eastAsia="Times New Roman"/>
        </w:rPr>
        <w:t xml:space="preserve">Foster continued dialogue on </w:t>
      </w:r>
      <w:r w:rsidR="00F74648" w:rsidRPr="000F0F8E">
        <w:rPr>
          <w:rFonts w:eastAsia="Times New Roman"/>
        </w:rPr>
        <w:t xml:space="preserve">all relevant </w:t>
      </w:r>
      <w:r w:rsidRPr="000F0F8E">
        <w:rPr>
          <w:rFonts w:eastAsia="Times New Roman"/>
        </w:rPr>
        <w:t>technical, scientific, organizational and legal aspects at the international level.</w:t>
      </w:r>
    </w:p>
    <w:p w:rsidR="00733D7D" w:rsidRPr="000F0F8E" w:rsidRDefault="00733D7D" w:rsidP="00273769">
      <w:pPr>
        <w:pStyle w:val="Heading1"/>
      </w:pPr>
      <w:r w:rsidRPr="000F0F8E">
        <w:t>Topics</w:t>
      </w:r>
    </w:p>
    <w:p w:rsidR="00FD5A2D" w:rsidRPr="000F0F8E" w:rsidRDefault="00F95241" w:rsidP="00F74648">
      <w:pPr>
        <w:pStyle w:val="BodyTextSummary"/>
        <w:numPr>
          <w:ilvl w:val="0"/>
          <w:numId w:val="0"/>
        </w:numPr>
      </w:pPr>
      <w:r w:rsidRPr="000F0F8E">
        <w:t xml:space="preserve">The </w:t>
      </w:r>
      <w:r w:rsidR="00F74648" w:rsidRPr="000F0F8E">
        <w:t xml:space="preserve">conference sessions will be structured around the </w:t>
      </w:r>
      <w:r w:rsidRPr="000F0F8E">
        <w:t>following topical issues</w:t>
      </w:r>
      <w:r w:rsidR="00850C0A" w:rsidRPr="000F0F8E">
        <w:t>:</w:t>
      </w:r>
    </w:p>
    <w:p w:rsidR="00F95241" w:rsidRPr="000F0F8E" w:rsidRDefault="00F95241" w:rsidP="00E074D2">
      <w:pPr>
        <w:pStyle w:val="BodyTextSummary"/>
        <w:numPr>
          <w:ilvl w:val="0"/>
          <w:numId w:val="0"/>
        </w:numPr>
        <w:rPr>
          <w:b/>
          <w:bCs/>
        </w:rPr>
      </w:pPr>
      <w:r w:rsidRPr="000F0F8E">
        <w:rPr>
          <w:b/>
          <w:bCs/>
        </w:rPr>
        <w:t xml:space="preserve">Topical Issue 1: </w:t>
      </w:r>
      <w:r w:rsidR="00BB748D" w:rsidRPr="000F0F8E">
        <w:rPr>
          <w:b/>
          <w:bCs/>
        </w:rPr>
        <w:t xml:space="preserve">The </w:t>
      </w:r>
      <w:r w:rsidR="00E074D2">
        <w:rPr>
          <w:b/>
          <w:bCs/>
        </w:rPr>
        <w:t>R</w:t>
      </w:r>
      <w:r w:rsidR="00BB748D" w:rsidRPr="000F0F8E">
        <w:rPr>
          <w:b/>
          <w:bCs/>
        </w:rPr>
        <w:t xml:space="preserve">ole of TSOs in </w:t>
      </w:r>
      <w:r w:rsidR="00CD2EBC" w:rsidRPr="000F0F8E">
        <w:rPr>
          <w:b/>
          <w:bCs/>
        </w:rPr>
        <w:t>R</w:t>
      </w:r>
      <w:r w:rsidR="00BB748D" w:rsidRPr="000F0F8E">
        <w:rPr>
          <w:b/>
          <w:bCs/>
        </w:rPr>
        <w:t xml:space="preserve">elation to the Fukushima Daiichi </w:t>
      </w:r>
      <w:r w:rsidR="00CD2EBC" w:rsidRPr="000F0F8E">
        <w:rPr>
          <w:b/>
          <w:bCs/>
        </w:rPr>
        <w:t>A</w:t>
      </w:r>
      <w:r w:rsidR="00BB748D" w:rsidRPr="000F0F8E">
        <w:rPr>
          <w:b/>
          <w:bCs/>
        </w:rPr>
        <w:t>ccident</w:t>
      </w:r>
    </w:p>
    <w:p w:rsidR="00F95241" w:rsidRPr="000F0F8E" w:rsidRDefault="00F95241" w:rsidP="00F74648">
      <w:pPr>
        <w:pStyle w:val="BodyTextSummary"/>
      </w:pPr>
      <w:r w:rsidRPr="000F0F8E">
        <w:t>National and international experiences</w:t>
      </w:r>
    </w:p>
    <w:p w:rsidR="00F95241" w:rsidRPr="000F0F8E" w:rsidRDefault="00F95241" w:rsidP="00F74648">
      <w:pPr>
        <w:pStyle w:val="BodyTextSummary"/>
      </w:pPr>
      <w:r w:rsidRPr="000F0F8E">
        <w:t xml:space="preserve">Revision of </w:t>
      </w:r>
      <w:r w:rsidR="00BB748D" w:rsidRPr="000F0F8E">
        <w:t xml:space="preserve">national </w:t>
      </w:r>
      <w:r w:rsidRPr="000F0F8E">
        <w:t>safety requirements</w:t>
      </w:r>
    </w:p>
    <w:p w:rsidR="00F95241" w:rsidRPr="000F0F8E" w:rsidRDefault="00BB748D" w:rsidP="00F74648">
      <w:pPr>
        <w:pStyle w:val="BodyTextSummary"/>
      </w:pPr>
      <w:r w:rsidRPr="000F0F8E">
        <w:t>Response to</w:t>
      </w:r>
      <w:r w:rsidR="00F95241" w:rsidRPr="000F0F8E">
        <w:t xml:space="preserve"> the IAEA Action Plan on Nuclear Safety by Member States</w:t>
      </w:r>
    </w:p>
    <w:p w:rsidR="00BB748D" w:rsidRPr="000F0F8E" w:rsidRDefault="00BB748D" w:rsidP="00F74648">
      <w:pPr>
        <w:pStyle w:val="BodyTextSummary"/>
      </w:pPr>
      <w:r w:rsidRPr="000F0F8E">
        <w:t>Root cause investigations and simulations</w:t>
      </w:r>
    </w:p>
    <w:p w:rsidR="00F95241" w:rsidRPr="000F0F8E" w:rsidRDefault="00F95241" w:rsidP="00F74648">
      <w:pPr>
        <w:pStyle w:val="BodyTextSummary"/>
      </w:pPr>
      <w:r w:rsidRPr="000F0F8E">
        <w:t>Fukushima research</w:t>
      </w:r>
    </w:p>
    <w:p w:rsidR="00F95241" w:rsidRPr="000F0F8E" w:rsidRDefault="00F95241" w:rsidP="00F74648">
      <w:pPr>
        <w:pStyle w:val="BodyTextSummary"/>
        <w:numPr>
          <w:ilvl w:val="0"/>
          <w:numId w:val="0"/>
        </w:numPr>
        <w:rPr>
          <w:b/>
          <w:bCs/>
        </w:rPr>
      </w:pPr>
      <w:r w:rsidRPr="000F0F8E">
        <w:rPr>
          <w:b/>
          <w:bCs/>
        </w:rPr>
        <w:t>Topical Issue 2: Interface Issues</w:t>
      </w:r>
    </w:p>
    <w:p w:rsidR="00F95241" w:rsidRPr="000F0F8E" w:rsidRDefault="00A4642F" w:rsidP="00CD2EBC">
      <w:pPr>
        <w:pStyle w:val="BodyTextSummary"/>
      </w:pPr>
      <w:r w:rsidRPr="000F0F8E">
        <w:t>Meeting the challenges of the s</w:t>
      </w:r>
      <w:r w:rsidR="00F95241" w:rsidRPr="000F0F8E">
        <w:t>afety</w:t>
      </w:r>
      <w:r w:rsidR="00CD2EBC" w:rsidRPr="000F0F8E">
        <w:t>–</w:t>
      </w:r>
      <w:r w:rsidR="00F95241" w:rsidRPr="000F0F8E">
        <w:t>security</w:t>
      </w:r>
      <w:r w:rsidRPr="000F0F8E">
        <w:t xml:space="preserve"> interface</w:t>
      </w:r>
    </w:p>
    <w:p w:rsidR="00F95241" w:rsidRPr="000F0F8E" w:rsidRDefault="00F95241" w:rsidP="00F74648">
      <w:pPr>
        <w:pStyle w:val="BodyTextSummary"/>
      </w:pPr>
      <w:r w:rsidRPr="000F0F8E">
        <w:t>Public communication and awareness</w:t>
      </w:r>
    </w:p>
    <w:p w:rsidR="00F95241" w:rsidRPr="000F0F8E" w:rsidRDefault="00F95241" w:rsidP="00F74648">
      <w:pPr>
        <w:pStyle w:val="BodyTextSummary"/>
      </w:pPr>
      <w:r w:rsidRPr="000F0F8E">
        <w:t>Interface issues with the regulators</w:t>
      </w:r>
    </w:p>
    <w:p w:rsidR="00F95241" w:rsidRPr="000F0F8E" w:rsidRDefault="00A4642F" w:rsidP="00A4642F">
      <w:pPr>
        <w:pStyle w:val="BodyTextSummary"/>
      </w:pPr>
      <w:r w:rsidRPr="000F0F8E">
        <w:t>Interface issues with licensee</w:t>
      </w:r>
      <w:r w:rsidR="00CD2EBC" w:rsidRPr="000F0F8E">
        <w:t>s</w:t>
      </w:r>
      <w:r w:rsidRPr="000F0F8E">
        <w:t xml:space="preserve"> and industry</w:t>
      </w:r>
    </w:p>
    <w:p w:rsidR="005E23E3" w:rsidRPr="000F0F8E" w:rsidRDefault="005E23E3" w:rsidP="00CD2EBC">
      <w:pPr>
        <w:pStyle w:val="BodyTextSummary"/>
        <w:numPr>
          <w:ilvl w:val="0"/>
          <w:numId w:val="0"/>
        </w:numPr>
        <w:rPr>
          <w:b/>
          <w:bCs/>
        </w:rPr>
      </w:pPr>
      <w:r w:rsidRPr="000F0F8E">
        <w:rPr>
          <w:b/>
          <w:bCs/>
        </w:rPr>
        <w:lastRenderedPageBreak/>
        <w:t>Topical Issue 3: Emergency Preparedness and Response</w:t>
      </w:r>
    </w:p>
    <w:p w:rsidR="005E23E3" w:rsidRPr="000F0F8E" w:rsidRDefault="005E23E3" w:rsidP="00F74648">
      <w:pPr>
        <w:pStyle w:val="BodyTextSummary"/>
      </w:pPr>
      <w:r w:rsidRPr="000F0F8E">
        <w:t xml:space="preserve">National role </w:t>
      </w:r>
      <w:r w:rsidR="00397141" w:rsidRPr="000F0F8E">
        <w:t xml:space="preserve">of a TSO </w:t>
      </w:r>
      <w:r w:rsidR="002073F9" w:rsidRPr="000F0F8E">
        <w:t>during an emergency</w:t>
      </w:r>
    </w:p>
    <w:p w:rsidR="005E23E3" w:rsidRPr="000F0F8E" w:rsidRDefault="005E23E3" w:rsidP="00CD2EBC">
      <w:pPr>
        <w:pStyle w:val="BodyTextSummary"/>
      </w:pPr>
      <w:r w:rsidRPr="000F0F8E">
        <w:t>Assessment and prognosis during an emergency</w:t>
      </w:r>
      <w:r w:rsidR="002073F9" w:rsidRPr="000F0F8E">
        <w:t xml:space="preserve"> (short, medium and long</w:t>
      </w:r>
      <w:r w:rsidR="00CD2EBC" w:rsidRPr="000F0F8E">
        <w:t xml:space="preserve"> </w:t>
      </w:r>
      <w:r w:rsidR="002073F9" w:rsidRPr="000F0F8E">
        <w:t>term)</w:t>
      </w:r>
    </w:p>
    <w:p w:rsidR="002073F9" w:rsidRPr="000F0F8E" w:rsidRDefault="002073F9" w:rsidP="00F74648">
      <w:pPr>
        <w:pStyle w:val="BodyTextSummary"/>
      </w:pPr>
      <w:r w:rsidRPr="000F0F8E">
        <w:t>Emergency worker protection (on</w:t>
      </w:r>
      <w:r w:rsidR="00CD2EBC" w:rsidRPr="000F0F8E">
        <w:t>-</w:t>
      </w:r>
      <w:r w:rsidRPr="000F0F8E">
        <w:t xml:space="preserve"> and off</w:t>
      </w:r>
      <w:r w:rsidR="00CD2EBC" w:rsidRPr="000F0F8E">
        <w:t>-</w:t>
      </w:r>
      <w:r w:rsidRPr="000F0F8E">
        <w:t>site)</w:t>
      </w:r>
    </w:p>
    <w:p w:rsidR="002073F9" w:rsidRPr="000F0F8E" w:rsidRDefault="002073F9" w:rsidP="00F74648">
      <w:pPr>
        <w:pStyle w:val="BodyTextSummary"/>
      </w:pPr>
      <w:r w:rsidRPr="000F0F8E">
        <w:t xml:space="preserve">Training and exercises for </w:t>
      </w:r>
      <w:r w:rsidR="00397141" w:rsidRPr="000F0F8E">
        <w:t>emergency</w:t>
      </w:r>
      <w:r w:rsidRPr="000F0F8E">
        <w:t xml:space="preserve"> conditions (on</w:t>
      </w:r>
      <w:r w:rsidR="00CD2EBC" w:rsidRPr="000F0F8E">
        <w:t>-</w:t>
      </w:r>
      <w:r w:rsidRPr="000F0F8E">
        <w:t xml:space="preserve"> and off</w:t>
      </w:r>
      <w:r w:rsidR="00CD2EBC" w:rsidRPr="000F0F8E">
        <w:t>-</w:t>
      </w:r>
      <w:r w:rsidRPr="000F0F8E">
        <w:t>site)</w:t>
      </w:r>
    </w:p>
    <w:p w:rsidR="005E23E3" w:rsidRPr="000F0F8E" w:rsidRDefault="00D75484" w:rsidP="00F74648">
      <w:pPr>
        <w:pStyle w:val="BodyTextSummary"/>
      </w:pPr>
      <w:r w:rsidRPr="000F0F8E">
        <w:t>M</w:t>
      </w:r>
      <w:r w:rsidR="005E23E3" w:rsidRPr="000F0F8E">
        <w:t xml:space="preserve">edical </w:t>
      </w:r>
      <w:r w:rsidR="002073F9" w:rsidRPr="000F0F8E">
        <w:t>emer</w:t>
      </w:r>
      <w:r w:rsidRPr="000F0F8E">
        <w:t>gency preparedness and response</w:t>
      </w:r>
    </w:p>
    <w:p w:rsidR="005E23E3" w:rsidRPr="000F0F8E" w:rsidRDefault="005E23E3" w:rsidP="00F74648">
      <w:pPr>
        <w:pStyle w:val="BodyTextSummary"/>
        <w:numPr>
          <w:ilvl w:val="0"/>
          <w:numId w:val="0"/>
        </w:numPr>
        <w:rPr>
          <w:b/>
          <w:bCs/>
        </w:rPr>
      </w:pPr>
      <w:r w:rsidRPr="000F0F8E">
        <w:rPr>
          <w:b/>
          <w:bCs/>
        </w:rPr>
        <w:t xml:space="preserve">Topical Issue 4: Maintaining and </w:t>
      </w:r>
      <w:r w:rsidR="00F74648" w:rsidRPr="000F0F8E">
        <w:rPr>
          <w:b/>
          <w:bCs/>
        </w:rPr>
        <w:t>S</w:t>
      </w:r>
      <w:r w:rsidRPr="000F0F8E">
        <w:rPr>
          <w:b/>
          <w:bCs/>
        </w:rPr>
        <w:t xml:space="preserve">trengthening TSO </w:t>
      </w:r>
      <w:r w:rsidR="00F74648" w:rsidRPr="000F0F8E">
        <w:rPr>
          <w:b/>
          <w:bCs/>
        </w:rPr>
        <w:t>C</w:t>
      </w:r>
      <w:r w:rsidRPr="000F0F8E">
        <w:rPr>
          <w:b/>
          <w:bCs/>
        </w:rPr>
        <w:t>apabilities</w:t>
      </w:r>
    </w:p>
    <w:p w:rsidR="00397141" w:rsidRPr="000F0F8E" w:rsidRDefault="00397141" w:rsidP="00397141">
      <w:pPr>
        <w:pStyle w:val="BodyTextSummary"/>
      </w:pPr>
      <w:r w:rsidRPr="000F0F8E">
        <w:t>Human and organizational factors</w:t>
      </w:r>
    </w:p>
    <w:p w:rsidR="005E23E3" w:rsidRPr="000F0F8E" w:rsidRDefault="005E23E3" w:rsidP="00F74648">
      <w:pPr>
        <w:pStyle w:val="BodyTextSummary"/>
      </w:pPr>
      <w:r w:rsidRPr="000F0F8E">
        <w:t>Knowledge management</w:t>
      </w:r>
    </w:p>
    <w:p w:rsidR="005E23E3" w:rsidRPr="000F0F8E" w:rsidRDefault="005E23E3" w:rsidP="00F74648">
      <w:pPr>
        <w:pStyle w:val="BodyTextSummary"/>
      </w:pPr>
      <w:r w:rsidRPr="000F0F8E">
        <w:t>Training and tutoring</w:t>
      </w:r>
    </w:p>
    <w:p w:rsidR="005E23E3" w:rsidRPr="000F0F8E" w:rsidRDefault="005E23E3" w:rsidP="00F74648">
      <w:pPr>
        <w:pStyle w:val="BodyTextSummary"/>
      </w:pPr>
      <w:r w:rsidRPr="000F0F8E">
        <w:t>R</w:t>
      </w:r>
      <w:r w:rsidR="00F74648" w:rsidRPr="000F0F8E">
        <w:t>esearch and development</w:t>
      </w:r>
      <w:r w:rsidR="00F8617A" w:rsidRPr="000F0F8E">
        <w:t xml:space="preserve"> </w:t>
      </w:r>
      <w:r w:rsidR="001F7B81" w:rsidRPr="000F0F8E">
        <w:t>activities</w:t>
      </w:r>
    </w:p>
    <w:p w:rsidR="005E23E3" w:rsidRPr="000F0F8E" w:rsidRDefault="005E23E3" w:rsidP="00F74648">
      <w:pPr>
        <w:pStyle w:val="BodyTextSummary"/>
      </w:pPr>
      <w:r w:rsidRPr="000F0F8E">
        <w:t>Safety and security culture</w:t>
      </w:r>
      <w:r w:rsidR="00397141" w:rsidRPr="000F0F8E">
        <w:t>s</w:t>
      </w:r>
    </w:p>
    <w:p w:rsidR="005E23E3" w:rsidRPr="000F0F8E" w:rsidRDefault="005E23E3" w:rsidP="00CD2EBC">
      <w:pPr>
        <w:pStyle w:val="BodyTextSummary"/>
        <w:numPr>
          <w:ilvl w:val="0"/>
          <w:numId w:val="0"/>
        </w:numPr>
        <w:rPr>
          <w:b/>
          <w:bCs/>
        </w:rPr>
      </w:pPr>
      <w:r w:rsidRPr="000F0F8E">
        <w:rPr>
          <w:b/>
          <w:bCs/>
        </w:rPr>
        <w:t xml:space="preserve">Topical Issue 5: Networking among TSOs and </w:t>
      </w:r>
      <w:r w:rsidR="00CD2EBC" w:rsidRPr="000F0F8E">
        <w:rPr>
          <w:b/>
          <w:bCs/>
        </w:rPr>
        <w:t>B</w:t>
      </w:r>
      <w:r w:rsidRPr="000F0F8E">
        <w:rPr>
          <w:b/>
          <w:bCs/>
        </w:rPr>
        <w:t>eyond</w:t>
      </w:r>
    </w:p>
    <w:p w:rsidR="00397141" w:rsidRPr="000F0F8E" w:rsidRDefault="00397141" w:rsidP="00397141">
      <w:pPr>
        <w:pStyle w:val="BodyTextSummary"/>
      </w:pPr>
      <w:r w:rsidRPr="000F0F8E">
        <w:t>Contribution of IAEA to effective networking</w:t>
      </w:r>
    </w:p>
    <w:p w:rsidR="005E23E3" w:rsidRPr="000F0F8E" w:rsidRDefault="005E23E3" w:rsidP="00D249D2">
      <w:pPr>
        <w:pStyle w:val="BodyTextSummary"/>
      </w:pPr>
      <w:r w:rsidRPr="000F0F8E">
        <w:t xml:space="preserve">Progress </w:t>
      </w:r>
      <w:r w:rsidR="00F74648" w:rsidRPr="000F0F8E">
        <w:t xml:space="preserve">made </w:t>
      </w:r>
      <w:r w:rsidRPr="000F0F8E">
        <w:t xml:space="preserve">since </w:t>
      </w:r>
      <w:r w:rsidR="00F74648" w:rsidRPr="000F0F8E">
        <w:t xml:space="preserve">the </w:t>
      </w:r>
      <w:r w:rsidRPr="000F0F8E">
        <w:t>last conference</w:t>
      </w:r>
    </w:p>
    <w:p w:rsidR="005E23E3" w:rsidRPr="000F0F8E" w:rsidRDefault="005E23E3" w:rsidP="00CD2EBC">
      <w:pPr>
        <w:pStyle w:val="BodyTextSummary"/>
      </w:pPr>
      <w:r w:rsidRPr="000F0F8E">
        <w:t>TSO</w:t>
      </w:r>
      <w:r w:rsidR="008E6F63" w:rsidRPr="000F0F8E">
        <w:t>s</w:t>
      </w:r>
      <w:r w:rsidRPr="000F0F8E">
        <w:t xml:space="preserve"> in </w:t>
      </w:r>
      <w:r w:rsidR="00397141" w:rsidRPr="000F0F8E">
        <w:t xml:space="preserve">a </w:t>
      </w:r>
      <w:r w:rsidRPr="000F0F8E">
        <w:t xml:space="preserve">small </w:t>
      </w:r>
      <w:r w:rsidR="00397141" w:rsidRPr="000F0F8E">
        <w:t>or</w:t>
      </w:r>
      <w:r w:rsidR="007362FE" w:rsidRPr="000F0F8E">
        <w:t xml:space="preserve"> </w:t>
      </w:r>
      <w:r w:rsidR="00397141" w:rsidRPr="000F0F8E">
        <w:t xml:space="preserve">a </w:t>
      </w:r>
      <w:r w:rsidR="00F74648" w:rsidRPr="000F0F8E">
        <w:t xml:space="preserve">newcomer </w:t>
      </w:r>
      <w:r w:rsidRPr="000F0F8E">
        <w:t>countr</w:t>
      </w:r>
      <w:r w:rsidR="00397141" w:rsidRPr="000F0F8E">
        <w:t>y</w:t>
      </w:r>
    </w:p>
    <w:p w:rsidR="005E23E3" w:rsidRPr="000F0F8E" w:rsidRDefault="00397141" w:rsidP="00397141">
      <w:pPr>
        <w:pStyle w:val="BodyTextSummary"/>
      </w:pPr>
      <w:r w:rsidRPr="000F0F8E">
        <w:t>TSO</w:t>
      </w:r>
      <w:r w:rsidR="008E6F63" w:rsidRPr="000F0F8E">
        <w:t>s</w:t>
      </w:r>
      <w:r w:rsidR="00CD2EBC" w:rsidRPr="000F0F8E">
        <w:t>’</w:t>
      </w:r>
      <w:r w:rsidRPr="000F0F8E">
        <w:t xml:space="preserve"> support to strengthen newcomer countries</w:t>
      </w:r>
    </w:p>
    <w:p w:rsidR="005E23E3" w:rsidRPr="000F0F8E" w:rsidRDefault="005E23E3" w:rsidP="00D249D2">
      <w:pPr>
        <w:pStyle w:val="BodyTextSummary"/>
      </w:pPr>
      <w:r w:rsidRPr="000F0F8E">
        <w:t>Sharing of experiences and practices</w:t>
      </w:r>
    </w:p>
    <w:p w:rsidR="005E23E3" w:rsidRPr="000F0F8E" w:rsidRDefault="005E23E3" w:rsidP="00D249D2">
      <w:pPr>
        <w:pStyle w:val="BodyTextSummary"/>
      </w:pPr>
      <w:r w:rsidRPr="000F0F8E">
        <w:t>Regional networks</w:t>
      </w:r>
    </w:p>
    <w:p w:rsidR="00DD1A95" w:rsidRPr="000F0F8E" w:rsidRDefault="00DD1A95" w:rsidP="00273769">
      <w:pPr>
        <w:pStyle w:val="Heading1"/>
      </w:pPr>
      <w:r w:rsidRPr="000F0F8E">
        <w:t>Target Audience</w:t>
      </w:r>
    </w:p>
    <w:p w:rsidR="00DD1A95" w:rsidRPr="000F0F8E" w:rsidRDefault="00DD1A95" w:rsidP="00D249D2">
      <w:pPr>
        <w:pStyle w:val="BodyTextMultiline"/>
        <w:numPr>
          <w:ilvl w:val="0"/>
          <w:numId w:val="0"/>
        </w:numPr>
        <w:rPr>
          <w:szCs w:val="22"/>
        </w:rPr>
      </w:pPr>
      <w:r w:rsidRPr="000F0F8E">
        <w:rPr>
          <w:szCs w:val="22"/>
        </w:rPr>
        <w:t>The conference is directed at a broad range of experts in the area</w:t>
      </w:r>
      <w:r w:rsidR="00D249D2" w:rsidRPr="000F0F8E">
        <w:rPr>
          <w:szCs w:val="22"/>
        </w:rPr>
        <w:t>s</w:t>
      </w:r>
      <w:r w:rsidRPr="000F0F8E">
        <w:rPr>
          <w:szCs w:val="22"/>
        </w:rPr>
        <w:t xml:space="preserve"> of nuclear safety and security,</w:t>
      </w:r>
      <w:r w:rsidR="00D249D2" w:rsidRPr="000F0F8E">
        <w:rPr>
          <w:szCs w:val="22"/>
        </w:rPr>
        <w:t xml:space="preserve"> and aims to</w:t>
      </w:r>
      <w:r w:rsidRPr="000F0F8E">
        <w:rPr>
          <w:szCs w:val="22"/>
        </w:rPr>
        <w:t xml:space="preserve"> bring together the world’s senior </w:t>
      </w:r>
      <w:r w:rsidR="00DF684F" w:rsidRPr="000F0F8E">
        <w:rPr>
          <w:szCs w:val="22"/>
        </w:rPr>
        <w:t>representatives</w:t>
      </w:r>
      <w:r w:rsidRPr="000F0F8E">
        <w:rPr>
          <w:szCs w:val="22"/>
        </w:rPr>
        <w:t xml:space="preserve"> from TSOs, regulator</w:t>
      </w:r>
      <w:r w:rsidR="00D249D2" w:rsidRPr="000F0F8E">
        <w:rPr>
          <w:szCs w:val="22"/>
        </w:rPr>
        <w:t>y bodies</w:t>
      </w:r>
      <w:r w:rsidRPr="000F0F8E">
        <w:rPr>
          <w:szCs w:val="22"/>
        </w:rPr>
        <w:t>, industry/operators, research organizations and other relevant stakeholders.</w:t>
      </w:r>
    </w:p>
    <w:p w:rsidR="00733D7D" w:rsidRPr="000F0F8E" w:rsidRDefault="00733D7D" w:rsidP="00273769">
      <w:pPr>
        <w:pStyle w:val="Heading1"/>
      </w:pPr>
      <w:r w:rsidRPr="000F0F8E">
        <w:t>Programme Structure</w:t>
      </w:r>
    </w:p>
    <w:p w:rsidR="00FD5A2D" w:rsidRPr="000F0F8E" w:rsidRDefault="00FD5A2D" w:rsidP="00FD5A2D">
      <w:pPr>
        <w:pStyle w:val="BodyText"/>
        <w:rPr>
          <w:szCs w:val="22"/>
        </w:rPr>
      </w:pPr>
      <w:r w:rsidRPr="000F0F8E">
        <w:rPr>
          <w:szCs w:val="22"/>
        </w:rPr>
        <w:t>Th</w:t>
      </w:r>
      <w:r w:rsidR="002A296E" w:rsidRPr="000F0F8E">
        <w:rPr>
          <w:szCs w:val="22"/>
        </w:rPr>
        <w:t>e</w:t>
      </w:r>
      <w:r w:rsidRPr="000F0F8E">
        <w:rPr>
          <w:szCs w:val="22"/>
        </w:rPr>
        <w:t xml:space="preserve"> conference will consist of an opening </w:t>
      </w:r>
      <w:r w:rsidR="006806B1" w:rsidRPr="000F0F8E">
        <w:rPr>
          <w:szCs w:val="22"/>
        </w:rPr>
        <w:t>plenary</w:t>
      </w:r>
      <w:r w:rsidRPr="000F0F8E">
        <w:rPr>
          <w:szCs w:val="22"/>
        </w:rPr>
        <w:t xml:space="preserve">, </w:t>
      </w:r>
      <w:r w:rsidR="006806B1" w:rsidRPr="000F0F8E">
        <w:rPr>
          <w:szCs w:val="22"/>
        </w:rPr>
        <w:t>five</w:t>
      </w:r>
      <w:r w:rsidR="00136DF2" w:rsidRPr="000F0F8E">
        <w:rPr>
          <w:szCs w:val="22"/>
        </w:rPr>
        <w:t xml:space="preserve"> topical</w:t>
      </w:r>
      <w:r w:rsidR="006806B1" w:rsidRPr="000F0F8E">
        <w:rPr>
          <w:szCs w:val="22"/>
        </w:rPr>
        <w:t xml:space="preserve"> sessions with panel discussions and a c</w:t>
      </w:r>
      <w:r w:rsidR="00136DF2" w:rsidRPr="000F0F8E">
        <w:rPr>
          <w:szCs w:val="22"/>
        </w:rPr>
        <w:t>oncluding</w:t>
      </w:r>
      <w:r w:rsidRPr="000F0F8E">
        <w:rPr>
          <w:szCs w:val="22"/>
        </w:rPr>
        <w:t xml:space="preserve"> session.</w:t>
      </w:r>
    </w:p>
    <w:p w:rsidR="00FD5A2D" w:rsidRPr="000F0F8E" w:rsidRDefault="006806B1" w:rsidP="00D249D2">
      <w:pPr>
        <w:pStyle w:val="BodyText"/>
        <w:rPr>
          <w:szCs w:val="22"/>
        </w:rPr>
      </w:pPr>
      <w:r w:rsidRPr="000F0F8E">
        <w:rPr>
          <w:szCs w:val="22"/>
        </w:rPr>
        <w:t xml:space="preserve">The </w:t>
      </w:r>
      <w:r w:rsidRPr="000F0F8E">
        <w:rPr>
          <w:b/>
          <w:bCs/>
          <w:szCs w:val="22"/>
        </w:rPr>
        <w:t>opening plenary</w:t>
      </w:r>
      <w:r w:rsidRPr="000F0F8E">
        <w:rPr>
          <w:szCs w:val="22"/>
        </w:rPr>
        <w:t xml:space="preserve"> will consist of opening addresses followed by a keynote panel discussion to </w:t>
      </w:r>
      <w:r w:rsidRPr="000F0F8E">
        <w:rPr>
          <w:iCs/>
          <w:szCs w:val="22"/>
        </w:rPr>
        <w:t>highlight and prioritize urgent policy and technical challenges in nuclear safety and security</w:t>
      </w:r>
      <w:r w:rsidR="00FD5A2D" w:rsidRPr="000F0F8E">
        <w:rPr>
          <w:szCs w:val="22"/>
        </w:rPr>
        <w:t xml:space="preserve"> to be addressed </w:t>
      </w:r>
      <w:r w:rsidR="00D249D2" w:rsidRPr="000F0F8E">
        <w:rPr>
          <w:szCs w:val="22"/>
        </w:rPr>
        <w:t>pursuant to</w:t>
      </w:r>
      <w:r w:rsidR="00FD5A2D" w:rsidRPr="000F0F8E">
        <w:rPr>
          <w:szCs w:val="22"/>
        </w:rPr>
        <w:t xml:space="preserve"> the major objectives of the conference.</w:t>
      </w:r>
    </w:p>
    <w:p w:rsidR="00136DF2" w:rsidRPr="000F0F8E" w:rsidRDefault="00136DF2" w:rsidP="00136DF2">
      <w:pPr>
        <w:spacing w:after="170" w:line="280" w:lineRule="atLeast"/>
        <w:jc w:val="both"/>
        <w:rPr>
          <w:szCs w:val="22"/>
        </w:rPr>
      </w:pPr>
      <w:r w:rsidRPr="000F0F8E">
        <w:rPr>
          <w:szCs w:val="22"/>
        </w:rPr>
        <w:t xml:space="preserve">The </w:t>
      </w:r>
      <w:r w:rsidRPr="000F0F8E">
        <w:rPr>
          <w:b/>
          <w:bCs/>
          <w:szCs w:val="22"/>
        </w:rPr>
        <w:t>five topical sessions</w:t>
      </w:r>
      <w:r w:rsidRPr="000F0F8E">
        <w:rPr>
          <w:szCs w:val="22"/>
        </w:rPr>
        <w:t xml:space="preserve"> will address the topical issues listed in Section C. After the panel discussions in the technical sessions, conclusions and recommendations will be drawn up.</w:t>
      </w:r>
    </w:p>
    <w:p w:rsidR="00136DF2" w:rsidRPr="000F0F8E" w:rsidRDefault="00136DF2" w:rsidP="00136DF2">
      <w:pPr>
        <w:spacing w:after="170" w:line="280" w:lineRule="atLeast"/>
        <w:ind w:right="-285"/>
        <w:jc w:val="both"/>
        <w:rPr>
          <w:szCs w:val="22"/>
        </w:rPr>
      </w:pPr>
      <w:r w:rsidRPr="000F0F8E">
        <w:rPr>
          <w:szCs w:val="22"/>
        </w:rPr>
        <w:t>Each session will consist of:</w:t>
      </w:r>
    </w:p>
    <w:p w:rsidR="00136DF2" w:rsidRPr="000F0F8E" w:rsidRDefault="00136DF2" w:rsidP="00136DF2">
      <w:pPr>
        <w:widowControl w:val="0"/>
        <w:numPr>
          <w:ilvl w:val="0"/>
          <w:numId w:val="24"/>
        </w:numPr>
        <w:tabs>
          <w:tab w:val="left" w:pos="1134"/>
        </w:tabs>
        <w:overflowPunct/>
        <w:spacing w:after="170" w:line="280" w:lineRule="atLeast"/>
        <w:jc w:val="both"/>
        <w:textAlignment w:val="auto"/>
        <w:rPr>
          <w:szCs w:val="22"/>
        </w:rPr>
      </w:pPr>
      <w:r w:rsidRPr="000F0F8E">
        <w:rPr>
          <w:szCs w:val="22"/>
        </w:rPr>
        <w:t xml:space="preserve">Opening of the session by the </w:t>
      </w:r>
      <w:r w:rsidR="003518FA" w:rsidRPr="000F0F8E">
        <w:rPr>
          <w:szCs w:val="22"/>
        </w:rPr>
        <w:t>C</w:t>
      </w:r>
      <w:r w:rsidRPr="000F0F8E">
        <w:rPr>
          <w:szCs w:val="22"/>
        </w:rPr>
        <w:t>hairperson;</w:t>
      </w:r>
    </w:p>
    <w:p w:rsidR="00136DF2" w:rsidRPr="000F0F8E" w:rsidRDefault="00136DF2" w:rsidP="00136DF2">
      <w:pPr>
        <w:widowControl w:val="0"/>
        <w:numPr>
          <w:ilvl w:val="0"/>
          <w:numId w:val="24"/>
        </w:numPr>
        <w:tabs>
          <w:tab w:val="left" w:pos="1134"/>
        </w:tabs>
        <w:overflowPunct/>
        <w:spacing w:after="170" w:line="280" w:lineRule="atLeast"/>
        <w:jc w:val="both"/>
        <w:textAlignment w:val="auto"/>
        <w:rPr>
          <w:szCs w:val="22"/>
        </w:rPr>
      </w:pPr>
      <w:r w:rsidRPr="000F0F8E">
        <w:rPr>
          <w:szCs w:val="22"/>
        </w:rPr>
        <w:t>Invited papers to cover the topical issues specified</w:t>
      </w:r>
      <w:r w:rsidR="00B76005" w:rsidRPr="000F0F8E">
        <w:rPr>
          <w:szCs w:val="22"/>
        </w:rPr>
        <w:t xml:space="preserve"> (each invited paper will be allotted 20 min</w:t>
      </w:r>
      <w:r w:rsidR="00D249D2" w:rsidRPr="000F0F8E">
        <w:rPr>
          <w:szCs w:val="22"/>
        </w:rPr>
        <w:t>utes</w:t>
      </w:r>
      <w:r w:rsidR="00B76005" w:rsidRPr="000F0F8E">
        <w:rPr>
          <w:szCs w:val="22"/>
        </w:rPr>
        <w:t>)</w:t>
      </w:r>
      <w:r w:rsidRPr="000F0F8E">
        <w:rPr>
          <w:szCs w:val="22"/>
        </w:rPr>
        <w:t>;</w:t>
      </w:r>
      <w:r w:rsidR="00D249D2" w:rsidRPr="000F0F8E">
        <w:rPr>
          <w:szCs w:val="22"/>
        </w:rPr>
        <w:t xml:space="preserve"> and</w:t>
      </w:r>
    </w:p>
    <w:p w:rsidR="00136DF2" w:rsidRPr="000F0F8E" w:rsidRDefault="00136DF2" w:rsidP="00136DF2">
      <w:pPr>
        <w:widowControl w:val="0"/>
        <w:numPr>
          <w:ilvl w:val="0"/>
          <w:numId w:val="24"/>
        </w:numPr>
        <w:tabs>
          <w:tab w:val="left" w:pos="1134"/>
        </w:tabs>
        <w:overflowPunct/>
        <w:spacing w:after="170" w:line="280" w:lineRule="atLeast"/>
        <w:jc w:val="both"/>
        <w:textAlignment w:val="auto"/>
        <w:rPr>
          <w:szCs w:val="22"/>
        </w:rPr>
      </w:pPr>
      <w:r w:rsidRPr="000F0F8E">
        <w:rPr>
          <w:szCs w:val="22"/>
        </w:rPr>
        <w:t>A panel discussion.</w:t>
      </w:r>
    </w:p>
    <w:p w:rsidR="00FD5A2D" w:rsidRPr="000F0F8E" w:rsidRDefault="00FD5A2D" w:rsidP="00AB3441">
      <w:pPr>
        <w:pStyle w:val="BodyText"/>
        <w:rPr>
          <w:szCs w:val="22"/>
        </w:rPr>
      </w:pPr>
      <w:r w:rsidRPr="000F0F8E">
        <w:rPr>
          <w:szCs w:val="22"/>
        </w:rPr>
        <w:t xml:space="preserve">The </w:t>
      </w:r>
      <w:r w:rsidRPr="000F0F8E">
        <w:rPr>
          <w:b/>
          <w:szCs w:val="22"/>
        </w:rPr>
        <w:t>panel discussion</w:t>
      </w:r>
      <w:r w:rsidR="00136DF2" w:rsidRPr="000F0F8E">
        <w:rPr>
          <w:b/>
          <w:szCs w:val="22"/>
        </w:rPr>
        <w:t>s</w:t>
      </w:r>
      <w:r w:rsidRPr="000F0F8E">
        <w:rPr>
          <w:szCs w:val="22"/>
        </w:rPr>
        <w:t xml:space="preserve"> will address the challenges resulting from the keynote panel </w:t>
      </w:r>
      <w:r w:rsidR="00D249D2" w:rsidRPr="000F0F8E">
        <w:rPr>
          <w:szCs w:val="22"/>
        </w:rPr>
        <w:t xml:space="preserve">discussion, </w:t>
      </w:r>
      <w:r w:rsidRPr="000F0F8E">
        <w:rPr>
          <w:szCs w:val="22"/>
        </w:rPr>
        <w:t>as well as from the topical sessions, and will focus on actions needed to enhance the global nu</w:t>
      </w:r>
      <w:r w:rsidR="00136DF2" w:rsidRPr="000F0F8E">
        <w:rPr>
          <w:szCs w:val="22"/>
        </w:rPr>
        <w:t>clear safety and security framework</w:t>
      </w:r>
      <w:r w:rsidRPr="000F0F8E">
        <w:rPr>
          <w:szCs w:val="22"/>
        </w:rPr>
        <w:t>.</w:t>
      </w:r>
      <w:r w:rsidR="00AC65C7" w:rsidRPr="000F0F8E">
        <w:rPr>
          <w:szCs w:val="22"/>
        </w:rPr>
        <w:t xml:space="preserve"> Members of the panel in these discussions will include the invited speakers of the respective session. Authors of contributed papers</w:t>
      </w:r>
      <w:r w:rsidR="00B76005" w:rsidRPr="000F0F8E">
        <w:rPr>
          <w:szCs w:val="22"/>
        </w:rPr>
        <w:t xml:space="preserve"> (see Section F) may be invited </w:t>
      </w:r>
      <w:r w:rsidR="00D249D2" w:rsidRPr="000F0F8E">
        <w:rPr>
          <w:szCs w:val="22"/>
        </w:rPr>
        <w:t>on</w:t>
      </w:r>
      <w:r w:rsidR="00B76005" w:rsidRPr="000F0F8E">
        <w:rPr>
          <w:szCs w:val="22"/>
        </w:rPr>
        <w:t>to the panel</w:t>
      </w:r>
      <w:r w:rsidR="00AC65C7" w:rsidRPr="000F0F8E">
        <w:rPr>
          <w:szCs w:val="22"/>
        </w:rPr>
        <w:t xml:space="preserve"> if </w:t>
      </w:r>
      <w:r w:rsidR="00AB3441" w:rsidRPr="000F0F8E">
        <w:rPr>
          <w:szCs w:val="22"/>
        </w:rPr>
        <w:t xml:space="preserve">it is </w:t>
      </w:r>
      <w:r w:rsidR="00AC65C7" w:rsidRPr="000F0F8E">
        <w:rPr>
          <w:szCs w:val="22"/>
        </w:rPr>
        <w:t xml:space="preserve">considered </w:t>
      </w:r>
      <w:r w:rsidR="00AB3441" w:rsidRPr="000F0F8E">
        <w:rPr>
          <w:szCs w:val="22"/>
        </w:rPr>
        <w:t>that they can make a significant</w:t>
      </w:r>
      <w:r w:rsidR="00AC65C7" w:rsidRPr="000F0F8E">
        <w:rPr>
          <w:szCs w:val="22"/>
        </w:rPr>
        <w:t xml:space="preserve"> </w:t>
      </w:r>
      <w:r w:rsidR="00B76005" w:rsidRPr="000F0F8E">
        <w:rPr>
          <w:szCs w:val="22"/>
        </w:rPr>
        <w:t>active contribut</w:t>
      </w:r>
      <w:r w:rsidR="00AB3441" w:rsidRPr="000F0F8E">
        <w:rPr>
          <w:szCs w:val="22"/>
        </w:rPr>
        <w:t>ion</w:t>
      </w:r>
      <w:r w:rsidR="00B76005" w:rsidRPr="000F0F8E">
        <w:rPr>
          <w:szCs w:val="22"/>
        </w:rPr>
        <w:t xml:space="preserve"> to the</w:t>
      </w:r>
      <w:r w:rsidR="00AC65C7" w:rsidRPr="000F0F8E">
        <w:rPr>
          <w:szCs w:val="22"/>
        </w:rPr>
        <w:t xml:space="preserve"> discussions.</w:t>
      </w:r>
    </w:p>
    <w:p w:rsidR="00FD5A2D" w:rsidRPr="000F0F8E" w:rsidRDefault="00FD5A2D" w:rsidP="00FD5A2D">
      <w:pPr>
        <w:pStyle w:val="BodyText"/>
        <w:rPr>
          <w:szCs w:val="22"/>
        </w:rPr>
      </w:pPr>
      <w:r w:rsidRPr="000F0F8E">
        <w:rPr>
          <w:szCs w:val="22"/>
        </w:rPr>
        <w:t>Th</w:t>
      </w:r>
      <w:r w:rsidR="00136DF2" w:rsidRPr="000F0F8E">
        <w:rPr>
          <w:szCs w:val="22"/>
        </w:rPr>
        <w:t>e</w:t>
      </w:r>
      <w:r w:rsidRPr="000F0F8E">
        <w:rPr>
          <w:szCs w:val="22"/>
        </w:rPr>
        <w:t xml:space="preserve"> discussion</w:t>
      </w:r>
      <w:r w:rsidR="00136DF2" w:rsidRPr="000F0F8E">
        <w:rPr>
          <w:szCs w:val="22"/>
        </w:rPr>
        <w:t>s</w:t>
      </w:r>
      <w:r w:rsidRPr="000F0F8E">
        <w:rPr>
          <w:szCs w:val="22"/>
        </w:rPr>
        <w:t xml:space="preserve"> will bring into focus the essence of the various sessions and will provide strong input</w:t>
      </w:r>
      <w:r w:rsidR="00136DF2" w:rsidRPr="000F0F8E">
        <w:rPr>
          <w:szCs w:val="22"/>
        </w:rPr>
        <w:t xml:space="preserve"> for the conference’s concluding</w:t>
      </w:r>
      <w:r w:rsidRPr="000F0F8E">
        <w:rPr>
          <w:szCs w:val="22"/>
        </w:rPr>
        <w:t xml:space="preserve"> session.</w:t>
      </w:r>
    </w:p>
    <w:p w:rsidR="00FD5A2D" w:rsidRPr="000F0F8E" w:rsidRDefault="00AB3441" w:rsidP="00AB3441">
      <w:pPr>
        <w:pStyle w:val="BodyText"/>
        <w:rPr>
          <w:szCs w:val="22"/>
        </w:rPr>
      </w:pPr>
      <w:r w:rsidRPr="000F0F8E">
        <w:rPr>
          <w:szCs w:val="22"/>
        </w:rPr>
        <w:t xml:space="preserve">At </w:t>
      </w:r>
      <w:r w:rsidR="00FD5A2D" w:rsidRPr="000F0F8E">
        <w:rPr>
          <w:szCs w:val="22"/>
        </w:rPr>
        <w:t xml:space="preserve">the </w:t>
      </w:r>
      <w:r w:rsidR="00FD5A2D" w:rsidRPr="000F0F8E">
        <w:rPr>
          <w:b/>
          <w:szCs w:val="22"/>
        </w:rPr>
        <w:t>c</w:t>
      </w:r>
      <w:r w:rsidR="00465088" w:rsidRPr="000F0F8E">
        <w:rPr>
          <w:b/>
          <w:szCs w:val="22"/>
        </w:rPr>
        <w:t>l</w:t>
      </w:r>
      <w:r w:rsidR="00FD5A2D" w:rsidRPr="000F0F8E">
        <w:rPr>
          <w:b/>
          <w:szCs w:val="22"/>
        </w:rPr>
        <w:t>o</w:t>
      </w:r>
      <w:r w:rsidR="00465088" w:rsidRPr="000F0F8E">
        <w:rPr>
          <w:b/>
          <w:szCs w:val="22"/>
        </w:rPr>
        <w:t xml:space="preserve">sing </w:t>
      </w:r>
      <w:r w:rsidR="00FD5A2D" w:rsidRPr="000F0F8E">
        <w:rPr>
          <w:b/>
          <w:szCs w:val="22"/>
        </w:rPr>
        <w:t>session</w:t>
      </w:r>
      <w:r w:rsidR="00FD5A2D" w:rsidRPr="000F0F8E">
        <w:rPr>
          <w:szCs w:val="22"/>
        </w:rPr>
        <w:t xml:space="preserve">, </w:t>
      </w:r>
      <w:r w:rsidR="00465088" w:rsidRPr="000F0F8E">
        <w:rPr>
          <w:szCs w:val="22"/>
        </w:rPr>
        <w:t xml:space="preserve">the President of the conference will present </w:t>
      </w:r>
      <w:r w:rsidR="00A16A15" w:rsidRPr="000F0F8E">
        <w:rPr>
          <w:szCs w:val="22"/>
        </w:rPr>
        <w:t xml:space="preserve">session </w:t>
      </w:r>
      <w:r w:rsidR="00465088" w:rsidRPr="000F0F8E">
        <w:rPr>
          <w:szCs w:val="22"/>
        </w:rPr>
        <w:t xml:space="preserve">summaries </w:t>
      </w:r>
      <w:r w:rsidR="00A16A15" w:rsidRPr="000F0F8E">
        <w:rPr>
          <w:szCs w:val="22"/>
        </w:rPr>
        <w:t>according to the topical issues listed in Section C</w:t>
      </w:r>
      <w:r w:rsidR="00465088" w:rsidRPr="000F0F8E">
        <w:rPr>
          <w:szCs w:val="22"/>
        </w:rPr>
        <w:t>.</w:t>
      </w:r>
      <w:r w:rsidR="00852FE7" w:rsidRPr="000F0F8E">
        <w:rPr>
          <w:szCs w:val="22"/>
        </w:rPr>
        <w:t xml:space="preserve"> From these summaries the President of the conference will develop</w:t>
      </w:r>
      <w:r w:rsidR="00465088" w:rsidRPr="000F0F8E">
        <w:rPr>
          <w:szCs w:val="22"/>
        </w:rPr>
        <w:t xml:space="preserve"> </w:t>
      </w:r>
      <w:r w:rsidR="00FD5A2D" w:rsidRPr="000F0F8E">
        <w:rPr>
          <w:szCs w:val="22"/>
        </w:rPr>
        <w:t>the summary and conclusions of the conference, including visions, strategies and actions for the future, as well as issues for consideration by governments, regulatory bodies</w:t>
      </w:r>
      <w:r w:rsidR="00A16A15" w:rsidRPr="000F0F8E">
        <w:rPr>
          <w:szCs w:val="22"/>
        </w:rPr>
        <w:t>, TSOs</w:t>
      </w:r>
      <w:r w:rsidR="00FD5A2D" w:rsidRPr="000F0F8E">
        <w:rPr>
          <w:szCs w:val="22"/>
        </w:rPr>
        <w:t xml:space="preserve"> and international organizations</w:t>
      </w:r>
      <w:r w:rsidR="00136DF2" w:rsidRPr="000F0F8E">
        <w:rPr>
          <w:szCs w:val="22"/>
        </w:rPr>
        <w:t>.</w:t>
      </w:r>
    </w:p>
    <w:p w:rsidR="005134E1" w:rsidRPr="000F0F8E" w:rsidRDefault="00792232" w:rsidP="00157449">
      <w:pPr>
        <w:pStyle w:val="Heading1"/>
      </w:pPr>
      <w:r w:rsidRPr="000F0F8E">
        <w:t xml:space="preserve">Synopses and </w:t>
      </w:r>
      <w:r w:rsidR="00175771" w:rsidRPr="000F0F8E">
        <w:t xml:space="preserve">Contributed </w:t>
      </w:r>
      <w:r w:rsidRPr="000F0F8E">
        <w:t>Papers</w:t>
      </w:r>
    </w:p>
    <w:p w:rsidR="000D5714" w:rsidRPr="000F0F8E" w:rsidRDefault="000D5714" w:rsidP="000D5714">
      <w:pPr>
        <w:overflowPunct/>
        <w:autoSpaceDE/>
        <w:autoSpaceDN/>
        <w:adjustRightInd/>
        <w:spacing w:after="170" w:line="280" w:lineRule="atLeast"/>
        <w:jc w:val="both"/>
        <w:textAlignment w:val="auto"/>
        <w:rPr>
          <w:szCs w:val="22"/>
        </w:rPr>
      </w:pPr>
      <w:r w:rsidRPr="000F0F8E">
        <w:rPr>
          <w:szCs w:val="22"/>
        </w:rPr>
        <w:t>Concise papers on topics falling within the scope of the conference (see Section C) may be submitted as contributions to the conference. All papers</w:t>
      </w:r>
      <w:r w:rsidR="002A296E" w:rsidRPr="000F0F8E">
        <w:rPr>
          <w:szCs w:val="22"/>
        </w:rPr>
        <w:t>, apart from</w:t>
      </w:r>
      <w:r w:rsidRPr="000F0F8E">
        <w:rPr>
          <w:szCs w:val="22"/>
        </w:rPr>
        <w:t xml:space="preserve"> invited papers</w:t>
      </w:r>
      <w:r w:rsidR="002A296E" w:rsidRPr="000F0F8E">
        <w:rPr>
          <w:szCs w:val="22"/>
        </w:rPr>
        <w:t>,</w:t>
      </w:r>
      <w:r w:rsidRPr="000F0F8E">
        <w:rPr>
          <w:szCs w:val="22"/>
        </w:rPr>
        <w:t xml:space="preserve"> must present original work and must not have been published elsewhere.</w:t>
      </w:r>
    </w:p>
    <w:p w:rsidR="000D5714" w:rsidRPr="000F0F8E" w:rsidRDefault="000D5714" w:rsidP="000D5714">
      <w:pPr>
        <w:overflowPunct/>
        <w:autoSpaceDE/>
        <w:autoSpaceDN/>
        <w:adjustRightInd/>
        <w:spacing w:after="170" w:line="280" w:lineRule="atLeast"/>
        <w:jc w:val="both"/>
        <w:textAlignment w:val="auto"/>
        <w:rPr>
          <w:szCs w:val="22"/>
        </w:rPr>
      </w:pPr>
      <w:r w:rsidRPr="000F0F8E">
        <w:rPr>
          <w:szCs w:val="22"/>
        </w:rPr>
        <w:t xml:space="preserve">Authors of </w:t>
      </w:r>
      <w:r w:rsidR="00C5614E" w:rsidRPr="000F0F8E">
        <w:rPr>
          <w:szCs w:val="22"/>
        </w:rPr>
        <w:t xml:space="preserve">accepted </w:t>
      </w:r>
      <w:r w:rsidRPr="000F0F8E">
        <w:rPr>
          <w:szCs w:val="22"/>
        </w:rPr>
        <w:t xml:space="preserve">papers </w:t>
      </w:r>
      <w:r w:rsidR="00C5614E" w:rsidRPr="000F0F8E">
        <w:rPr>
          <w:szCs w:val="22"/>
        </w:rPr>
        <w:t>are expected to</w:t>
      </w:r>
      <w:r w:rsidRPr="000F0F8E">
        <w:rPr>
          <w:szCs w:val="22"/>
        </w:rPr>
        <w:t xml:space="preserve"> present the substance of their papers in the form of </w:t>
      </w:r>
      <w:r w:rsidRPr="000F0F8E">
        <w:rPr>
          <w:b/>
          <w:bCs/>
          <w:szCs w:val="22"/>
        </w:rPr>
        <w:t>posters</w:t>
      </w:r>
      <w:r w:rsidRPr="000F0F8E">
        <w:rPr>
          <w:szCs w:val="22"/>
        </w:rPr>
        <w:t xml:space="preserve">, </w:t>
      </w:r>
      <w:r w:rsidRPr="000F0F8E">
        <w:rPr>
          <w:b/>
          <w:bCs/>
          <w:szCs w:val="22"/>
        </w:rPr>
        <w:t>which will be exhibited in a</w:t>
      </w:r>
      <w:r w:rsidRPr="000F0F8E">
        <w:rPr>
          <w:szCs w:val="22"/>
        </w:rPr>
        <w:t xml:space="preserve"> </w:t>
      </w:r>
      <w:r w:rsidRPr="000F0F8E">
        <w:rPr>
          <w:b/>
          <w:bCs/>
          <w:szCs w:val="22"/>
        </w:rPr>
        <w:t>Poster Area</w:t>
      </w:r>
      <w:r w:rsidRPr="000F0F8E">
        <w:rPr>
          <w:szCs w:val="22"/>
        </w:rPr>
        <w:t>. It is expected that at a least one author of each poster will attend the conference in order to be available to discuss the poster.</w:t>
      </w:r>
    </w:p>
    <w:p w:rsidR="000D5714" w:rsidRPr="000F0F8E" w:rsidRDefault="000D5714" w:rsidP="00CD2EBC">
      <w:pPr>
        <w:pStyle w:val="Heading2"/>
        <w:numPr>
          <w:ilvl w:val="1"/>
          <w:numId w:val="3"/>
        </w:numPr>
        <w:rPr>
          <w:sz w:val="24"/>
          <w:szCs w:val="24"/>
        </w:rPr>
      </w:pPr>
      <w:r w:rsidRPr="000F0F8E">
        <w:rPr>
          <w:sz w:val="24"/>
          <w:szCs w:val="24"/>
        </w:rPr>
        <w:t xml:space="preserve">Submission of </w:t>
      </w:r>
      <w:r w:rsidR="00CD2EBC" w:rsidRPr="000F0F8E">
        <w:rPr>
          <w:sz w:val="24"/>
          <w:szCs w:val="24"/>
        </w:rPr>
        <w:t>S</w:t>
      </w:r>
      <w:r w:rsidR="00932675" w:rsidRPr="000F0F8E">
        <w:rPr>
          <w:sz w:val="24"/>
          <w:szCs w:val="24"/>
        </w:rPr>
        <w:t>ynopses</w:t>
      </w:r>
    </w:p>
    <w:p w:rsidR="008E6D9C" w:rsidRPr="000F0F8E" w:rsidRDefault="006E7CF7" w:rsidP="00CD2EBC">
      <w:pPr>
        <w:pStyle w:val="BodyText"/>
      </w:pPr>
      <w:r w:rsidRPr="000F0F8E">
        <w:rPr>
          <w:szCs w:val="22"/>
        </w:rPr>
        <w:t>Anyone</w:t>
      </w:r>
      <w:r w:rsidR="00932675" w:rsidRPr="000F0F8E">
        <w:rPr>
          <w:szCs w:val="22"/>
        </w:rPr>
        <w:t xml:space="preserve"> wish</w:t>
      </w:r>
      <w:r w:rsidRPr="000F0F8E">
        <w:rPr>
          <w:szCs w:val="22"/>
        </w:rPr>
        <w:t>ing</w:t>
      </w:r>
      <w:r w:rsidR="00932675" w:rsidRPr="000F0F8E">
        <w:rPr>
          <w:szCs w:val="22"/>
        </w:rPr>
        <w:t xml:space="preserve"> to present a </w:t>
      </w:r>
      <w:r w:rsidR="00C83E66" w:rsidRPr="000F0F8E">
        <w:rPr>
          <w:szCs w:val="22"/>
        </w:rPr>
        <w:t>paper</w:t>
      </w:r>
      <w:r w:rsidR="00932675" w:rsidRPr="000F0F8E">
        <w:rPr>
          <w:szCs w:val="22"/>
        </w:rPr>
        <w:t xml:space="preserve"> at the conference must submit</w:t>
      </w:r>
      <w:r w:rsidR="00932675" w:rsidRPr="000F0F8E">
        <w:rPr>
          <w:b/>
          <w:szCs w:val="22"/>
        </w:rPr>
        <w:t xml:space="preserve"> </w:t>
      </w:r>
      <w:r w:rsidR="00932675" w:rsidRPr="000F0F8E">
        <w:rPr>
          <w:bCs/>
          <w:szCs w:val="22"/>
        </w:rPr>
        <w:t xml:space="preserve">a synopsis </w:t>
      </w:r>
      <w:r w:rsidR="00932675" w:rsidRPr="000F0F8E">
        <w:rPr>
          <w:b/>
          <w:bCs/>
        </w:rPr>
        <w:t>in electronic format</w:t>
      </w:r>
      <w:r w:rsidR="00932675" w:rsidRPr="000F0F8E">
        <w:t xml:space="preserve"> (no paper copies) directly to the IAEA. Instructions on how to upload the synopsis to the conference’s web browser-based file submission system (IAEA-INDICO) will be available on the conference web page (see Section </w:t>
      </w:r>
      <w:r w:rsidR="00BF30A6" w:rsidRPr="000F0F8E">
        <w:t>O</w:t>
      </w:r>
      <w:r w:rsidR="00932675" w:rsidRPr="000F0F8E">
        <w:t xml:space="preserve">) as of </w:t>
      </w:r>
      <w:r w:rsidR="008E6D9C" w:rsidRPr="000F0F8E">
        <w:t>10 February</w:t>
      </w:r>
      <w:r w:rsidR="00932675" w:rsidRPr="000F0F8E">
        <w:t xml:space="preserve"> 201</w:t>
      </w:r>
      <w:r w:rsidR="00142B34" w:rsidRPr="000F0F8E">
        <w:t>4</w:t>
      </w:r>
      <w:r w:rsidR="00932675" w:rsidRPr="000F0F8E">
        <w:t xml:space="preserve">. The synopses </w:t>
      </w:r>
      <w:r w:rsidR="00932675" w:rsidRPr="000F0F8E">
        <w:rPr>
          <w:b/>
          <w:bCs/>
        </w:rPr>
        <w:t>must</w:t>
      </w:r>
      <w:r w:rsidR="00932675" w:rsidRPr="000F0F8E">
        <w:t xml:space="preserve"> be submitted through this system </w:t>
      </w:r>
      <w:r w:rsidR="00142B34" w:rsidRPr="000F0F8E">
        <w:rPr>
          <w:b/>
        </w:rPr>
        <w:t>between</w:t>
      </w:r>
      <w:r w:rsidR="008E6D9C" w:rsidRPr="000F0F8E">
        <w:rPr>
          <w:b/>
        </w:rPr>
        <w:t xml:space="preserve"> 1</w:t>
      </w:r>
      <w:r w:rsidR="00342E5C">
        <w:rPr>
          <w:b/>
        </w:rPr>
        <w:t>1</w:t>
      </w:r>
      <w:r w:rsidRPr="000F0F8E">
        <w:rPr>
          <w:b/>
        </w:rPr>
        <w:t> </w:t>
      </w:r>
      <w:r w:rsidR="008E6D9C" w:rsidRPr="000F0F8E">
        <w:rPr>
          <w:b/>
        </w:rPr>
        <w:t>February</w:t>
      </w:r>
      <w:r w:rsidRPr="000F0F8E">
        <w:rPr>
          <w:b/>
        </w:rPr>
        <w:t xml:space="preserve"> </w:t>
      </w:r>
      <w:r w:rsidRPr="00130AAD">
        <w:rPr>
          <w:b/>
        </w:rPr>
        <w:t xml:space="preserve">and </w:t>
      </w:r>
      <w:r w:rsidR="008E6D9C" w:rsidRPr="00130AAD">
        <w:rPr>
          <w:b/>
        </w:rPr>
        <w:t>1</w:t>
      </w:r>
      <w:r w:rsidR="002A36AF" w:rsidRPr="00130AAD">
        <w:rPr>
          <w:b/>
        </w:rPr>
        <w:t xml:space="preserve">8 </w:t>
      </w:r>
      <w:r w:rsidR="00672363" w:rsidRPr="00130AAD">
        <w:rPr>
          <w:b/>
        </w:rPr>
        <w:t>April</w:t>
      </w:r>
      <w:r w:rsidR="00932675" w:rsidRPr="00130AAD">
        <w:rPr>
          <w:b/>
          <w:bCs/>
        </w:rPr>
        <w:t xml:space="preserve"> 201</w:t>
      </w:r>
      <w:r w:rsidR="002A36AF" w:rsidRPr="00130AAD">
        <w:rPr>
          <w:b/>
          <w:bCs/>
        </w:rPr>
        <w:t>4</w:t>
      </w:r>
      <w:r w:rsidR="00932675" w:rsidRPr="00130AAD">
        <w:t xml:space="preserve">. </w:t>
      </w:r>
      <w:r w:rsidR="00932675" w:rsidRPr="000F0F8E">
        <w:t>No other form of submission will be accepted.</w:t>
      </w:r>
    </w:p>
    <w:p w:rsidR="00B732CD" w:rsidRDefault="00B732CD" w:rsidP="00932675">
      <w:pPr>
        <w:pStyle w:val="BodyText"/>
      </w:pPr>
      <w:r>
        <w:br w:type="page"/>
      </w:r>
    </w:p>
    <w:p w:rsidR="00932675" w:rsidRPr="00130AAD" w:rsidRDefault="00932675" w:rsidP="00932675">
      <w:pPr>
        <w:pStyle w:val="BodyText"/>
      </w:pPr>
      <w:r w:rsidRPr="000F0F8E">
        <w:t>In addition, authors must submit the following two forms to their appropriate governmental authority (see section G) for transmission to the IAEA. These forms must be rec</w:t>
      </w:r>
      <w:r w:rsidR="002A36AF" w:rsidRPr="000F0F8E">
        <w:t xml:space="preserve">eived by the IAEA no later than </w:t>
      </w:r>
      <w:r w:rsidR="008E6D9C" w:rsidRPr="00130AAD">
        <w:rPr>
          <w:b/>
        </w:rPr>
        <w:t>1</w:t>
      </w:r>
      <w:r w:rsidR="002A36AF" w:rsidRPr="00130AAD">
        <w:rPr>
          <w:b/>
        </w:rPr>
        <w:t xml:space="preserve">8 </w:t>
      </w:r>
      <w:r w:rsidR="00FF3039" w:rsidRPr="00130AAD">
        <w:rPr>
          <w:b/>
        </w:rPr>
        <w:t>April</w:t>
      </w:r>
      <w:r w:rsidRPr="00130AAD">
        <w:rPr>
          <w:b/>
        </w:rPr>
        <w:t xml:space="preserve"> 201</w:t>
      </w:r>
      <w:r w:rsidR="002A36AF" w:rsidRPr="00130AAD">
        <w:rPr>
          <w:b/>
        </w:rPr>
        <w:t>4</w:t>
      </w:r>
      <w:r w:rsidRPr="00130AAD">
        <w:t>.</w:t>
      </w:r>
    </w:p>
    <w:p w:rsidR="00932675" w:rsidRPr="00130AAD" w:rsidRDefault="00932675" w:rsidP="00932675">
      <w:pPr>
        <w:numPr>
          <w:ilvl w:val="0"/>
          <w:numId w:val="25"/>
        </w:numPr>
        <w:spacing w:before="120" w:after="120"/>
        <w:rPr>
          <w:szCs w:val="11"/>
        </w:rPr>
      </w:pPr>
      <w:r w:rsidRPr="00130AAD">
        <w:rPr>
          <w:szCs w:val="11"/>
        </w:rPr>
        <w:t>Participation Form (Form A)</w:t>
      </w:r>
    </w:p>
    <w:p w:rsidR="00932675" w:rsidRPr="00130AAD" w:rsidRDefault="00932675" w:rsidP="00932675">
      <w:pPr>
        <w:numPr>
          <w:ilvl w:val="0"/>
          <w:numId w:val="25"/>
        </w:numPr>
        <w:spacing w:before="120" w:after="120"/>
        <w:ind w:left="714" w:hanging="357"/>
        <w:rPr>
          <w:bCs/>
        </w:rPr>
      </w:pPr>
      <w:r w:rsidRPr="00130AAD">
        <w:rPr>
          <w:szCs w:val="11"/>
        </w:rPr>
        <w:t>Form for Submission of a Paper (Form B)</w:t>
      </w:r>
    </w:p>
    <w:p w:rsidR="00932675" w:rsidRPr="00130AAD" w:rsidRDefault="00932675" w:rsidP="00932675">
      <w:pPr>
        <w:pStyle w:val="BodyText"/>
      </w:pPr>
      <w:r w:rsidRPr="00130AAD">
        <w:rPr>
          <w:b/>
          <w:bCs/>
        </w:rPr>
        <w:t>IMPORTANT:</w:t>
      </w:r>
      <w:r w:rsidRPr="00130AAD">
        <w:rPr>
          <w:bCs/>
        </w:rPr>
        <w:t xml:space="preserve"> </w:t>
      </w:r>
      <w:r w:rsidRPr="00130AAD">
        <w:t xml:space="preserve">The electronically received synopses will be considered by the Programme Committee only if these two forms have been received by the IAEA through the established official channels (see Section </w:t>
      </w:r>
      <w:r w:rsidR="006D158E" w:rsidRPr="00130AAD">
        <w:t>G</w:t>
      </w:r>
      <w:r w:rsidRPr="00130AAD">
        <w:t>).</w:t>
      </w:r>
    </w:p>
    <w:p w:rsidR="00932675" w:rsidRPr="00130AAD" w:rsidRDefault="00932675" w:rsidP="00CD2EBC">
      <w:pPr>
        <w:pStyle w:val="Heading2"/>
        <w:numPr>
          <w:ilvl w:val="1"/>
          <w:numId w:val="3"/>
        </w:numPr>
        <w:rPr>
          <w:sz w:val="24"/>
          <w:szCs w:val="24"/>
        </w:rPr>
      </w:pPr>
      <w:r w:rsidRPr="00130AAD">
        <w:rPr>
          <w:sz w:val="24"/>
          <w:szCs w:val="24"/>
        </w:rPr>
        <w:t xml:space="preserve">Acceptance of </w:t>
      </w:r>
      <w:r w:rsidR="00CD2EBC" w:rsidRPr="00130AAD">
        <w:rPr>
          <w:sz w:val="24"/>
          <w:szCs w:val="24"/>
        </w:rPr>
        <w:t>S</w:t>
      </w:r>
      <w:r w:rsidRPr="00130AAD">
        <w:rPr>
          <w:sz w:val="24"/>
          <w:szCs w:val="24"/>
        </w:rPr>
        <w:t>ynopses</w:t>
      </w:r>
      <w:r w:rsidR="00792232" w:rsidRPr="00130AAD">
        <w:rPr>
          <w:sz w:val="24"/>
          <w:szCs w:val="24"/>
        </w:rPr>
        <w:t xml:space="preserve"> </w:t>
      </w:r>
    </w:p>
    <w:p w:rsidR="00932675" w:rsidRPr="000F0F8E" w:rsidRDefault="006E7CF7" w:rsidP="00932675">
      <w:pPr>
        <w:tabs>
          <w:tab w:val="left" w:pos="1440"/>
          <w:tab w:val="left" w:pos="8496"/>
        </w:tabs>
        <w:spacing w:after="170" w:line="280" w:lineRule="atLeast"/>
        <w:ind w:left="11" w:hanging="11"/>
        <w:jc w:val="both"/>
      </w:pPr>
      <w:r w:rsidRPr="00130AAD">
        <w:rPr>
          <w:szCs w:val="22"/>
        </w:rPr>
        <w:t xml:space="preserve">Authors will be notified by email by </w:t>
      </w:r>
      <w:r w:rsidR="00CC226C" w:rsidRPr="00130AAD">
        <w:rPr>
          <w:b/>
          <w:szCs w:val="22"/>
        </w:rPr>
        <w:t>16 May</w:t>
      </w:r>
      <w:r w:rsidR="00142B34" w:rsidRPr="00130AAD">
        <w:rPr>
          <w:b/>
          <w:szCs w:val="22"/>
        </w:rPr>
        <w:t xml:space="preserve"> 2014</w:t>
      </w:r>
      <w:r w:rsidRPr="00130AAD">
        <w:rPr>
          <w:szCs w:val="22"/>
        </w:rPr>
        <w:t xml:space="preserve"> as to </w:t>
      </w:r>
      <w:r w:rsidRPr="000F0F8E">
        <w:rPr>
          <w:szCs w:val="22"/>
        </w:rPr>
        <w:t>whether, on the basis of the electronically received synopses, their papers have been accepted for poster presentation.</w:t>
      </w:r>
    </w:p>
    <w:p w:rsidR="000D5714" w:rsidRPr="000F0F8E" w:rsidRDefault="00792232" w:rsidP="00CD2EBC">
      <w:pPr>
        <w:pStyle w:val="Heading2"/>
        <w:numPr>
          <w:ilvl w:val="1"/>
          <w:numId w:val="3"/>
        </w:numPr>
        <w:rPr>
          <w:sz w:val="24"/>
          <w:szCs w:val="24"/>
        </w:rPr>
      </w:pPr>
      <w:r w:rsidRPr="000F0F8E">
        <w:rPr>
          <w:sz w:val="24"/>
          <w:szCs w:val="24"/>
        </w:rPr>
        <w:t xml:space="preserve">Submission </w:t>
      </w:r>
      <w:r w:rsidR="000D5714" w:rsidRPr="000F0F8E">
        <w:rPr>
          <w:sz w:val="24"/>
          <w:szCs w:val="24"/>
        </w:rPr>
        <w:t xml:space="preserve">of </w:t>
      </w:r>
      <w:r w:rsidR="00CD2EBC" w:rsidRPr="000F0F8E">
        <w:rPr>
          <w:sz w:val="24"/>
          <w:szCs w:val="24"/>
        </w:rPr>
        <w:t>F</w:t>
      </w:r>
      <w:r w:rsidRPr="000F0F8E">
        <w:rPr>
          <w:sz w:val="24"/>
          <w:szCs w:val="24"/>
        </w:rPr>
        <w:t xml:space="preserve">ull </w:t>
      </w:r>
      <w:r w:rsidR="00CD2EBC" w:rsidRPr="000F0F8E">
        <w:rPr>
          <w:sz w:val="24"/>
          <w:szCs w:val="24"/>
        </w:rPr>
        <w:t>P</w:t>
      </w:r>
      <w:r w:rsidR="006E7CF7" w:rsidRPr="000F0F8E">
        <w:rPr>
          <w:sz w:val="24"/>
          <w:szCs w:val="24"/>
        </w:rPr>
        <w:t>apers</w:t>
      </w:r>
    </w:p>
    <w:p w:rsidR="001A0CED" w:rsidRPr="000F0F8E" w:rsidRDefault="00C91818" w:rsidP="00CD2EBC">
      <w:pPr>
        <w:pStyle w:val="BodyTextMultiline"/>
        <w:numPr>
          <w:ilvl w:val="0"/>
          <w:numId w:val="0"/>
        </w:numPr>
      </w:pPr>
      <w:r w:rsidRPr="000F0F8E">
        <w:rPr>
          <w:szCs w:val="22"/>
        </w:rPr>
        <w:t xml:space="preserve">Only authors of accepted </w:t>
      </w:r>
      <w:r w:rsidR="006E7CF7" w:rsidRPr="000F0F8E">
        <w:rPr>
          <w:szCs w:val="22"/>
        </w:rPr>
        <w:t>synopses</w:t>
      </w:r>
      <w:r w:rsidRPr="000F0F8E">
        <w:rPr>
          <w:szCs w:val="22"/>
        </w:rPr>
        <w:t xml:space="preserve"> are requested to submit a full </w:t>
      </w:r>
      <w:r w:rsidR="006E7CF7" w:rsidRPr="000F0F8E">
        <w:rPr>
          <w:szCs w:val="22"/>
        </w:rPr>
        <w:t>paper</w:t>
      </w:r>
      <w:r w:rsidRPr="000F0F8E">
        <w:rPr>
          <w:szCs w:val="22"/>
        </w:rPr>
        <w:t xml:space="preserve">. </w:t>
      </w:r>
      <w:r w:rsidR="00792232" w:rsidRPr="000F0F8E">
        <w:t xml:space="preserve">Full </w:t>
      </w:r>
      <w:r w:rsidR="006E7CF7" w:rsidRPr="000F0F8E">
        <w:t>papers must</w:t>
      </w:r>
      <w:r w:rsidR="00792232" w:rsidRPr="000F0F8E">
        <w:t xml:space="preserve"> be submitted through the IAEA-INDICO file submission system. Specifications for the layout and electronic format of the full </w:t>
      </w:r>
      <w:r w:rsidR="006E7CF7" w:rsidRPr="000F0F8E">
        <w:t>papers</w:t>
      </w:r>
      <w:r w:rsidR="00792232" w:rsidRPr="000F0F8E">
        <w:t xml:space="preserve"> and for the preparation of posters will be available on the conference web </w:t>
      </w:r>
      <w:r w:rsidR="00620397" w:rsidRPr="000F0F8E">
        <w:t>page</w:t>
      </w:r>
      <w:r w:rsidR="00792232" w:rsidRPr="000F0F8E">
        <w:t>.</w:t>
      </w:r>
    </w:p>
    <w:p w:rsidR="001A0CED" w:rsidRPr="000F0F8E" w:rsidRDefault="001A0CED" w:rsidP="001A0CED">
      <w:pPr>
        <w:pStyle w:val="BodyTextMultiline"/>
        <w:numPr>
          <w:ilvl w:val="0"/>
          <w:numId w:val="0"/>
        </w:numPr>
      </w:pPr>
      <w:r w:rsidRPr="000F0F8E">
        <w:t xml:space="preserve">To permit proper review of papers, the electronic version of the draft contributed paper must be received by the Scientific Secretariat not later than </w:t>
      </w:r>
      <w:r w:rsidR="00142B34" w:rsidRPr="000F0F8E">
        <w:rPr>
          <w:b/>
        </w:rPr>
        <w:t>15 July 2014</w:t>
      </w:r>
      <w:r w:rsidRPr="000F0F8E">
        <w:t>.</w:t>
      </w:r>
    </w:p>
    <w:p w:rsidR="001A0CED" w:rsidRPr="000F0F8E" w:rsidRDefault="001A0CED" w:rsidP="001A0CED">
      <w:pPr>
        <w:pStyle w:val="BodyTextMultiline"/>
        <w:numPr>
          <w:ilvl w:val="0"/>
          <w:numId w:val="0"/>
        </w:numPr>
      </w:pPr>
      <w:r w:rsidRPr="000F0F8E">
        <w:t>Final acceptance will occur after a peer review process. Furthermore, the Secretariat reserves the right to exclude papers that do not comply with its quality standards and/or do not apply to one of the topics in Section C above.</w:t>
      </w:r>
    </w:p>
    <w:p w:rsidR="00792232" w:rsidRPr="000F0F8E" w:rsidRDefault="00792232" w:rsidP="00CD2EBC">
      <w:pPr>
        <w:pStyle w:val="BodyTextMultiline"/>
        <w:numPr>
          <w:ilvl w:val="0"/>
          <w:numId w:val="0"/>
        </w:numPr>
      </w:pPr>
      <w:r w:rsidRPr="000F0F8E">
        <w:t xml:space="preserve">The deadline for electronic submission of the </w:t>
      </w:r>
      <w:r w:rsidR="001A0CED" w:rsidRPr="000F0F8E">
        <w:t xml:space="preserve">final </w:t>
      </w:r>
      <w:r w:rsidRPr="000F0F8E">
        <w:t>full papers as PDF file</w:t>
      </w:r>
      <w:r w:rsidR="002B6953" w:rsidRPr="000F0F8E">
        <w:t xml:space="preserve">s </w:t>
      </w:r>
      <w:r w:rsidRPr="000F0F8E">
        <w:t xml:space="preserve">is </w:t>
      </w:r>
      <w:r w:rsidR="00CD2EBC" w:rsidRPr="000F0F8E">
        <w:rPr>
          <w:b/>
        </w:rPr>
        <w:t xml:space="preserve">20 </w:t>
      </w:r>
      <w:r w:rsidR="00142B34" w:rsidRPr="000F0F8E">
        <w:rPr>
          <w:b/>
        </w:rPr>
        <w:t>September</w:t>
      </w:r>
      <w:r w:rsidR="00036DA5" w:rsidRPr="000F0F8E">
        <w:rPr>
          <w:b/>
        </w:rPr>
        <w:t xml:space="preserve"> 2014</w:t>
      </w:r>
      <w:r w:rsidRPr="000F0F8E">
        <w:t>. The IAEA will not accept papers submitted after the deadline, and any subsequent submission by email will not be accepted either.</w:t>
      </w:r>
    </w:p>
    <w:p w:rsidR="00792232" w:rsidRPr="000F0F8E" w:rsidRDefault="00792232" w:rsidP="00792232">
      <w:pPr>
        <w:pStyle w:val="BodyTextMultiline"/>
        <w:numPr>
          <w:ilvl w:val="0"/>
          <w:numId w:val="0"/>
        </w:numPr>
      </w:pPr>
      <w:r w:rsidRPr="000F0F8E">
        <w:t>IMPORTANT: The system for electronic submission of papers, IAEA-INDICO, is the sole mechanism for submission of regular papers. Authors are encouraged to submit papers as early as possible.</w:t>
      </w:r>
    </w:p>
    <w:p w:rsidR="000D5714" w:rsidRPr="000F0F8E" w:rsidRDefault="000D5714" w:rsidP="00CD2EBC">
      <w:pPr>
        <w:pStyle w:val="Heading2"/>
        <w:numPr>
          <w:ilvl w:val="1"/>
          <w:numId w:val="3"/>
        </w:numPr>
        <w:rPr>
          <w:sz w:val="24"/>
          <w:szCs w:val="24"/>
        </w:rPr>
      </w:pPr>
      <w:r w:rsidRPr="000F0F8E">
        <w:rPr>
          <w:sz w:val="24"/>
          <w:szCs w:val="24"/>
        </w:rPr>
        <w:t xml:space="preserve">Conference </w:t>
      </w:r>
      <w:r w:rsidR="00CD2EBC" w:rsidRPr="000F0F8E">
        <w:rPr>
          <w:sz w:val="24"/>
          <w:szCs w:val="24"/>
        </w:rPr>
        <w:t>P</w:t>
      </w:r>
      <w:r w:rsidRPr="000F0F8E">
        <w:rPr>
          <w:sz w:val="24"/>
          <w:szCs w:val="24"/>
        </w:rPr>
        <w:t>roceedings</w:t>
      </w:r>
    </w:p>
    <w:p w:rsidR="00E074D2" w:rsidRDefault="000D5714" w:rsidP="00E074D2">
      <w:pPr>
        <w:pStyle w:val="BodyText"/>
      </w:pPr>
      <w:r w:rsidRPr="000F0F8E">
        <w:rPr>
          <w:szCs w:val="22"/>
        </w:rPr>
        <w:t>The proceedings will be published by the IAEA as soon as possible after the conference.</w:t>
      </w:r>
      <w:r w:rsidR="001A0CED" w:rsidRPr="000F0F8E">
        <w:rPr>
          <w:szCs w:val="22"/>
        </w:rPr>
        <w:t xml:space="preserve"> </w:t>
      </w:r>
      <w:r w:rsidR="001A0CED" w:rsidRPr="000F0F8E">
        <w:t>Contributed papers and respective posters will be compiled unedited in electronic format and attached to the proceedings.</w:t>
      </w:r>
    </w:p>
    <w:p w:rsidR="00E074D2" w:rsidRDefault="00E074D2">
      <w:pPr>
        <w:overflowPunct/>
        <w:autoSpaceDE/>
        <w:autoSpaceDN/>
        <w:adjustRightInd/>
        <w:textAlignment w:val="auto"/>
      </w:pPr>
      <w:r>
        <w:br w:type="page"/>
      </w:r>
    </w:p>
    <w:p w:rsidR="009C053D" w:rsidRPr="000F0F8E" w:rsidRDefault="009C053D" w:rsidP="00157449">
      <w:pPr>
        <w:pStyle w:val="Heading1"/>
      </w:pPr>
      <w:r w:rsidRPr="000F0F8E">
        <w:t>Participation</w:t>
      </w:r>
      <w:r w:rsidR="00BE4BA8" w:rsidRPr="000F0F8E">
        <w:t xml:space="preserve"> and Registration</w:t>
      </w:r>
    </w:p>
    <w:p w:rsidR="008E6D9C" w:rsidRPr="000F0F8E" w:rsidRDefault="009C053D" w:rsidP="007A4A39">
      <w:pPr>
        <w:pStyle w:val="BodyText"/>
        <w:rPr>
          <w:szCs w:val="22"/>
        </w:rPr>
      </w:pPr>
      <w:r w:rsidRPr="000F0F8E">
        <w:rPr>
          <w:szCs w:val="22"/>
        </w:rPr>
        <w:t xml:space="preserve">All persons wishing to participate in the conference are requested to </w:t>
      </w:r>
      <w:r w:rsidRPr="000F0F8E">
        <w:rPr>
          <w:b/>
          <w:bCs/>
          <w:szCs w:val="22"/>
        </w:rPr>
        <w:t xml:space="preserve">register online in advance </w:t>
      </w:r>
      <w:r w:rsidRPr="000F0F8E">
        <w:rPr>
          <w:bCs/>
          <w:szCs w:val="22"/>
        </w:rPr>
        <w:t xml:space="preserve">through the conference </w:t>
      </w:r>
      <w:r w:rsidR="001F1303" w:rsidRPr="000F0F8E">
        <w:rPr>
          <w:bCs/>
          <w:szCs w:val="22"/>
        </w:rPr>
        <w:t>web page</w:t>
      </w:r>
      <w:r w:rsidR="00BE4BA8" w:rsidRPr="000F0F8E">
        <w:rPr>
          <w:bCs/>
          <w:szCs w:val="22"/>
        </w:rPr>
        <w:t xml:space="preserve"> (see Section </w:t>
      </w:r>
      <w:r w:rsidR="00BF30A6" w:rsidRPr="000F0F8E">
        <w:rPr>
          <w:bCs/>
          <w:szCs w:val="22"/>
        </w:rPr>
        <w:t>O</w:t>
      </w:r>
      <w:r w:rsidR="00BE4BA8" w:rsidRPr="000F0F8E">
        <w:rPr>
          <w:bCs/>
          <w:szCs w:val="22"/>
        </w:rPr>
        <w:t>)</w:t>
      </w:r>
      <w:r w:rsidRPr="000F0F8E">
        <w:rPr>
          <w:szCs w:val="22"/>
        </w:rPr>
        <w:t xml:space="preserve">. </w:t>
      </w:r>
      <w:r w:rsidRPr="000F0F8E">
        <w:rPr>
          <w:b/>
          <w:szCs w:val="22"/>
        </w:rPr>
        <w:t>In addition</w:t>
      </w:r>
      <w:r w:rsidR="00BE4BA8" w:rsidRPr="000F0F8E">
        <w:rPr>
          <w:szCs w:val="22"/>
        </w:rPr>
        <w:t>,</w:t>
      </w:r>
      <w:r w:rsidRPr="000F0F8E">
        <w:rPr>
          <w:szCs w:val="22"/>
        </w:rPr>
        <w:t xml:space="preserve"> they </w:t>
      </w:r>
      <w:r w:rsidR="008E6D9C" w:rsidRPr="000F0F8E">
        <w:rPr>
          <w:szCs w:val="22"/>
        </w:rPr>
        <w:t>must</w:t>
      </w:r>
      <w:r w:rsidRPr="000F0F8E">
        <w:rPr>
          <w:szCs w:val="22"/>
        </w:rPr>
        <w:t xml:space="preserve"> send a completed</w:t>
      </w:r>
    </w:p>
    <w:p w:rsidR="008E6D9C" w:rsidRPr="000F0F8E" w:rsidRDefault="009C053D" w:rsidP="008E6D9C">
      <w:pPr>
        <w:pStyle w:val="BodyText"/>
        <w:numPr>
          <w:ilvl w:val="0"/>
          <w:numId w:val="26"/>
        </w:numPr>
        <w:spacing w:after="0"/>
        <w:rPr>
          <w:szCs w:val="22"/>
        </w:rPr>
      </w:pPr>
      <w:r w:rsidRPr="000F0F8E">
        <w:rPr>
          <w:szCs w:val="22"/>
        </w:rPr>
        <w:t>Participation Form (Form A)</w:t>
      </w:r>
    </w:p>
    <w:p w:rsidR="008E6D9C" w:rsidRPr="000F0F8E" w:rsidRDefault="009C053D" w:rsidP="008E6D9C">
      <w:pPr>
        <w:pStyle w:val="BodyText"/>
        <w:numPr>
          <w:ilvl w:val="0"/>
          <w:numId w:val="26"/>
        </w:numPr>
        <w:spacing w:after="0"/>
        <w:rPr>
          <w:szCs w:val="22"/>
        </w:rPr>
      </w:pPr>
      <w:r w:rsidRPr="000F0F8E">
        <w:rPr>
          <w:szCs w:val="22"/>
        </w:rPr>
        <w:t xml:space="preserve">Form </w:t>
      </w:r>
      <w:r w:rsidR="007A4A39" w:rsidRPr="000F0F8E">
        <w:rPr>
          <w:szCs w:val="22"/>
        </w:rPr>
        <w:t xml:space="preserve">for Submission of a Paper </w:t>
      </w:r>
      <w:r w:rsidRPr="000F0F8E">
        <w:rPr>
          <w:szCs w:val="22"/>
        </w:rPr>
        <w:t>(Form B)</w:t>
      </w:r>
      <w:r w:rsidR="008E6D9C" w:rsidRPr="000F0F8E">
        <w:rPr>
          <w:szCs w:val="22"/>
        </w:rPr>
        <w:t>, (if applicable)</w:t>
      </w:r>
    </w:p>
    <w:p w:rsidR="008E6D9C" w:rsidRPr="000F0F8E" w:rsidRDefault="009C053D" w:rsidP="008E6D9C">
      <w:pPr>
        <w:pStyle w:val="BodyText"/>
        <w:numPr>
          <w:ilvl w:val="0"/>
          <w:numId w:val="26"/>
        </w:numPr>
        <w:spacing w:after="240"/>
        <w:ind w:left="714" w:hanging="357"/>
        <w:rPr>
          <w:szCs w:val="22"/>
        </w:rPr>
      </w:pPr>
      <w:r w:rsidRPr="000F0F8E">
        <w:rPr>
          <w:szCs w:val="22"/>
        </w:rPr>
        <w:t>Grant Application Form (Form C)</w:t>
      </w:r>
      <w:r w:rsidR="008E6D9C" w:rsidRPr="000F0F8E">
        <w:rPr>
          <w:szCs w:val="22"/>
        </w:rPr>
        <w:t>, (if applicable)</w:t>
      </w:r>
    </w:p>
    <w:p w:rsidR="008E6D9C" w:rsidRPr="000F0F8E" w:rsidRDefault="009C053D" w:rsidP="007A4A39">
      <w:pPr>
        <w:pStyle w:val="BodyText"/>
        <w:rPr>
          <w:szCs w:val="22"/>
        </w:rPr>
      </w:pPr>
      <w:r w:rsidRPr="000F0F8E">
        <w:rPr>
          <w:szCs w:val="22"/>
        </w:rPr>
        <w:t xml:space="preserve">to the competent </w:t>
      </w:r>
      <w:r w:rsidR="008E6D9C" w:rsidRPr="000F0F8E">
        <w:rPr>
          <w:szCs w:val="22"/>
        </w:rPr>
        <w:t>official</w:t>
      </w:r>
      <w:r w:rsidRPr="000F0F8E">
        <w:rPr>
          <w:szCs w:val="22"/>
        </w:rPr>
        <w:t xml:space="preserve"> authority</w:t>
      </w:r>
      <w:r w:rsidR="008E6D9C" w:rsidRPr="000F0F8E">
        <w:rPr>
          <w:szCs w:val="22"/>
        </w:rPr>
        <w:t>:</w:t>
      </w:r>
    </w:p>
    <w:p w:rsidR="008E6D9C" w:rsidRPr="000F0F8E" w:rsidRDefault="009C053D" w:rsidP="00CD2EBC">
      <w:pPr>
        <w:pStyle w:val="BodyText"/>
        <w:numPr>
          <w:ilvl w:val="0"/>
          <w:numId w:val="27"/>
        </w:numPr>
        <w:spacing w:after="0"/>
        <w:rPr>
          <w:szCs w:val="22"/>
        </w:rPr>
      </w:pPr>
      <w:r w:rsidRPr="000F0F8E">
        <w:rPr>
          <w:szCs w:val="22"/>
        </w:rPr>
        <w:t>Ministry of Foreign Affairs or</w:t>
      </w:r>
    </w:p>
    <w:p w:rsidR="008E6D9C" w:rsidRPr="000F0F8E" w:rsidRDefault="007A4A39" w:rsidP="008E6D9C">
      <w:pPr>
        <w:pStyle w:val="BodyText"/>
        <w:numPr>
          <w:ilvl w:val="0"/>
          <w:numId w:val="27"/>
        </w:numPr>
        <w:spacing w:after="200"/>
        <w:ind w:left="714" w:hanging="357"/>
        <w:rPr>
          <w:szCs w:val="22"/>
        </w:rPr>
      </w:pPr>
      <w:r w:rsidRPr="000F0F8E">
        <w:rPr>
          <w:szCs w:val="22"/>
        </w:rPr>
        <w:t>N</w:t>
      </w:r>
      <w:r w:rsidR="009C053D" w:rsidRPr="000F0F8E">
        <w:rPr>
          <w:szCs w:val="22"/>
        </w:rPr>
        <w:t xml:space="preserve">ational </w:t>
      </w:r>
      <w:r w:rsidRPr="000F0F8E">
        <w:rPr>
          <w:szCs w:val="22"/>
        </w:rPr>
        <w:t>A</w:t>
      </w:r>
      <w:r w:rsidR="009C053D" w:rsidRPr="000F0F8E">
        <w:rPr>
          <w:szCs w:val="22"/>
        </w:rPr>
        <w:t xml:space="preserve">tomic </w:t>
      </w:r>
      <w:r w:rsidRPr="000F0F8E">
        <w:rPr>
          <w:szCs w:val="22"/>
        </w:rPr>
        <w:t>E</w:t>
      </w:r>
      <w:r w:rsidR="009C053D" w:rsidRPr="000F0F8E">
        <w:rPr>
          <w:szCs w:val="22"/>
        </w:rPr>
        <w:t xml:space="preserve">nergy </w:t>
      </w:r>
      <w:r w:rsidRPr="000F0F8E">
        <w:rPr>
          <w:szCs w:val="22"/>
        </w:rPr>
        <w:t>A</w:t>
      </w:r>
      <w:r w:rsidR="009C053D" w:rsidRPr="000F0F8E">
        <w:rPr>
          <w:szCs w:val="22"/>
        </w:rPr>
        <w:t>uthority</w:t>
      </w:r>
    </w:p>
    <w:p w:rsidR="009C053D" w:rsidRPr="000F0F8E" w:rsidRDefault="009C053D" w:rsidP="007A4A39">
      <w:pPr>
        <w:pStyle w:val="BodyText"/>
        <w:rPr>
          <w:szCs w:val="22"/>
        </w:rPr>
      </w:pPr>
      <w:r w:rsidRPr="000F0F8E">
        <w:rPr>
          <w:szCs w:val="22"/>
        </w:rPr>
        <w:t>or to one of the organizations invited to participate for subsequent transmission</w:t>
      </w:r>
      <w:r w:rsidR="00BE4BA8" w:rsidRPr="000F0F8E">
        <w:rPr>
          <w:szCs w:val="22"/>
        </w:rPr>
        <w:t xml:space="preserve"> </w:t>
      </w:r>
      <w:r w:rsidR="007A4A39" w:rsidRPr="000F0F8E">
        <w:rPr>
          <w:szCs w:val="22"/>
        </w:rPr>
        <w:t xml:space="preserve">to the IAEA </w:t>
      </w:r>
      <w:r w:rsidR="00BE4BA8" w:rsidRPr="000F0F8E">
        <w:rPr>
          <w:szCs w:val="22"/>
        </w:rPr>
        <w:t>(</w:t>
      </w:r>
      <w:hyperlink r:id="rId16" w:history="1">
        <w:r w:rsidR="00CD2EBC" w:rsidRPr="000F0F8E">
          <w:rPr>
            <w:rStyle w:val="Hyperlink"/>
            <w:szCs w:val="22"/>
          </w:rPr>
          <w:t>Official.Mail@iaea.org</w:t>
        </w:r>
      </w:hyperlink>
      <w:r w:rsidR="00BE4BA8" w:rsidRPr="000F0F8E">
        <w:rPr>
          <w:szCs w:val="22"/>
        </w:rPr>
        <w:t>)</w:t>
      </w:r>
      <w:r w:rsidRPr="000F0F8E">
        <w:rPr>
          <w:szCs w:val="22"/>
        </w:rPr>
        <w:t>.</w:t>
      </w:r>
    </w:p>
    <w:p w:rsidR="009C053D" w:rsidRPr="000F0F8E" w:rsidRDefault="009C053D" w:rsidP="007A4A39">
      <w:pPr>
        <w:pStyle w:val="BodyText"/>
        <w:rPr>
          <w:szCs w:val="22"/>
        </w:rPr>
      </w:pPr>
      <w:r w:rsidRPr="000F0F8E">
        <w:rPr>
          <w:szCs w:val="22"/>
        </w:rPr>
        <w:t xml:space="preserve">A participant will be accepted only if the Participation Form is transmitted through the competent </w:t>
      </w:r>
      <w:r w:rsidR="00E37C22" w:rsidRPr="000F0F8E">
        <w:rPr>
          <w:szCs w:val="22"/>
        </w:rPr>
        <w:t>official</w:t>
      </w:r>
      <w:r w:rsidRPr="000F0F8E">
        <w:rPr>
          <w:szCs w:val="22"/>
        </w:rPr>
        <w:t xml:space="preserve"> authority of a</w:t>
      </w:r>
      <w:r w:rsidR="007A4A39" w:rsidRPr="000F0F8E">
        <w:rPr>
          <w:szCs w:val="22"/>
        </w:rPr>
        <w:t>n IAEA</w:t>
      </w:r>
      <w:r w:rsidRPr="000F0F8E">
        <w:rPr>
          <w:szCs w:val="22"/>
        </w:rPr>
        <w:t xml:space="preserve"> Member State</w:t>
      </w:r>
      <w:r w:rsidR="00520AD5" w:rsidRPr="000F0F8E">
        <w:rPr>
          <w:szCs w:val="22"/>
        </w:rPr>
        <w:t xml:space="preserve"> or </w:t>
      </w:r>
      <w:r w:rsidR="00AC00DC" w:rsidRPr="000F0F8E">
        <w:rPr>
          <w:szCs w:val="22"/>
        </w:rPr>
        <w:t xml:space="preserve">by </w:t>
      </w:r>
      <w:r w:rsidR="00CF7718" w:rsidRPr="000F0F8E">
        <w:rPr>
          <w:szCs w:val="22"/>
        </w:rPr>
        <w:t>an o</w:t>
      </w:r>
      <w:r w:rsidRPr="000F0F8E">
        <w:rPr>
          <w:szCs w:val="22"/>
        </w:rPr>
        <w:t>rganization invited to participate.</w:t>
      </w:r>
    </w:p>
    <w:p w:rsidR="009C053D" w:rsidRPr="000F0F8E" w:rsidRDefault="009C053D" w:rsidP="007A4A39">
      <w:pPr>
        <w:pStyle w:val="BodyText"/>
        <w:rPr>
          <w:szCs w:val="22"/>
        </w:rPr>
      </w:pPr>
      <w:r w:rsidRPr="000F0F8E">
        <w:rPr>
          <w:szCs w:val="22"/>
        </w:rPr>
        <w:t xml:space="preserve">Participants whose official </w:t>
      </w:r>
      <w:r w:rsidR="00E37C22" w:rsidRPr="000F0F8E">
        <w:rPr>
          <w:szCs w:val="22"/>
        </w:rPr>
        <w:t xml:space="preserve">designations </w:t>
      </w:r>
      <w:r w:rsidRPr="000F0F8E">
        <w:rPr>
          <w:szCs w:val="22"/>
        </w:rPr>
        <w:t xml:space="preserve">have been received by the IAEA will receive further information on the conference </w:t>
      </w:r>
      <w:r w:rsidR="00E37C22" w:rsidRPr="000F0F8E">
        <w:rPr>
          <w:szCs w:val="22"/>
        </w:rPr>
        <w:t xml:space="preserve">at least </w:t>
      </w:r>
      <w:r w:rsidRPr="000F0F8E">
        <w:rPr>
          <w:szCs w:val="22"/>
        </w:rPr>
        <w:t xml:space="preserve">three months before the </w:t>
      </w:r>
      <w:r w:rsidR="00BE4BA8" w:rsidRPr="000F0F8E">
        <w:rPr>
          <w:szCs w:val="22"/>
        </w:rPr>
        <w:t>start</w:t>
      </w:r>
      <w:r w:rsidRPr="000F0F8E">
        <w:rPr>
          <w:szCs w:val="22"/>
        </w:rPr>
        <w:t xml:space="preserve"> of the </w:t>
      </w:r>
      <w:r w:rsidR="00BE4BA8" w:rsidRPr="000F0F8E">
        <w:rPr>
          <w:szCs w:val="22"/>
        </w:rPr>
        <w:t>conference</w:t>
      </w:r>
      <w:r w:rsidRPr="000F0F8E">
        <w:rPr>
          <w:szCs w:val="22"/>
        </w:rPr>
        <w:t xml:space="preserve">. This information will also be posted on the conference </w:t>
      </w:r>
      <w:r w:rsidR="001F1303" w:rsidRPr="000F0F8E">
        <w:rPr>
          <w:szCs w:val="22"/>
        </w:rPr>
        <w:t>web page</w:t>
      </w:r>
      <w:r w:rsidRPr="000F0F8E">
        <w:rPr>
          <w:szCs w:val="22"/>
        </w:rPr>
        <w:t>.</w:t>
      </w:r>
    </w:p>
    <w:p w:rsidR="009C053D" w:rsidRPr="000F0F8E" w:rsidRDefault="009C053D" w:rsidP="00157449">
      <w:pPr>
        <w:pStyle w:val="Heading1"/>
      </w:pPr>
      <w:r w:rsidRPr="000F0F8E">
        <w:t>Expenditures</w:t>
      </w:r>
      <w:r w:rsidR="00F21BDC" w:rsidRPr="000F0F8E">
        <w:t>/Grants</w:t>
      </w:r>
    </w:p>
    <w:p w:rsidR="009C053D" w:rsidRPr="000F0F8E" w:rsidRDefault="009C053D" w:rsidP="009C053D">
      <w:pPr>
        <w:pStyle w:val="BodyText"/>
        <w:rPr>
          <w:szCs w:val="22"/>
        </w:rPr>
      </w:pPr>
      <w:r w:rsidRPr="000F0F8E">
        <w:rPr>
          <w:szCs w:val="22"/>
        </w:rPr>
        <w:t>No registration fee is charged to participants.</w:t>
      </w:r>
    </w:p>
    <w:p w:rsidR="009C053D" w:rsidRPr="000F0F8E" w:rsidRDefault="00E81EF7" w:rsidP="00AB3441">
      <w:pPr>
        <w:pStyle w:val="BodyText"/>
        <w:rPr>
          <w:szCs w:val="22"/>
        </w:rPr>
      </w:pPr>
      <w:r w:rsidRPr="000F0F8E">
        <w:rPr>
          <w:szCs w:val="22"/>
        </w:rPr>
        <w:t xml:space="preserve">The IAEA is generally not in a position to bear the travel and other costs of participants in the conference. The IAEA has, however, limited funds at its disposal to help meet the cost of attendance of </w:t>
      </w:r>
      <w:r w:rsidR="00AB3441" w:rsidRPr="000F0F8E">
        <w:rPr>
          <w:szCs w:val="22"/>
        </w:rPr>
        <w:t xml:space="preserve">certain </w:t>
      </w:r>
      <w:r w:rsidRPr="000F0F8E">
        <w:rPr>
          <w:szCs w:val="22"/>
        </w:rPr>
        <w:t>participants. Such assistance may be offered upon specific request to normally one participant per country provided that, in the IAEA’s view, the participant on whose behalf assistance is requested will make an important contribution to the conference.</w:t>
      </w:r>
    </w:p>
    <w:p w:rsidR="009C053D" w:rsidRPr="000F0F8E" w:rsidRDefault="009C053D" w:rsidP="004D534D">
      <w:pPr>
        <w:pStyle w:val="BodyText"/>
        <w:rPr>
          <w:szCs w:val="22"/>
        </w:rPr>
      </w:pPr>
      <w:r w:rsidRPr="000F0F8E">
        <w:rPr>
          <w:szCs w:val="22"/>
        </w:rPr>
        <w:t xml:space="preserve">If governments wish to apply for a grant on behalf of one of their </w:t>
      </w:r>
      <w:r w:rsidR="004D534D" w:rsidRPr="000F0F8E">
        <w:rPr>
          <w:szCs w:val="22"/>
        </w:rPr>
        <w:t>participants</w:t>
      </w:r>
      <w:r w:rsidRPr="000F0F8E">
        <w:rPr>
          <w:szCs w:val="22"/>
        </w:rPr>
        <w:t>, they should address specific requests to the IAEA to this effect. Governments should ensure that applications for grants are:</w:t>
      </w:r>
    </w:p>
    <w:p w:rsidR="009C053D" w:rsidRPr="000F0F8E" w:rsidRDefault="009C053D" w:rsidP="00AB3441">
      <w:pPr>
        <w:pStyle w:val="BodyText"/>
        <w:rPr>
          <w:szCs w:val="22"/>
        </w:rPr>
      </w:pPr>
      <w:r w:rsidRPr="000F0F8E">
        <w:rPr>
          <w:szCs w:val="22"/>
        </w:rPr>
        <w:t>1.</w:t>
      </w:r>
      <w:r w:rsidRPr="000F0F8E">
        <w:rPr>
          <w:szCs w:val="22"/>
        </w:rPr>
        <w:tab/>
        <w:t xml:space="preserve">Submitted </w:t>
      </w:r>
      <w:r w:rsidRPr="00130AAD">
        <w:rPr>
          <w:szCs w:val="22"/>
        </w:rPr>
        <w:t>by</w:t>
      </w:r>
      <w:r w:rsidRPr="00130AAD">
        <w:rPr>
          <w:b/>
          <w:szCs w:val="22"/>
        </w:rPr>
        <w:t xml:space="preserve"> </w:t>
      </w:r>
      <w:r w:rsidR="008E16D4" w:rsidRPr="00130AAD">
        <w:rPr>
          <w:b/>
          <w:szCs w:val="22"/>
        </w:rPr>
        <w:t xml:space="preserve">18 </w:t>
      </w:r>
      <w:r w:rsidR="00CC226C" w:rsidRPr="00130AAD">
        <w:rPr>
          <w:b/>
          <w:szCs w:val="22"/>
        </w:rPr>
        <w:t>April</w:t>
      </w:r>
      <w:r w:rsidR="00024DC9" w:rsidRPr="00130AAD">
        <w:rPr>
          <w:b/>
          <w:szCs w:val="22"/>
        </w:rPr>
        <w:t xml:space="preserve"> 2014</w:t>
      </w:r>
    </w:p>
    <w:p w:rsidR="009C053D" w:rsidRPr="000F0F8E" w:rsidRDefault="009C053D" w:rsidP="00AB3441">
      <w:pPr>
        <w:pStyle w:val="BodyText"/>
        <w:rPr>
          <w:szCs w:val="22"/>
        </w:rPr>
      </w:pPr>
      <w:r w:rsidRPr="000F0F8E">
        <w:rPr>
          <w:szCs w:val="22"/>
        </w:rPr>
        <w:t>2.</w:t>
      </w:r>
      <w:r w:rsidRPr="000F0F8E">
        <w:rPr>
          <w:szCs w:val="22"/>
        </w:rPr>
        <w:tab/>
        <w:t>Accompanied by a duly completed and signed Grant Application Form (Form C)</w:t>
      </w:r>
    </w:p>
    <w:p w:rsidR="009C053D" w:rsidRPr="000F0F8E" w:rsidRDefault="009C053D" w:rsidP="00AB3441">
      <w:pPr>
        <w:pStyle w:val="BodyText"/>
        <w:rPr>
          <w:szCs w:val="22"/>
        </w:rPr>
      </w:pPr>
      <w:r w:rsidRPr="000F0F8E">
        <w:rPr>
          <w:szCs w:val="22"/>
        </w:rPr>
        <w:t>3.</w:t>
      </w:r>
      <w:r w:rsidRPr="000F0F8E">
        <w:rPr>
          <w:szCs w:val="22"/>
        </w:rPr>
        <w:tab/>
        <w:t>Accompanied by a completed Participation Form (Form A)</w:t>
      </w:r>
    </w:p>
    <w:p w:rsidR="009C053D" w:rsidRPr="000F0F8E" w:rsidRDefault="009C053D" w:rsidP="009C053D">
      <w:pPr>
        <w:pStyle w:val="BodyText"/>
        <w:rPr>
          <w:szCs w:val="22"/>
        </w:rPr>
      </w:pPr>
      <w:r w:rsidRPr="000F0F8E">
        <w:rPr>
          <w:szCs w:val="22"/>
        </w:rPr>
        <w:t>Applications that do not comply with the above conditions cannot be considered.</w:t>
      </w:r>
    </w:p>
    <w:p w:rsidR="009C053D" w:rsidRPr="000F0F8E" w:rsidRDefault="009C053D" w:rsidP="009C053D">
      <w:pPr>
        <w:pStyle w:val="BodyText"/>
        <w:rPr>
          <w:szCs w:val="22"/>
        </w:rPr>
      </w:pPr>
      <w:r w:rsidRPr="000F0F8E">
        <w:rPr>
          <w:szCs w:val="22"/>
        </w:rPr>
        <w:t xml:space="preserve">Approved grants will be issued in the form of a lump sum payment that usually </w:t>
      </w:r>
      <w:r w:rsidRPr="000F0F8E">
        <w:rPr>
          <w:b/>
          <w:szCs w:val="22"/>
        </w:rPr>
        <w:t>covers only part of the cost of attendance</w:t>
      </w:r>
      <w:r w:rsidRPr="000F0F8E">
        <w:rPr>
          <w:bCs/>
          <w:szCs w:val="22"/>
        </w:rPr>
        <w:t>.</w:t>
      </w:r>
    </w:p>
    <w:p w:rsidR="00733D7D" w:rsidRPr="000F0F8E" w:rsidRDefault="00733D7D" w:rsidP="00273769">
      <w:pPr>
        <w:pStyle w:val="Heading1"/>
      </w:pPr>
      <w:r w:rsidRPr="000F0F8E">
        <w:t>Distribution of Documents</w:t>
      </w:r>
    </w:p>
    <w:p w:rsidR="00DC40A6" w:rsidRPr="000F0F8E" w:rsidRDefault="009C053D" w:rsidP="00890451">
      <w:pPr>
        <w:pStyle w:val="BodyText"/>
        <w:rPr>
          <w:szCs w:val="22"/>
        </w:rPr>
      </w:pPr>
      <w:r w:rsidRPr="000F0F8E">
        <w:rPr>
          <w:szCs w:val="22"/>
        </w:rPr>
        <w:t xml:space="preserve">A preliminary programme of the conference will be </w:t>
      </w:r>
      <w:r w:rsidR="00890451" w:rsidRPr="000F0F8E">
        <w:rPr>
          <w:szCs w:val="22"/>
        </w:rPr>
        <w:t xml:space="preserve">made </w:t>
      </w:r>
      <w:r w:rsidRPr="000F0F8E">
        <w:rPr>
          <w:szCs w:val="22"/>
        </w:rPr>
        <w:t xml:space="preserve">available on the conference </w:t>
      </w:r>
      <w:r w:rsidR="001F1303" w:rsidRPr="000F0F8E">
        <w:rPr>
          <w:szCs w:val="22"/>
        </w:rPr>
        <w:t>web page</w:t>
      </w:r>
      <w:r w:rsidR="00890451" w:rsidRPr="000F0F8E">
        <w:rPr>
          <w:szCs w:val="22"/>
        </w:rPr>
        <w:t xml:space="preserve"> (see Section </w:t>
      </w:r>
      <w:r w:rsidR="00BF30A6" w:rsidRPr="000F0F8E">
        <w:rPr>
          <w:szCs w:val="22"/>
        </w:rPr>
        <w:t>O</w:t>
      </w:r>
      <w:r w:rsidR="00890451" w:rsidRPr="000F0F8E">
        <w:rPr>
          <w:szCs w:val="22"/>
        </w:rPr>
        <w:t>)</w:t>
      </w:r>
      <w:r w:rsidRPr="000F0F8E">
        <w:rPr>
          <w:szCs w:val="22"/>
        </w:rPr>
        <w:t xml:space="preserve"> before the </w:t>
      </w:r>
      <w:r w:rsidR="00890451" w:rsidRPr="000F0F8E">
        <w:rPr>
          <w:szCs w:val="22"/>
        </w:rPr>
        <w:t>start of the conference</w:t>
      </w:r>
      <w:r w:rsidRPr="000F0F8E">
        <w:rPr>
          <w:szCs w:val="22"/>
        </w:rPr>
        <w:t xml:space="preserve">. The final programme and the </w:t>
      </w:r>
      <w:r w:rsidR="00890451" w:rsidRPr="000F0F8E">
        <w:rPr>
          <w:szCs w:val="22"/>
        </w:rPr>
        <w:t>B</w:t>
      </w:r>
      <w:r w:rsidRPr="000F0F8E">
        <w:rPr>
          <w:szCs w:val="22"/>
        </w:rPr>
        <w:t xml:space="preserve">ook of </w:t>
      </w:r>
      <w:r w:rsidR="003518FA" w:rsidRPr="000F0F8E">
        <w:rPr>
          <w:szCs w:val="22"/>
        </w:rPr>
        <w:t>Synopses</w:t>
      </w:r>
      <w:r w:rsidRPr="000F0F8E">
        <w:rPr>
          <w:szCs w:val="22"/>
        </w:rPr>
        <w:t xml:space="preserve"> will be available </w:t>
      </w:r>
      <w:r w:rsidR="002F1B57" w:rsidRPr="000F0F8E">
        <w:rPr>
          <w:szCs w:val="22"/>
        </w:rPr>
        <w:t xml:space="preserve">free of charge </w:t>
      </w:r>
      <w:r w:rsidRPr="000F0F8E">
        <w:rPr>
          <w:szCs w:val="22"/>
        </w:rPr>
        <w:t>upon registration at the conference</w:t>
      </w:r>
      <w:r w:rsidR="00733D7D" w:rsidRPr="000F0F8E">
        <w:rPr>
          <w:szCs w:val="22"/>
        </w:rPr>
        <w:t>.</w:t>
      </w:r>
    </w:p>
    <w:p w:rsidR="00733D7D" w:rsidRPr="000F0F8E" w:rsidRDefault="00733D7D" w:rsidP="00273769">
      <w:pPr>
        <w:pStyle w:val="Heading1"/>
      </w:pPr>
      <w:r w:rsidRPr="000F0F8E">
        <w:t>Working Language</w:t>
      </w:r>
    </w:p>
    <w:p w:rsidR="00AF50D5" w:rsidRPr="000F0F8E" w:rsidRDefault="00733D7D" w:rsidP="00C75EDE">
      <w:pPr>
        <w:pStyle w:val="BodyText"/>
        <w:spacing w:afterLines="170" w:after="408"/>
        <w:rPr>
          <w:szCs w:val="22"/>
        </w:rPr>
      </w:pPr>
      <w:r w:rsidRPr="000F0F8E">
        <w:rPr>
          <w:szCs w:val="22"/>
        </w:rPr>
        <w:t>The working language of the conference will be English.</w:t>
      </w:r>
    </w:p>
    <w:p w:rsidR="009F44B5" w:rsidRPr="000F0F8E" w:rsidRDefault="00C75EDE" w:rsidP="00157449">
      <w:pPr>
        <w:pStyle w:val="Heading1"/>
      </w:pPr>
      <w:r w:rsidRPr="000F0F8E">
        <w:t>A</w:t>
      </w:r>
      <w:r w:rsidR="009F44B5" w:rsidRPr="000F0F8E">
        <w:t>ccommodation</w:t>
      </w:r>
    </w:p>
    <w:p w:rsidR="00733D7D" w:rsidRPr="000F0F8E" w:rsidRDefault="009F44B5" w:rsidP="004D534D">
      <w:pPr>
        <w:overflowPunct/>
        <w:spacing w:after="170" w:line="280" w:lineRule="atLeast"/>
        <w:jc w:val="both"/>
        <w:textAlignment w:val="auto"/>
        <w:rPr>
          <w:szCs w:val="22"/>
        </w:rPr>
      </w:pPr>
      <w:r w:rsidRPr="000F0F8E">
        <w:rPr>
          <w:szCs w:val="22"/>
        </w:rPr>
        <w:t xml:space="preserve">Detailed information on accommodation and other administrative matters will be sent directly to all </w:t>
      </w:r>
      <w:r w:rsidR="000272F6" w:rsidRPr="000F0F8E">
        <w:rPr>
          <w:szCs w:val="22"/>
        </w:rPr>
        <w:t>officially registered</w:t>
      </w:r>
      <w:r w:rsidR="004D534D" w:rsidRPr="000F0F8E">
        <w:rPr>
          <w:szCs w:val="22"/>
        </w:rPr>
        <w:t xml:space="preserve"> </w:t>
      </w:r>
      <w:r w:rsidRPr="000F0F8E">
        <w:rPr>
          <w:szCs w:val="22"/>
        </w:rPr>
        <w:t xml:space="preserve">participants approximately three months before the </w:t>
      </w:r>
      <w:r w:rsidR="003F552A" w:rsidRPr="000F0F8E">
        <w:rPr>
          <w:szCs w:val="22"/>
        </w:rPr>
        <w:t>conference</w:t>
      </w:r>
      <w:r w:rsidRPr="000F0F8E">
        <w:rPr>
          <w:szCs w:val="22"/>
        </w:rPr>
        <w:t xml:space="preserve">. This information will also be made available on the conference </w:t>
      </w:r>
      <w:r w:rsidR="001F1303" w:rsidRPr="000F0F8E">
        <w:rPr>
          <w:szCs w:val="22"/>
        </w:rPr>
        <w:t>web page</w:t>
      </w:r>
      <w:r w:rsidR="00AB3441" w:rsidRPr="000F0F8E">
        <w:rPr>
          <w:szCs w:val="22"/>
        </w:rPr>
        <w:t xml:space="preserve"> (see Section </w:t>
      </w:r>
      <w:r w:rsidR="00BF30A6" w:rsidRPr="000F0F8E">
        <w:rPr>
          <w:szCs w:val="22"/>
        </w:rPr>
        <w:t>O</w:t>
      </w:r>
      <w:r w:rsidR="00AB3441" w:rsidRPr="000F0F8E">
        <w:rPr>
          <w:szCs w:val="22"/>
        </w:rPr>
        <w:t>)</w:t>
      </w:r>
      <w:r w:rsidRPr="000F0F8E">
        <w:rPr>
          <w:szCs w:val="22"/>
        </w:rPr>
        <w:t>.</w:t>
      </w:r>
    </w:p>
    <w:p w:rsidR="00733D7D" w:rsidRPr="000F0F8E" w:rsidRDefault="00733D7D" w:rsidP="00273769">
      <w:pPr>
        <w:pStyle w:val="Heading1"/>
      </w:pPr>
      <w:r w:rsidRPr="000F0F8E">
        <w:t>Visa</w:t>
      </w:r>
      <w:r w:rsidR="00877F18" w:rsidRPr="000F0F8E">
        <w:t>s</w:t>
      </w:r>
    </w:p>
    <w:p w:rsidR="00B732CD" w:rsidRDefault="000F0F8E" w:rsidP="00214C54">
      <w:pPr>
        <w:spacing w:after="170" w:line="280" w:lineRule="atLeast"/>
        <w:jc w:val="both"/>
        <w:rPr>
          <w:szCs w:val="22"/>
        </w:rPr>
      </w:pPr>
      <w:r w:rsidRPr="00254FD2">
        <w:rPr>
          <w:szCs w:val="22"/>
        </w:rPr>
        <w:t xml:space="preserve">Participants who are not </w:t>
      </w:r>
      <w:r w:rsidR="0022734E" w:rsidRPr="00254FD2">
        <w:rPr>
          <w:szCs w:val="22"/>
        </w:rPr>
        <w:t>citizens</w:t>
      </w:r>
      <w:r w:rsidRPr="00254FD2">
        <w:rPr>
          <w:szCs w:val="22"/>
        </w:rPr>
        <w:t xml:space="preserve"> of China</w:t>
      </w:r>
      <w:r w:rsidR="0022734E" w:rsidRPr="00254FD2">
        <w:rPr>
          <w:szCs w:val="22"/>
        </w:rPr>
        <w:t xml:space="preserve"> must obtain a Chinese visa before entry into China, with the exception of visa-free entry based on relevant agreements or regulations. Designated participants who require a visa to enter China should submit the necessary application documents to the Chinese Embassy (Consulate/Office)</w:t>
      </w:r>
      <w:r w:rsidR="00AB3441" w:rsidRPr="00254FD2">
        <w:rPr>
          <w:szCs w:val="22"/>
        </w:rPr>
        <w:t xml:space="preserve"> in their home country/city</w:t>
      </w:r>
      <w:r w:rsidR="0022734E" w:rsidRPr="00254FD2">
        <w:rPr>
          <w:szCs w:val="22"/>
        </w:rPr>
        <w:t xml:space="preserve"> at least four weeks before trave</w:t>
      </w:r>
      <w:r w:rsidRPr="00254FD2">
        <w:rPr>
          <w:szCs w:val="22"/>
        </w:rPr>
        <w:t>l</w:t>
      </w:r>
      <w:r w:rsidR="0022734E" w:rsidRPr="00254FD2">
        <w:rPr>
          <w:szCs w:val="22"/>
        </w:rPr>
        <w:t>ling to China. Designated participants will be required to submit a letter of invitation in support of their visa application.</w:t>
      </w:r>
    </w:p>
    <w:p w:rsidR="00B856D5" w:rsidRPr="00254FD2" w:rsidRDefault="0022734E" w:rsidP="00157449">
      <w:pPr>
        <w:spacing w:after="170" w:line="280" w:lineRule="atLeast"/>
        <w:jc w:val="both"/>
        <w:rPr>
          <w:szCs w:val="22"/>
        </w:rPr>
      </w:pPr>
      <w:r w:rsidRPr="00254FD2">
        <w:rPr>
          <w:szCs w:val="22"/>
        </w:rPr>
        <w:t>Chinese Visa Application Service Center</w:t>
      </w:r>
      <w:r w:rsidR="00B732CD">
        <w:rPr>
          <w:szCs w:val="22"/>
        </w:rPr>
        <w:t xml:space="preserve"> website</w:t>
      </w:r>
      <w:r w:rsidRPr="00254FD2">
        <w:rPr>
          <w:szCs w:val="22"/>
        </w:rPr>
        <w:t>:</w:t>
      </w:r>
      <w:r w:rsidR="00B732CD">
        <w:rPr>
          <w:szCs w:val="22"/>
        </w:rPr>
        <w:t xml:space="preserve"> </w:t>
      </w:r>
      <w:hyperlink r:id="rId17" w:history="1">
        <w:r w:rsidRPr="00254FD2">
          <w:rPr>
            <w:rStyle w:val="Hyperlink"/>
            <w:szCs w:val="22"/>
          </w:rPr>
          <w:t>http://www.visaforchina.org/</w:t>
        </w:r>
      </w:hyperlink>
    </w:p>
    <w:p w:rsidR="00733D7D" w:rsidRPr="000F0F8E" w:rsidRDefault="00F82C2F" w:rsidP="00273769">
      <w:pPr>
        <w:pStyle w:val="Heading1"/>
      </w:pPr>
      <w:r w:rsidRPr="000F0F8E">
        <w:t>Key Deadlines</w:t>
      </w:r>
    </w:p>
    <w:p w:rsidR="003F3AA8" w:rsidRPr="00130AAD" w:rsidRDefault="003F3AA8" w:rsidP="000F0F8E">
      <w:pPr>
        <w:spacing w:before="120" w:after="120"/>
        <w:rPr>
          <w:szCs w:val="22"/>
        </w:rPr>
      </w:pPr>
      <w:r w:rsidRPr="000F0F8E">
        <w:rPr>
          <w:szCs w:val="22"/>
        </w:rPr>
        <w:t xml:space="preserve">Submission of </w:t>
      </w:r>
      <w:r w:rsidR="00620397" w:rsidRPr="000F0F8E">
        <w:rPr>
          <w:szCs w:val="22"/>
        </w:rPr>
        <w:t>synopses</w:t>
      </w:r>
      <w:r w:rsidR="00311247" w:rsidRPr="000F0F8E">
        <w:rPr>
          <w:szCs w:val="22"/>
        </w:rPr>
        <w:t>, including</w:t>
      </w:r>
      <w:r w:rsidR="000F0F8E">
        <w:rPr>
          <w:szCs w:val="22"/>
        </w:rPr>
        <w:t xml:space="preserve"> </w:t>
      </w:r>
      <w:r w:rsidR="00311247" w:rsidRPr="000F0F8E">
        <w:rPr>
          <w:szCs w:val="22"/>
        </w:rPr>
        <w:t>Form B</w:t>
      </w:r>
      <w:r w:rsidR="000F0F8E" w:rsidRPr="000F0F8E">
        <w:rPr>
          <w:szCs w:val="22"/>
        </w:rPr>
        <w:t>,</w:t>
      </w:r>
      <w:r w:rsidR="000F0F8E">
        <w:rPr>
          <w:szCs w:val="22"/>
        </w:rPr>
        <w:br/>
      </w:r>
      <w:r w:rsidR="00311247" w:rsidRPr="000F0F8E">
        <w:rPr>
          <w:szCs w:val="22"/>
        </w:rPr>
        <w:t>to the IAEA through official channels</w:t>
      </w:r>
      <w:r w:rsidRPr="000F0F8E">
        <w:rPr>
          <w:szCs w:val="22"/>
        </w:rPr>
        <w:t>:</w:t>
      </w:r>
      <w:r w:rsidR="006911FF" w:rsidRPr="000F0F8E">
        <w:rPr>
          <w:szCs w:val="22"/>
        </w:rPr>
        <w:tab/>
      </w:r>
      <w:r w:rsidR="001A0CED" w:rsidRPr="000F0F8E">
        <w:rPr>
          <w:szCs w:val="22"/>
        </w:rPr>
        <w:tab/>
      </w:r>
      <w:r w:rsidRPr="000F0F8E">
        <w:rPr>
          <w:szCs w:val="22"/>
        </w:rPr>
        <w:tab/>
      </w:r>
      <w:r w:rsidR="000F0F8E">
        <w:rPr>
          <w:szCs w:val="22"/>
        </w:rPr>
        <w:tab/>
      </w:r>
      <w:r w:rsidR="000F0F8E">
        <w:rPr>
          <w:szCs w:val="22"/>
        </w:rPr>
        <w:tab/>
      </w:r>
      <w:r w:rsidR="003518FA" w:rsidRPr="00130AAD">
        <w:rPr>
          <w:b/>
          <w:szCs w:val="22"/>
        </w:rPr>
        <w:t xml:space="preserve">18 </w:t>
      </w:r>
      <w:r w:rsidR="00CC226C" w:rsidRPr="00130AAD">
        <w:rPr>
          <w:b/>
          <w:szCs w:val="22"/>
        </w:rPr>
        <w:t>April</w:t>
      </w:r>
      <w:r w:rsidR="00024DC9" w:rsidRPr="00130AAD">
        <w:rPr>
          <w:b/>
          <w:szCs w:val="22"/>
        </w:rPr>
        <w:t xml:space="preserve"> 2014</w:t>
      </w:r>
    </w:p>
    <w:p w:rsidR="003F3AA8" w:rsidRPr="00130AAD" w:rsidRDefault="00E81EF7" w:rsidP="000F0F8E">
      <w:pPr>
        <w:spacing w:before="120" w:after="120"/>
        <w:rPr>
          <w:szCs w:val="22"/>
        </w:rPr>
      </w:pPr>
      <w:r w:rsidRPr="00130AAD">
        <w:rPr>
          <w:szCs w:val="22"/>
        </w:rPr>
        <w:t xml:space="preserve">Submission of </w:t>
      </w:r>
      <w:r w:rsidR="00311247" w:rsidRPr="00130AAD">
        <w:rPr>
          <w:szCs w:val="22"/>
        </w:rPr>
        <w:t>grant applications</w:t>
      </w:r>
      <w:r w:rsidR="000F0F8E" w:rsidRPr="00130AAD">
        <w:rPr>
          <w:szCs w:val="22"/>
        </w:rPr>
        <w:t xml:space="preserve"> using</w:t>
      </w:r>
      <w:r w:rsidR="00311247" w:rsidRPr="00130AAD">
        <w:rPr>
          <w:szCs w:val="22"/>
        </w:rPr>
        <w:t xml:space="preserve"> Form </w:t>
      </w:r>
      <w:r w:rsidR="003F3AA8" w:rsidRPr="00130AAD">
        <w:rPr>
          <w:szCs w:val="22"/>
        </w:rPr>
        <w:t>C</w:t>
      </w:r>
      <w:r w:rsidR="004B4211" w:rsidRPr="00130AAD">
        <w:rPr>
          <w:szCs w:val="22"/>
        </w:rPr>
        <w:br/>
      </w:r>
      <w:r w:rsidR="00311247" w:rsidRPr="00130AAD">
        <w:rPr>
          <w:szCs w:val="22"/>
        </w:rPr>
        <w:t>to the IAEA through official channels:</w:t>
      </w:r>
      <w:r w:rsidR="003F3AA8" w:rsidRPr="00130AAD">
        <w:rPr>
          <w:szCs w:val="22"/>
        </w:rPr>
        <w:tab/>
      </w:r>
      <w:r w:rsidR="003F3AA8" w:rsidRPr="00130AAD">
        <w:rPr>
          <w:szCs w:val="22"/>
        </w:rPr>
        <w:tab/>
      </w:r>
      <w:r w:rsidR="003F3AA8" w:rsidRPr="00130AAD">
        <w:rPr>
          <w:szCs w:val="22"/>
        </w:rPr>
        <w:tab/>
      </w:r>
      <w:r w:rsidR="003F3AA8" w:rsidRPr="00130AAD">
        <w:rPr>
          <w:szCs w:val="22"/>
        </w:rPr>
        <w:tab/>
      </w:r>
      <w:r w:rsidRPr="00130AAD">
        <w:rPr>
          <w:szCs w:val="22"/>
        </w:rPr>
        <w:tab/>
      </w:r>
      <w:r w:rsidR="003518FA" w:rsidRPr="00130AAD">
        <w:rPr>
          <w:b/>
          <w:szCs w:val="22"/>
        </w:rPr>
        <w:t>1</w:t>
      </w:r>
      <w:r w:rsidR="00024DC9" w:rsidRPr="00130AAD">
        <w:rPr>
          <w:b/>
          <w:szCs w:val="22"/>
        </w:rPr>
        <w:t xml:space="preserve">8 </w:t>
      </w:r>
      <w:r w:rsidR="00CC226C" w:rsidRPr="00130AAD">
        <w:rPr>
          <w:b/>
          <w:szCs w:val="22"/>
        </w:rPr>
        <w:t>April</w:t>
      </w:r>
      <w:r w:rsidR="00024DC9" w:rsidRPr="00130AAD">
        <w:rPr>
          <w:b/>
          <w:szCs w:val="22"/>
        </w:rPr>
        <w:t xml:space="preserve"> 2014</w:t>
      </w:r>
    </w:p>
    <w:p w:rsidR="003F3AA8" w:rsidRPr="000F0F8E" w:rsidRDefault="003F3AA8" w:rsidP="004B4211">
      <w:pPr>
        <w:spacing w:before="120" w:after="120"/>
        <w:ind w:left="1701" w:hanging="1701"/>
        <w:rPr>
          <w:b/>
          <w:szCs w:val="22"/>
        </w:rPr>
      </w:pPr>
      <w:r w:rsidRPr="00130AAD">
        <w:rPr>
          <w:szCs w:val="22"/>
        </w:rPr>
        <w:t xml:space="preserve">Notification of acceptance of </w:t>
      </w:r>
      <w:r w:rsidR="00C306B8" w:rsidRPr="00130AAD">
        <w:rPr>
          <w:szCs w:val="22"/>
        </w:rPr>
        <w:t>synopses</w:t>
      </w:r>
      <w:r w:rsidR="00C306B8" w:rsidRPr="00130AAD">
        <w:rPr>
          <w:szCs w:val="22"/>
        </w:rPr>
        <w:tab/>
      </w:r>
      <w:r w:rsidRPr="00130AAD">
        <w:rPr>
          <w:szCs w:val="22"/>
        </w:rPr>
        <w:tab/>
      </w:r>
      <w:r w:rsidRPr="00130AAD">
        <w:rPr>
          <w:szCs w:val="22"/>
        </w:rPr>
        <w:tab/>
      </w:r>
      <w:r w:rsidRPr="00130AAD">
        <w:rPr>
          <w:szCs w:val="22"/>
        </w:rPr>
        <w:tab/>
      </w:r>
      <w:r w:rsidR="00CC226C" w:rsidRPr="00130AAD">
        <w:rPr>
          <w:b/>
          <w:szCs w:val="22"/>
        </w:rPr>
        <w:t>16 May</w:t>
      </w:r>
      <w:r w:rsidR="00024DC9" w:rsidRPr="00130AAD">
        <w:rPr>
          <w:b/>
          <w:szCs w:val="22"/>
        </w:rPr>
        <w:t xml:space="preserve"> 2014</w:t>
      </w:r>
    </w:p>
    <w:p w:rsidR="00175771" w:rsidRPr="000F0F8E" w:rsidRDefault="00175771" w:rsidP="00175771">
      <w:pPr>
        <w:spacing w:after="120"/>
        <w:ind w:left="1701" w:hanging="1701"/>
        <w:rPr>
          <w:b/>
          <w:bCs/>
          <w:szCs w:val="22"/>
        </w:rPr>
      </w:pPr>
      <w:r w:rsidRPr="000F0F8E">
        <w:rPr>
          <w:szCs w:val="22"/>
        </w:rPr>
        <w:t>Submission of draft contributed papers:</w:t>
      </w:r>
      <w:r w:rsidRPr="000F0F8E">
        <w:rPr>
          <w:szCs w:val="22"/>
        </w:rPr>
        <w:tab/>
      </w:r>
      <w:r w:rsidRPr="000F0F8E">
        <w:rPr>
          <w:szCs w:val="22"/>
        </w:rPr>
        <w:tab/>
      </w:r>
      <w:r w:rsidRPr="000F0F8E">
        <w:rPr>
          <w:szCs w:val="22"/>
        </w:rPr>
        <w:tab/>
      </w:r>
      <w:r w:rsidRPr="000F0F8E">
        <w:rPr>
          <w:szCs w:val="22"/>
        </w:rPr>
        <w:tab/>
      </w:r>
      <w:r w:rsidR="00024DC9" w:rsidRPr="000F0F8E">
        <w:rPr>
          <w:b/>
          <w:bCs/>
          <w:szCs w:val="22"/>
        </w:rPr>
        <w:t>15 July 2014</w:t>
      </w:r>
    </w:p>
    <w:p w:rsidR="00620397" w:rsidRPr="000F0F8E" w:rsidRDefault="00175771" w:rsidP="004B4211">
      <w:pPr>
        <w:spacing w:before="120" w:after="120"/>
        <w:ind w:left="1701" w:hanging="1701"/>
        <w:rPr>
          <w:b/>
          <w:szCs w:val="22"/>
        </w:rPr>
      </w:pPr>
      <w:r w:rsidRPr="000F0F8E">
        <w:rPr>
          <w:szCs w:val="22"/>
        </w:rPr>
        <w:t>Submission of final contributed paper and poster:</w:t>
      </w:r>
      <w:r w:rsidR="00C306B8" w:rsidRPr="000F0F8E">
        <w:rPr>
          <w:b/>
          <w:szCs w:val="22"/>
        </w:rPr>
        <w:tab/>
      </w:r>
      <w:r w:rsidR="00C306B8" w:rsidRPr="000F0F8E">
        <w:rPr>
          <w:b/>
          <w:szCs w:val="22"/>
        </w:rPr>
        <w:tab/>
      </w:r>
      <w:r w:rsidR="005F35BB" w:rsidRPr="000F0F8E">
        <w:rPr>
          <w:b/>
          <w:szCs w:val="22"/>
        </w:rPr>
        <w:tab/>
      </w:r>
      <w:r w:rsidRPr="000F0F8E">
        <w:rPr>
          <w:b/>
          <w:szCs w:val="22"/>
        </w:rPr>
        <w:t>2</w:t>
      </w:r>
      <w:r w:rsidR="00024DC9" w:rsidRPr="000F0F8E">
        <w:rPr>
          <w:b/>
          <w:szCs w:val="22"/>
        </w:rPr>
        <w:t>0 September</w:t>
      </w:r>
      <w:r w:rsidR="00C306B8" w:rsidRPr="000F0F8E">
        <w:rPr>
          <w:b/>
          <w:szCs w:val="22"/>
        </w:rPr>
        <w:t xml:space="preserve"> 2014</w:t>
      </w:r>
    </w:p>
    <w:p w:rsidR="00C306B8" w:rsidRPr="000F0F8E" w:rsidRDefault="00C306B8" w:rsidP="004B4211">
      <w:pPr>
        <w:spacing w:after="170" w:line="280" w:lineRule="atLeast"/>
        <w:jc w:val="both"/>
        <w:rPr>
          <w:szCs w:val="22"/>
        </w:rPr>
      </w:pPr>
    </w:p>
    <w:p w:rsidR="002F1B57" w:rsidRPr="000F0F8E" w:rsidRDefault="002F1B57" w:rsidP="000F0F8E">
      <w:pPr>
        <w:spacing w:after="170" w:line="280" w:lineRule="atLeast"/>
        <w:jc w:val="both"/>
        <w:rPr>
          <w:szCs w:val="22"/>
        </w:rPr>
      </w:pPr>
      <w:r w:rsidRPr="000F0F8E">
        <w:rPr>
          <w:szCs w:val="22"/>
        </w:rPr>
        <w:t xml:space="preserve">Persons interested in participating in the conference </w:t>
      </w:r>
      <w:r w:rsidR="004B4211" w:rsidRPr="000F0F8E">
        <w:rPr>
          <w:szCs w:val="22"/>
        </w:rPr>
        <w:t>without</w:t>
      </w:r>
      <w:r w:rsidRPr="000F0F8E">
        <w:rPr>
          <w:szCs w:val="22"/>
        </w:rPr>
        <w:t xml:space="preserve"> </w:t>
      </w:r>
      <w:r w:rsidR="004B4211" w:rsidRPr="000F0F8E">
        <w:rPr>
          <w:szCs w:val="22"/>
        </w:rPr>
        <w:t xml:space="preserve">presenting </w:t>
      </w:r>
      <w:r w:rsidRPr="000F0F8E">
        <w:rPr>
          <w:szCs w:val="22"/>
        </w:rPr>
        <w:t>a paper must submit</w:t>
      </w:r>
      <w:r w:rsidR="000F0F8E">
        <w:rPr>
          <w:szCs w:val="22"/>
        </w:rPr>
        <w:t>,</w:t>
      </w:r>
      <w:r w:rsidR="00890451" w:rsidRPr="000F0F8E">
        <w:rPr>
          <w:szCs w:val="22"/>
        </w:rPr>
        <w:t xml:space="preserve"> </w:t>
      </w:r>
      <w:r w:rsidR="000F0F8E" w:rsidRPr="000F0F8E">
        <w:rPr>
          <w:szCs w:val="22"/>
        </w:rPr>
        <w:t>through the established official channels</w:t>
      </w:r>
      <w:r w:rsidR="000F0F8E">
        <w:rPr>
          <w:szCs w:val="22"/>
        </w:rPr>
        <w:t>,</w:t>
      </w:r>
      <w:r w:rsidR="000F0F8E" w:rsidRPr="000F0F8E">
        <w:rPr>
          <w:szCs w:val="22"/>
        </w:rPr>
        <w:t xml:space="preserve"> </w:t>
      </w:r>
      <w:r w:rsidR="00890451" w:rsidRPr="000F0F8E">
        <w:rPr>
          <w:szCs w:val="22"/>
        </w:rPr>
        <w:t>the</w:t>
      </w:r>
      <w:r w:rsidRPr="000F0F8E">
        <w:rPr>
          <w:szCs w:val="22"/>
        </w:rPr>
        <w:t xml:space="preserve"> </w:t>
      </w:r>
      <w:r w:rsidRPr="000F0F8E">
        <w:rPr>
          <w:b/>
          <w:szCs w:val="22"/>
        </w:rPr>
        <w:t xml:space="preserve">Participation Form </w:t>
      </w:r>
      <w:r w:rsidR="00890451" w:rsidRPr="000F0F8E">
        <w:rPr>
          <w:b/>
          <w:szCs w:val="22"/>
        </w:rPr>
        <w:t xml:space="preserve">(Form </w:t>
      </w:r>
      <w:r w:rsidRPr="000F0F8E">
        <w:rPr>
          <w:b/>
          <w:szCs w:val="22"/>
        </w:rPr>
        <w:t>A</w:t>
      </w:r>
      <w:r w:rsidR="00890451" w:rsidRPr="000F0F8E">
        <w:rPr>
          <w:b/>
          <w:szCs w:val="22"/>
        </w:rPr>
        <w:t>)</w:t>
      </w:r>
      <w:r w:rsidRPr="000F0F8E">
        <w:rPr>
          <w:szCs w:val="22"/>
        </w:rPr>
        <w:t xml:space="preserve"> to the IAEA (</w:t>
      </w:r>
      <w:r w:rsidR="00E81EF7" w:rsidRPr="000F0F8E">
        <w:rPr>
          <w:szCs w:val="22"/>
        </w:rPr>
        <w:t>preferably via email to</w:t>
      </w:r>
      <w:r w:rsidR="004B4211" w:rsidRPr="000F0F8E">
        <w:rPr>
          <w:szCs w:val="22"/>
        </w:rPr>
        <w:t>:</w:t>
      </w:r>
      <w:r w:rsidR="00E81EF7" w:rsidRPr="000F0F8E">
        <w:rPr>
          <w:szCs w:val="22"/>
        </w:rPr>
        <w:t xml:space="preserve"> </w:t>
      </w:r>
      <w:hyperlink r:id="rId18" w:history="1">
        <w:r w:rsidR="000F0F8E">
          <w:rPr>
            <w:rStyle w:val="Hyperlink"/>
            <w:szCs w:val="22"/>
          </w:rPr>
          <w:t>Official.Mail@iaea.org</w:t>
        </w:r>
      </w:hyperlink>
      <w:r w:rsidRPr="000F0F8E">
        <w:rPr>
          <w:szCs w:val="22"/>
        </w:rPr>
        <w:t>) as soon as possible.</w:t>
      </w:r>
    </w:p>
    <w:p w:rsidR="00733D7D" w:rsidRPr="000F0F8E" w:rsidRDefault="00F82C2F" w:rsidP="00157449">
      <w:pPr>
        <w:pStyle w:val="Heading1"/>
        <w:keepNext/>
        <w:keepLines/>
      </w:pPr>
      <w:r w:rsidRPr="000F0F8E">
        <w:t>Conference Secretariat</w:t>
      </w:r>
    </w:p>
    <w:p w:rsidR="008563A0" w:rsidRPr="000F0F8E" w:rsidRDefault="000F57AD" w:rsidP="00157449">
      <w:pPr>
        <w:pStyle w:val="BodyText"/>
        <w:keepNext/>
        <w:keepLines/>
        <w:rPr>
          <w:b/>
          <w:szCs w:val="22"/>
        </w:rPr>
      </w:pPr>
      <w:r w:rsidRPr="000F0F8E">
        <w:rPr>
          <w:b/>
          <w:szCs w:val="22"/>
        </w:rPr>
        <w:t>General postal a</w:t>
      </w:r>
      <w:r w:rsidR="008563A0" w:rsidRPr="000F0F8E">
        <w:rPr>
          <w:b/>
          <w:szCs w:val="22"/>
        </w:rPr>
        <w:t xml:space="preserve">ddress </w:t>
      </w:r>
      <w:r w:rsidR="004B4211" w:rsidRPr="000F0F8E">
        <w:rPr>
          <w:b/>
          <w:szCs w:val="22"/>
        </w:rPr>
        <w:t xml:space="preserve">and contact details </w:t>
      </w:r>
      <w:r w:rsidR="008563A0" w:rsidRPr="000F0F8E">
        <w:rPr>
          <w:b/>
          <w:szCs w:val="22"/>
        </w:rPr>
        <w:t xml:space="preserve">of the </w:t>
      </w:r>
      <w:r w:rsidRPr="000F0F8E">
        <w:rPr>
          <w:b/>
          <w:szCs w:val="22"/>
        </w:rPr>
        <w:t>IAEA</w:t>
      </w:r>
      <w:r w:rsidR="008563A0" w:rsidRPr="000F0F8E">
        <w:rPr>
          <w:b/>
          <w:szCs w:val="22"/>
        </w:rPr>
        <w:t xml:space="preserve"> Secretariat:</w:t>
      </w:r>
    </w:p>
    <w:p w:rsidR="008563A0" w:rsidRPr="000F0F8E" w:rsidRDefault="008563A0" w:rsidP="00157449">
      <w:pPr>
        <w:pStyle w:val="BodyText"/>
        <w:keepNext/>
        <w:keepLines/>
        <w:spacing w:after="0"/>
        <w:rPr>
          <w:rFonts w:eastAsia="MS Mincho"/>
          <w:szCs w:val="22"/>
          <w:lang w:eastAsia="ja-JP"/>
        </w:rPr>
      </w:pPr>
      <w:r w:rsidRPr="000F0F8E">
        <w:rPr>
          <w:rFonts w:eastAsia="MS Mincho"/>
          <w:szCs w:val="22"/>
        </w:rPr>
        <w:t>International Atomic Energy Agency</w:t>
      </w:r>
      <w:r w:rsidRPr="000F0F8E">
        <w:rPr>
          <w:szCs w:val="22"/>
        </w:rPr>
        <w:br/>
      </w:r>
      <w:r w:rsidRPr="000F0F8E">
        <w:rPr>
          <w:rFonts w:eastAsia="MS Mincho"/>
          <w:szCs w:val="22"/>
        </w:rPr>
        <w:t>Vienna International Centre</w:t>
      </w:r>
      <w:r w:rsidR="004B4211" w:rsidRPr="000F0F8E">
        <w:rPr>
          <w:rFonts w:eastAsia="MS Mincho"/>
          <w:szCs w:val="22"/>
        </w:rPr>
        <w:br/>
      </w:r>
      <w:r w:rsidRPr="000F0F8E">
        <w:rPr>
          <w:rFonts w:eastAsia="MS Mincho"/>
          <w:szCs w:val="22"/>
        </w:rPr>
        <w:t>PO Box 100</w:t>
      </w:r>
      <w:r w:rsidRPr="000F0F8E">
        <w:rPr>
          <w:szCs w:val="22"/>
        </w:rPr>
        <w:br/>
      </w:r>
      <w:r w:rsidRPr="000F0F8E">
        <w:rPr>
          <w:rFonts w:eastAsia="MS Mincho"/>
          <w:szCs w:val="22"/>
        </w:rPr>
        <w:t xml:space="preserve">1400 </w:t>
      </w:r>
      <w:r w:rsidR="004D534D" w:rsidRPr="000F0F8E">
        <w:rPr>
          <w:rFonts w:eastAsia="MS Mincho"/>
          <w:szCs w:val="22"/>
        </w:rPr>
        <w:t>VIENNA</w:t>
      </w:r>
      <w:r w:rsidR="004D534D" w:rsidRPr="000F0F8E">
        <w:rPr>
          <w:rFonts w:eastAsia="MS Mincho"/>
          <w:szCs w:val="22"/>
        </w:rPr>
        <w:br/>
      </w:r>
      <w:r w:rsidR="00890451" w:rsidRPr="000F0F8E">
        <w:rPr>
          <w:rFonts w:eastAsia="MS Mincho"/>
          <w:szCs w:val="22"/>
        </w:rPr>
        <w:t>AUSTRIA</w:t>
      </w:r>
      <w:r w:rsidRPr="000F0F8E">
        <w:rPr>
          <w:szCs w:val="22"/>
        </w:rPr>
        <w:br/>
      </w:r>
      <w:r w:rsidRPr="000F0F8E">
        <w:rPr>
          <w:rFonts w:eastAsia="MS Mincho"/>
          <w:szCs w:val="22"/>
          <w:lang w:eastAsia="ja-JP"/>
        </w:rPr>
        <w:t>Ref. IAEA-CN-2</w:t>
      </w:r>
      <w:r w:rsidR="004071AB" w:rsidRPr="000F0F8E">
        <w:rPr>
          <w:rFonts w:eastAsia="MS Mincho"/>
          <w:szCs w:val="22"/>
          <w:lang w:eastAsia="ja-JP"/>
        </w:rPr>
        <w:t>1</w:t>
      </w:r>
      <w:r w:rsidRPr="000F0F8E">
        <w:rPr>
          <w:rFonts w:eastAsia="MS Mincho"/>
          <w:szCs w:val="22"/>
          <w:lang w:eastAsia="ja-JP"/>
        </w:rPr>
        <w:t>4</w:t>
      </w:r>
    </w:p>
    <w:p w:rsidR="008563A0" w:rsidRPr="000F0F8E" w:rsidRDefault="008563A0" w:rsidP="00157449">
      <w:pPr>
        <w:pStyle w:val="BodyText"/>
        <w:keepNext/>
        <w:keepLines/>
        <w:rPr>
          <w:rFonts w:eastAsia="Batang"/>
          <w:color w:val="0000FF"/>
          <w:szCs w:val="22"/>
          <w:u w:val="single"/>
          <w:lang w:eastAsia="ko-KR"/>
        </w:rPr>
      </w:pPr>
      <w:r w:rsidRPr="000F0F8E">
        <w:rPr>
          <w:rFonts w:eastAsia="MS Mincho"/>
          <w:szCs w:val="22"/>
          <w:lang w:eastAsia="ja-JP"/>
        </w:rPr>
        <w:t>Tel.: +43 1 2600 0</w:t>
      </w:r>
      <w:r w:rsidRPr="000F0F8E">
        <w:rPr>
          <w:szCs w:val="22"/>
        </w:rPr>
        <w:br/>
      </w:r>
      <w:r w:rsidRPr="000F0F8E">
        <w:rPr>
          <w:rFonts w:eastAsia="MS Mincho"/>
          <w:szCs w:val="22"/>
          <w:lang w:eastAsia="ja-JP"/>
        </w:rPr>
        <w:t>Fax: +43 1 2600 7</w:t>
      </w:r>
      <w:r w:rsidRPr="000F0F8E">
        <w:rPr>
          <w:szCs w:val="22"/>
        </w:rPr>
        <w:br/>
      </w:r>
      <w:r w:rsidRPr="000F0F8E">
        <w:rPr>
          <w:rFonts w:eastAsia="MS Mincho"/>
          <w:szCs w:val="22"/>
          <w:lang w:eastAsia="ja-JP"/>
        </w:rPr>
        <w:t xml:space="preserve">Email: </w:t>
      </w:r>
      <w:hyperlink r:id="rId19" w:history="1">
        <w:r w:rsidR="00254FD2" w:rsidRPr="00254FD2">
          <w:rPr>
            <w:rStyle w:val="Hyperlink"/>
            <w:rFonts w:eastAsia="Batang"/>
            <w:szCs w:val="22"/>
            <w:lang w:eastAsia="ko-KR"/>
          </w:rPr>
          <w:t>Official.Mail@iaea.org</w:t>
        </w:r>
      </w:hyperlink>
    </w:p>
    <w:p w:rsidR="000F57AD" w:rsidRPr="000F0F8E" w:rsidRDefault="000F57AD" w:rsidP="008563A0">
      <w:pPr>
        <w:pStyle w:val="BodyText"/>
        <w:rPr>
          <w:rFonts w:eastAsia="MS Mincho"/>
          <w:szCs w:val="22"/>
        </w:rPr>
      </w:pPr>
    </w:p>
    <w:p w:rsidR="008563A0" w:rsidRPr="000F0F8E" w:rsidRDefault="008563A0" w:rsidP="008563A0">
      <w:pPr>
        <w:pStyle w:val="BodyText"/>
        <w:rPr>
          <w:b/>
          <w:szCs w:val="22"/>
        </w:rPr>
      </w:pPr>
      <w:r w:rsidRPr="000F0F8E">
        <w:rPr>
          <w:b/>
          <w:szCs w:val="22"/>
        </w:rPr>
        <w:t xml:space="preserve">Scientific Secretaries </w:t>
      </w:r>
      <w:r w:rsidR="000F57AD" w:rsidRPr="000F0F8E">
        <w:rPr>
          <w:b/>
          <w:szCs w:val="22"/>
        </w:rPr>
        <w:t>(IAEA)</w:t>
      </w:r>
      <w:r w:rsidRPr="000F0F8E">
        <w:rPr>
          <w:b/>
          <w:szCs w:val="22"/>
        </w:rPr>
        <w:t>:</w:t>
      </w:r>
    </w:p>
    <w:p w:rsidR="00850C0A" w:rsidRPr="000F0F8E" w:rsidRDefault="008563A0" w:rsidP="00850C0A">
      <w:pPr>
        <w:pStyle w:val="BodyText"/>
        <w:rPr>
          <w:szCs w:val="22"/>
        </w:rPr>
      </w:pPr>
      <w:r w:rsidRPr="000F0F8E">
        <w:rPr>
          <w:rFonts w:eastAsia="MS Mincho"/>
          <w:b/>
          <w:bCs/>
          <w:szCs w:val="22"/>
          <w:lang w:eastAsia="ja-JP"/>
        </w:rPr>
        <w:t xml:space="preserve">Mr </w:t>
      </w:r>
      <w:r w:rsidR="00083D32" w:rsidRPr="000F0F8E">
        <w:rPr>
          <w:rFonts w:eastAsia="MS Mincho"/>
          <w:b/>
          <w:bCs/>
          <w:szCs w:val="22"/>
          <w:lang w:eastAsia="ja-JP"/>
        </w:rPr>
        <w:t>Paul Woodhouse</w:t>
      </w:r>
      <w:r w:rsidRPr="000F0F8E">
        <w:rPr>
          <w:szCs w:val="22"/>
        </w:rPr>
        <w:br/>
      </w:r>
      <w:r w:rsidR="00083D32" w:rsidRPr="000F0F8E">
        <w:rPr>
          <w:rFonts w:eastAsia="MS Mincho"/>
          <w:szCs w:val="22"/>
          <w:lang w:eastAsia="ja-JP"/>
        </w:rPr>
        <w:t>Safety and Security Coordination Section</w:t>
      </w:r>
      <w:r w:rsidR="004B4211" w:rsidRPr="000F0F8E">
        <w:rPr>
          <w:rFonts w:eastAsia="MS Mincho"/>
          <w:szCs w:val="22"/>
          <w:lang w:eastAsia="ja-JP"/>
        </w:rPr>
        <w:br/>
        <w:t>Department of Nuclear Safety and Security</w:t>
      </w:r>
      <w:r w:rsidRPr="000F0F8E">
        <w:rPr>
          <w:szCs w:val="22"/>
        </w:rPr>
        <w:br/>
      </w:r>
      <w:r w:rsidRPr="000F0F8E">
        <w:rPr>
          <w:rFonts w:eastAsia="MS Mincho"/>
          <w:szCs w:val="22"/>
          <w:lang w:eastAsia="ja-JP"/>
        </w:rPr>
        <w:t>Tel.: +43 1 2600 2</w:t>
      </w:r>
      <w:r w:rsidR="00083D32" w:rsidRPr="000F0F8E">
        <w:rPr>
          <w:rFonts w:eastAsia="MS Mincho"/>
          <w:szCs w:val="22"/>
          <w:lang w:eastAsia="ja-JP"/>
        </w:rPr>
        <w:t>2432</w:t>
      </w:r>
      <w:r w:rsidRPr="000F0F8E">
        <w:rPr>
          <w:szCs w:val="22"/>
        </w:rPr>
        <w:br/>
      </w:r>
      <w:r w:rsidRPr="000F0F8E">
        <w:rPr>
          <w:rFonts w:eastAsia="MS Mincho"/>
          <w:szCs w:val="22"/>
          <w:lang w:eastAsia="ja-JP"/>
        </w:rPr>
        <w:t>Fax: +43 1 26007</w:t>
      </w:r>
      <w:r w:rsidRPr="000F0F8E">
        <w:rPr>
          <w:szCs w:val="22"/>
        </w:rPr>
        <w:br/>
      </w:r>
      <w:r w:rsidRPr="000F0F8E">
        <w:rPr>
          <w:rFonts w:eastAsia="MS Mincho"/>
          <w:szCs w:val="22"/>
          <w:lang w:eastAsia="ja-JP"/>
        </w:rPr>
        <w:t xml:space="preserve">Email: </w:t>
      </w:r>
      <w:hyperlink r:id="rId20" w:history="1">
        <w:r w:rsidR="00850C0A" w:rsidRPr="000F0F8E">
          <w:rPr>
            <w:rStyle w:val="Hyperlink"/>
            <w:szCs w:val="22"/>
          </w:rPr>
          <w:t>TSOConf2014@iaea.org</w:t>
        </w:r>
      </w:hyperlink>
    </w:p>
    <w:p w:rsidR="00850C0A" w:rsidRPr="000F0F8E" w:rsidRDefault="008563A0" w:rsidP="00850C0A">
      <w:pPr>
        <w:pStyle w:val="BodyText"/>
        <w:rPr>
          <w:szCs w:val="22"/>
        </w:rPr>
      </w:pPr>
      <w:r w:rsidRPr="000F0F8E">
        <w:rPr>
          <w:b/>
          <w:bCs/>
          <w:szCs w:val="22"/>
        </w:rPr>
        <w:t xml:space="preserve">Mr </w:t>
      </w:r>
      <w:r w:rsidR="00C872D2">
        <w:rPr>
          <w:b/>
          <w:bCs/>
          <w:szCs w:val="22"/>
        </w:rPr>
        <w:t>Lingquan Guo (replacing Mr Matthias Heitsch as of 1 September 2014)</w:t>
      </w:r>
      <w:r w:rsidRPr="000F0F8E">
        <w:rPr>
          <w:szCs w:val="22"/>
        </w:rPr>
        <w:br/>
      </w:r>
      <w:r w:rsidR="00C872D2">
        <w:rPr>
          <w:szCs w:val="22"/>
        </w:rPr>
        <w:t>Safety and Security Coordination Section</w:t>
      </w:r>
      <w:r w:rsidR="004B4211" w:rsidRPr="000F0F8E">
        <w:rPr>
          <w:szCs w:val="22"/>
        </w:rPr>
        <w:br/>
        <w:t>Department of Nuclear Safety and Security</w:t>
      </w:r>
      <w:r w:rsidRPr="000F0F8E">
        <w:rPr>
          <w:szCs w:val="22"/>
        </w:rPr>
        <w:br/>
        <w:t xml:space="preserve">Tel.: +43 1 2600 </w:t>
      </w:r>
      <w:r w:rsidR="00C872D2">
        <w:rPr>
          <w:szCs w:val="22"/>
        </w:rPr>
        <w:t>26429</w:t>
      </w:r>
      <w:r w:rsidRPr="000F0F8E">
        <w:rPr>
          <w:szCs w:val="22"/>
        </w:rPr>
        <w:br/>
        <w:t>Fax: +43 1 26007</w:t>
      </w:r>
      <w:r w:rsidRPr="000F0F8E">
        <w:rPr>
          <w:szCs w:val="22"/>
        </w:rPr>
        <w:br/>
        <w:t xml:space="preserve">Email: </w:t>
      </w:r>
      <w:hyperlink r:id="rId21" w:history="1">
        <w:r w:rsidR="00850C0A" w:rsidRPr="000F0F8E">
          <w:rPr>
            <w:rStyle w:val="Hyperlink"/>
            <w:szCs w:val="22"/>
          </w:rPr>
          <w:t>TSOConf2014@iaea.org</w:t>
        </w:r>
      </w:hyperlink>
    </w:p>
    <w:p w:rsidR="00981B7E" w:rsidRPr="00254FD2" w:rsidRDefault="00981B7E" w:rsidP="003C5B25">
      <w:pPr>
        <w:pStyle w:val="BodyText"/>
        <w:rPr>
          <w:sz w:val="24"/>
          <w:szCs w:val="24"/>
        </w:rPr>
      </w:pPr>
    </w:p>
    <w:p w:rsidR="008563A0" w:rsidRPr="000F0F8E" w:rsidRDefault="008563A0" w:rsidP="004B4211">
      <w:pPr>
        <w:pStyle w:val="BodyText"/>
        <w:rPr>
          <w:szCs w:val="22"/>
        </w:rPr>
      </w:pPr>
      <w:r w:rsidRPr="000F0F8E">
        <w:rPr>
          <w:b/>
          <w:szCs w:val="22"/>
        </w:rPr>
        <w:t xml:space="preserve">Administration and </w:t>
      </w:r>
      <w:r w:rsidR="004B4211" w:rsidRPr="000F0F8E">
        <w:rPr>
          <w:b/>
          <w:szCs w:val="22"/>
        </w:rPr>
        <w:t>o</w:t>
      </w:r>
      <w:r w:rsidRPr="000F0F8E">
        <w:rPr>
          <w:b/>
          <w:szCs w:val="22"/>
        </w:rPr>
        <w:t>rganization</w:t>
      </w:r>
      <w:r w:rsidR="000F57AD" w:rsidRPr="000F0F8E">
        <w:rPr>
          <w:b/>
          <w:szCs w:val="22"/>
        </w:rPr>
        <w:t xml:space="preserve"> (IAEA)</w:t>
      </w:r>
      <w:r w:rsidRPr="000F0F8E">
        <w:rPr>
          <w:b/>
          <w:szCs w:val="22"/>
        </w:rPr>
        <w:t>:</w:t>
      </w:r>
    </w:p>
    <w:p w:rsidR="008563A0" w:rsidRPr="000F0F8E" w:rsidRDefault="008563A0" w:rsidP="000F0F8E">
      <w:pPr>
        <w:pStyle w:val="BodyText"/>
        <w:rPr>
          <w:szCs w:val="22"/>
        </w:rPr>
      </w:pPr>
      <w:r w:rsidRPr="000F0F8E">
        <w:rPr>
          <w:b/>
          <w:bCs/>
          <w:szCs w:val="22"/>
        </w:rPr>
        <w:t xml:space="preserve">Ms Martina </w:t>
      </w:r>
      <w:bookmarkStart w:id="3" w:name="OLE_LINK1"/>
      <w:bookmarkStart w:id="4" w:name="OLE_LINK2"/>
      <w:r w:rsidR="003660AF" w:rsidRPr="000F0F8E">
        <w:rPr>
          <w:b/>
          <w:bCs/>
          <w:szCs w:val="22"/>
        </w:rPr>
        <w:t>Khaelss</w:t>
      </w:r>
      <w:r w:rsidRPr="000F0F8E">
        <w:rPr>
          <w:szCs w:val="22"/>
        </w:rPr>
        <w:br/>
      </w:r>
      <w:bookmarkEnd w:id="3"/>
      <w:bookmarkEnd w:id="4"/>
      <w:r w:rsidRPr="000F0F8E">
        <w:rPr>
          <w:szCs w:val="22"/>
        </w:rPr>
        <w:t>Conference Services Section</w:t>
      </w:r>
      <w:r w:rsidRPr="000F0F8E">
        <w:rPr>
          <w:szCs w:val="22"/>
        </w:rPr>
        <w:br/>
        <w:t>Division of Conference a</w:t>
      </w:r>
      <w:r w:rsidR="003660AF" w:rsidRPr="000F0F8E">
        <w:rPr>
          <w:szCs w:val="22"/>
        </w:rPr>
        <w:t>nd Document Services</w:t>
      </w:r>
      <w:r w:rsidR="004B4211" w:rsidRPr="000F0F8E">
        <w:rPr>
          <w:szCs w:val="22"/>
        </w:rPr>
        <w:br/>
        <w:t>Department of Management</w:t>
      </w:r>
      <w:r w:rsidR="003660AF" w:rsidRPr="000F0F8E">
        <w:rPr>
          <w:szCs w:val="22"/>
        </w:rPr>
        <w:br/>
      </w:r>
      <w:r w:rsidRPr="000F0F8E">
        <w:rPr>
          <w:szCs w:val="22"/>
        </w:rPr>
        <w:t>Tel.: +43 1 2600 2131</w:t>
      </w:r>
      <w:r w:rsidR="003D2F4F" w:rsidRPr="000F0F8E">
        <w:rPr>
          <w:szCs w:val="22"/>
        </w:rPr>
        <w:t>5</w:t>
      </w:r>
      <w:r w:rsidRPr="000F0F8E">
        <w:rPr>
          <w:szCs w:val="22"/>
        </w:rPr>
        <w:br/>
      </w:r>
      <w:r w:rsidRPr="000F0F8E">
        <w:rPr>
          <w:rFonts w:eastAsia="MS Mincho"/>
          <w:szCs w:val="22"/>
        </w:rPr>
        <w:t>Fax: +43 1 26007</w:t>
      </w:r>
      <w:r w:rsidRPr="000F0F8E">
        <w:rPr>
          <w:szCs w:val="22"/>
        </w:rPr>
        <w:br/>
        <w:t xml:space="preserve">Email: </w:t>
      </w:r>
      <w:hyperlink r:id="rId22" w:history="1">
        <w:r w:rsidR="000F57AD" w:rsidRPr="000F0F8E">
          <w:rPr>
            <w:rStyle w:val="Hyperlink"/>
            <w:szCs w:val="22"/>
          </w:rPr>
          <w:t>M.Khaelss@iaea.org</w:t>
        </w:r>
      </w:hyperlink>
    </w:p>
    <w:p w:rsidR="008563A0" w:rsidRPr="000F0F8E" w:rsidRDefault="008563A0" w:rsidP="008563A0">
      <w:pPr>
        <w:pStyle w:val="BodyText"/>
        <w:rPr>
          <w:szCs w:val="22"/>
        </w:rPr>
      </w:pPr>
      <w:r w:rsidRPr="000F0F8E">
        <w:rPr>
          <w:szCs w:val="22"/>
        </w:rPr>
        <w:t>Subsequent correspondence on scientific matters should be sent to the Scientific Secretaries and correspondence on administrative matters to the IAEA Conference Services Section.</w:t>
      </w:r>
    </w:p>
    <w:p w:rsidR="00733D7D" w:rsidRPr="000F0F8E" w:rsidRDefault="00F82C2F" w:rsidP="00157449">
      <w:pPr>
        <w:pStyle w:val="Heading1"/>
        <w:keepNext/>
        <w:keepLines/>
      </w:pPr>
      <w:r w:rsidRPr="000F0F8E">
        <w:t xml:space="preserve">Conference </w:t>
      </w:r>
      <w:r w:rsidR="001F1303" w:rsidRPr="000F0F8E">
        <w:t xml:space="preserve">Web </w:t>
      </w:r>
      <w:r w:rsidR="00273769" w:rsidRPr="000F0F8E">
        <w:t>P</w:t>
      </w:r>
      <w:r w:rsidR="001F1303" w:rsidRPr="000F0F8E">
        <w:t>age</w:t>
      </w:r>
    </w:p>
    <w:p w:rsidR="00733D7D" w:rsidRPr="000F0F8E" w:rsidRDefault="00733D7D" w:rsidP="00157449">
      <w:pPr>
        <w:pStyle w:val="BodyText"/>
        <w:keepNext/>
        <w:keepLines/>
        <w:widowControl w:val="0"/>
      </w:pPr>
      <w:r w:rsidRPr="000F0F8E">
        <w:t xml:space="preserve">Please visit the IAEA conference </w:t>
      </w:r>
      <w:r w:rsidR="001F1303" w:rsidRPr="000F0F8E">
        <w:t>web page</w:t>
      </w:r>
      <w:r w:rsidRPr="000F0F8E">
        <w:t xml:space="preserve"> regularly for new information regarding this conference:</w:t>
      </w:r>
    </w:p>
    <w:p w:rsidR="00C40AAE" w:rsidRPr="000F0F8E" w:rsidRDefault="004E3DFC" w:rsidP="000F0F8E">
      <w:pPr>
        <w:pStyle w:val="BodyText"/>
      </w:pPr>
      <w:hyperlink r:id="rId23" w:history="1">
        <w:r w:rsidR="00E65A12" w:rsidRPr="000F0F8E">
          <w:rPr>
            <w:rStyle w:val="Hyperlink"/>
          </w:rPr>
          <w:t>http://www-pub.iaea.org/iaeameetings/46083/International-Conference-on-Challenges-Faced-By-Technical-and-Scientific-Support-Organizations-TSOs-in-Enhancing-Nuclear-Safety-and-Security</w:t>
        </w:r>
      </w:hyperlink>
    </w:p>
    <w:sectPr w:rsidR="00C40AAE" w:rsidRPr="000F0F8E" w:rsidSect="00157449">
      <w:footerReference w:type="even" r:id="rId24"/>
      <w:pgSz w:w="11907" w:h="16840" w:code="9"/>
      <w:pgMar w:top="1531" w:right="1418" w:bottom="1134" w:left="1418"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FC" w:rsidRDefault="006A40FC">
      <w:r>
        <w:separator/>
      </w:r>
    </w:p>
  </w:endnote>
  <w:endnote w:type="continuationSeparator" w:id="0">
    <w:p w:rsidR="006A40FC" w:rsidRDefault="006A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80420"/>
      <w:docPartObj>
        <w:docPartGallery w:val="Page Numbers (Bottom of Page)"/>
        <w:docPartUnique/>
      </w:docPartObj>
    </w:sdtPr>
    <w:sdtEndPr>
      <w:rPr>
        <w:noProof/>
      </w:rPr>
    </w:sdtEndPr>
    <w:sdtContent>
      <w:p w:rsidR="00D249D2" w:rsidRDefault="00D249D2">
        <w:pPr>
          <w:pStyle w:val="Footer"/>
        </w:pPr>
        <w:r>
          <w:fldChar w:fldCharType="begin"/>
        </w:r>
        <w:r>
          <w:instrText xml:space="preserve"> PAGE   \* MERGEFORMAT </w:instrText>
        </w:r>
        <w:r>
          <w:fldChar w:fldCharType="separate"/>
        </w:r>
        <w:r w:rsidR="002F400C">
          <w:rPr>
            <w:noProof/>
          </w:rPr>
          <w:t>2</w:t>
        </w:r>
        <w:r>
          <w:rPr>
            <w:noProof/>
          </w:rPr>
          <w:fldChar w:fldCharType="end"/>
        </w:r>
      </w:p>
    </w:sdtContent>
  </w:sdt>
  <w:p w:rsidR="00D249D2" w:rsidRDefault="00D249D2">
    <w:pPr>
      <w:pStyle w:val="zyxClassification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014358"/>
      <w:docPartObj>
        <w:docPartGallery w:val="Page Numbers (Bottom of Page)"/>
        <w:docPartUnique/>
      </w:docPartObj>
    </w:sdtPr>
    <w:sdtEndPr>
      <w:rPr>
        <w:noProof/>
      </w:rPr>
    </w:sdtEndPr>
    <w:sdtContent>
      <w:p w:rsidR="00D249D2" w:rsidRDefault="00D249D2">
        <w:pPr>
          <w:pStyle w:val="Footer"/>
        </w:pPr>
        <w:r>
          <w:fldChar w:fldCharType="begin"/>
        </w:r>
        <w:r>
          <w:instrText xml:space="preserve"> PAGE   \* MERGEFORMAT </w:instrText>
        </w:r>
        <w:r>
          <w:fldChar w:fldCharType="separate"/>
        </w:r>
        <w:r w:rsidR="004E3DFC">
          <w:rPr>
            <w:noProof/>
          </w:rPr>
          <w:t>9</w:t>
        </w:r>
        <w:r>
          <w:rPr>
            <w:noProof/>
          </w:rPr>
          <w:fldChar w:fldCharType="end"/>
        </w:r>
      </w:p>
    </w:sdtContent>
  </w:sdt>
  <w:p w:rsidR="00D249D2" w:rsidRPr="00157449" w:rsidRDefault="00D249D2" w:rsidP="00157449">
    <w:pPr>
      <w:pStyle w:val="zyxClassification2"/>
      <w:jc w:val="center"/>
      <w:rPr>
        <w:rFonts w:ascii="Times New Roman" w:hAnsi="Times New Roman" w:cs="Times New Roman"/>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D249D2">
      <w:trPr>
        <w:cantSplit/>
      </w:trPr>
      <w:tc>
        <w:tcPr>
          <w:tcW w:w="4644" w:type="dxa"/>
        </w:tcPr>
        <w:p w:rsidR="00D249D2" w:rsidRDefault="00D249D2">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D249D2" w:rsidRDefault="00D249D2">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tc>
        <w:tcPr>
          <w:tcW w:w="5670" w:type="dxa"/>
          <w:tcMar>
            <w:right w:w="249" w:type="dxa"/>
          </w:tcMar>
        </w:tcPr>
        <w:p w:rsidR="00D249D2" w:rsidRDefault="00D249D2">
          <w:pPr>
            <w:pStyle w:val="zyxConfidBlack"/>
            <w:framePr w:wrap="auto" w:vAnchor="margin" w:hAnchor="text" w:xAlign="left" w:yAlign="inline"/>
            <w:suppressOverlap w:val="0"/>
          </w:pPr>
          <w:bookmarkStart w:id="2" w:name="DOC_bkmClassification2"/>
        </w:p>
        <w:bookmarkEnd w:id="2"/>
        <w:p w:rsidR="00D249D2" w:rsidRDefault="00D249D2">
          <w:pPr>
            <w:spacing w:after="20" w:line="220" w:lineRule="exact"/>
            <w:jc w:val="right"/>
            <w:rPr>
              <w:rFonts w:ascii="Arial" w:hAnsi="Arial" w:cs="Arial"/>
              <w:color w:val="FF0000"/>
            </w:rPr>
          </w:pPr>
        </w:p>
      </w:tc>
    </w:tr>
  </w:tbl>
  <w:p w:rsidR="00D249D2" w:rsidRDefault="00D249D2" w:rsidP="00157449">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078682"/>
      <w:docPartObj>
        <w:docPartGallery w:val="Page Numbers (Bottom of Page)"/>
        <w:docPartUnique/>
      </w:docPartObj>
    </w:sdtPr>
    <w:sdtEndPr>
      <w:rPr>
        <w:noProof/>
      </w:rPr>
    </w:sdtEndPr>
    <w:sdtContent>
      <w:p w:rsidR="00D249D2" w:rsidRDefault="00D249D2">
        <w:pPr>
          <w:pStyle w:val="Footer"/>
        </w:pPr>
        <w:r>
          <w:fldChar w:fldCharType="begin"/>
        </w:r>
        <w:r>
          <w:instrText xml:space="preserve"> PAGE   \* MERGEFORMAT </w:instrText>
        </w:r>
        <w:r>
          <w:fldChar w:fldCharType="separate"/>
        </w:r>
        <w:r w:rsidR="004E3DFC">
          <w:rPr>
            <w:noProof/>
          </w:rPr>
          <w:t>8</w:t>
        </w:r>
        <w:r>
          <w:rPr>
            <w:noProof/>
          </w:rPr>
          <w:fldChar w:fldCharType="end"/>
        </w:r>
      </w:p>
    </w:sdtContent>
  </w:sdt>
  <w:p w:rsidR="00D249D2" w:rsidRPr="00157449" w:rsidRDefault="00D249D2" w:rsidP="00157449">
    <w:pPr>
      <w:pStyle w:val="zyxClassification2"/>
      <w:jc w:val="center"/>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FC" w:rsidRDefault="006A40FC">
      <w:r>
        <w:t>___________________________________________________________________________</w:t>
      </w:r>
    </w:p>
  </w:footnote>
  <w:footnote w:type="continuationSeparator" w:id="0">
    <w:p w:rsidR="006A40FC" w:rsidRDefault="006A40FC">
      <w:r>
        <w:t>___________________________________________________________________________</w:t>
      </w:r>
    </w:p>
  </w:footnote>
  <w:footnote w:type="continuationNotice" w:id="1">
    <w:p w:rsidR="006A40FC" w:rsidRDefault="006A40FC"/>
  </w:footnote>
  <w:footnote w:id="2">
    <w:p w:rsidR="00F90647" w:rsidRDefault="00F90647" w:rsidP="00F90647">
      <w:pPr>
        <w:pStyle w:val="FootnoteText"/>
      </w:pPr>
      <w:r>
        <w:rPr>
          <w:rStyle w:val="FootnoteReference"/>
        </w:rPr>
        <w:footnoteRef/>
      </w:r>
      <w:r>
        <w:t xml:space="preserve"> See the IAEA Action Plan on Nuclear Safety dashboard: </w:t>
      </w:r>
      <w:hyperlink r:id="rId1" w:history="1">
        <w:r w:rsidRPr="00A163FA">
          <w:rPr>
            <w:rStyle w:val="Hyperlink"/>
          </w:rPr>
          <w:t>http://www-ns.iaea.org/actionplan/</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2" w:rsidRDefault="00D249D2">
    <w:pPr>
      <w:pStyle w:val="Header"/>
      <w:spacing w:after="0"/>
      <w:rPr>
        <w:sz w:val="8"/>
      </w:rPr>
    </w:pPr>
    <w:r>
      <w:br/>
      <w:t xml:space="preserve">Page </w:t>
    </w:r>
    <w:r>
      <w:fldChar w:fldCharType="begin"/>
    </w:r>
    <w:r>
      <w:instrText xml:space="preserve"> PAGE </w:instrText>
    </w:r>
    <w:r>
      <w:fldChar w:fldCharType="separate"/>
    </w:r>
    <w:r w:rsidR="004E3DFC">
      <w:rPr>
        <w:noProof/>
      </w:rPr>
      <w:t>8</w:t>
    </w:r>
    <w:r>
      <w:fldChar w:fldCharType="end"/>
    </w:r>
    <w:r>
      <w:br/>
    </w:r>
  </w:p>
  <w:p w:rsidR="00D249D2" w:rsidRDefault="00D249D2">
    <w:pPr>
      <w:pStyle w:val="zyxClassification1"/>
    </w:pPr>
    <w:r>
      <w:fldChar w:fldCharType="begin"/>
    </w:r>
    <w:r>
      <w:instrText xml:space="preserve"> DOCPROPERTY "IaeaClassification"  \* MERGEFORMAT </w:instrText>
    </w:r>
    <w:r>
      <w:fldChar w:fldCharType="end"/>
    </w:r>
  </w:p>
  <w:p w:rsidR="00D249D2" w:rsidRDefault="00D249D2">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9D2" w:rsidRDefault="00D249D2">
    <w:pPr>
      <w:pStyle w:val="Header"/>
      <w:spacing w:after="0"/>
      <w:jc w:val="right"/>
      <w:rPr>
        <w:sz w:val="8"/>
      </w:rPr>
    </w:pPr>
    <w:r>
      <w:br/>
      <w:t xml:space="preserve">Page </w:t>
    </w:r>
    <w:r>
      <w:fldChar w:fldCharType="begin"/>
    </w:r>
    <w:r>
      <w:instrText xml:space="preserve"> PAGE </w:instrText>
    </w:r>
    <w:r>
      <w:fldChar w:fldCharType="separate"/>
    </w:r>
    <w:r w:rsidR="004E3DFC">
      <w:rPr>
        <w:noProof/>
      </w:rPr>
      <w:t>9</w:t>
    </w:r>
    <w:r>
      <w:fldChar w:fldCharType="end"/>
    </w:r>
    <w:r>
      <w:br/>
    </w:r>
  </w:p>
  <w:p w:rsidR="00D249D2" w:rsidRDefault="00D249D2">
    <w:pPr>
      <w:pStyle w:val="zyxClassification1"/>
    </w:pPr>
    <w:r>
      <w:fldChar w:fldCharType="begin"/>
    </w:r>
    <w:r>
      <w:instrText xml:space="preserve"> DOCPROPERTY "IaeaClassification"  \* MERGEFORMAT </w:instrText>
    </w:r>
    <w:r>
      <w:fldChar w:fldCharType="end"/>
    </w:r>
  </w:p>
  <w:p w:rsidR="00D249D2" w:rsidRDefault="00D249D2">
    <w:pPr>
      <w:pStyle w:val="zyxClassification2"/>
    </w:pPr>
    <w:r>
      <w:fldChar w:fldCharType="begin"/>
    </w:r>
    <w:r>
      <w:instrText>DOCPROPERTY "IaeaClassification2"  \* MERGEFORMAT</w:instrText>
    </w:r>
    <w:r>
      <w:fldChar w:fldCharType="end"/>
    </w:r>
  </w:p>
  <w:p w:rsidR="00D249D2" w:rsidRDefault="00D249D2">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D249D2">
      <w:trPr>
        <w:cantSplit/>
        <w:trHeight w:val="716"/>
      </w:trPr>
      <w:tc>
        <w:tcPr>
          <w:tcW w:w="979" w:type="dxa"/>
          <w:vMerge w:val="restart"/>
        </w:tcPr>
        <w:p w:rsidR="00D249D2" w:rsidRDefault="00D249D2">
          <w:pPr>
            <w:spacing w:before="180"/>
            <w:ind w:left="17"/>
          </w:pPr>
        </w:p>
      </w:tc>
      <w:tc>
        <w:tcPr>
          <w:tcW w:w="3638" w:type="dxa"/>
          <w:vAlign w:val="bottom"/>
        </w:tcPr>
        <w:p w:rsidR="00D249D2" w:rsidRDefault="00D249D2">
          <w:pPr>
            <w:spacing w:after="20"/>
          </w:pPr>
        </w:p>
      </w:tc>
      <w:tc>
        <w:tcPr>
          <w:tcW w:w="5702" w:type="dxa"/>
          <w:vMerge w:val="restart"/>
          <w:tcMar>
            <w:right w:w="193" w:type="dxa"/>
          </w:tcMar>
        </w:tcPr>
        <w:p w:rsidR="00D249D2" w:rsidRDefault="00D249D2">
          <w:pPr>
            <w:pStyle w:val="zyxConfidBlack"/>
            <w:framePr w:wrap="auto" w:vAnchor="margin" w:hAnchor="text" w:xAlign="left" w:yAlign="inline"/>
            <w:suppressOverlap w:val="0"/>
          </w:pPr>
          <w:bookmarkStart w:id="1" w:name="DOC_bkmClassification1"/>
        </w:p>
        <w:bookmarkEnd w:id="1"/>
        <w:p w:rsidR="00D249D2" w:rsidRDefault="00D249D2">
          <w:pPr>
            <w:pStyle w:val="zyxConfid2Red"/>
          </w:pPr>
        </w:p>
      </w:tc>
    </w:tr>
    <w:tr w:rsidR="00D249D2">
      <w:trPr>
        <w:cantSplit/>
        <w:trHeight w:val="167"/>
      </w:trPr>
      <w:tc>
        <w:tcPr>
          <w:tcW w:w="979" w:type="dxa"/>
          <w:vMerge/>
        </w:tcPr>
        <w:p w:rsidR="00D249D2" w:rsidRDefault="00D249D2">
          <w:pPr>
            <w:spacing w:before="57"/>
          </w:pPr>
        </w:p>
      </w:tc>
      <w:tc>
        <w:tcPr>
          <w:tcW w:w="3638" w:type="dxa"/>
          <w:vAlign w:val="bottom"/>
        </w:tcPr>
        <w:p w:rsidR="00D249D2" w:rsidRDefault="00D249D2">
          <w:pPr>
            <w:pStyle w:val="Heading9"/>
            <w:spacing w:before="0" w:after="10"/>
          </w:pPr>
        </w:p>
      </w:tc>
      <w:tc>
        <w:tcPr>
          <w:tcW w:w="5702" w:type="dxa"/>
          <w:vMerge/>
          <w:vAlign w:val="bottom"/>
        </w:tcPr>
        <w:p w:rsidR="00D249D2" w:rsidRDefault="00D249D2">
          <w:pPr>
            <w:pStyle w:val="Heading9"/>
            <w:spacing w:before="0" w:after="10"/>
          </w:pPr>
        </w:p>
      </w:tc>
    </w:tr>
  </w:tbl>
  <w:p w:rsidR="00D249D2" w:rsidRDefault="00D249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55B0B1F"/>
    <w:multiLevelType w:val="hybridMultilevel"/>
    <w:tmpl w:val="0D302DEA"/>
    <w:lvl w:ilvl="0" w:tplc="41D021B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F583872"/>
    <w:multiLevelType w:val="hybridMultilevel"/>
    <w:tmpl w:val="2E6A08B8"/>
    <w:lvl w:ilvl="0" w:tplc="3FF29240">
      <w:start w:val="1"/>
      <w:numFmt w:val="bullet"/>
      <w:pStyle w:val="BodyTextSummary"/>
      <w:lvlText w:val=""/>
      <w:lvlJc w:val="left"/>
      <w:pPr>
        <w:tabs>
          <w:tab w:val="num" w:pos="720"/>
        </w:tabs>
        <w:ind w:left="720" w:hanging="360"/>
      </w:pPr>
      <w:rPr>
        <w:rFonts w:ascii="Symbol" w:hAnsi="Symbol" w:hint="default"/>
      </w:rPr>
    </w:lvl>
    <w:lvl w:ilvl="1" w:tplc="D6644542">
      <w:numFmt w:val="bullet"/>
      <w:lvlText w:val="•"/>
      <w:lvlJc w:val="left"/>
      <w:pPr>
        <w:ind w:left="1650" w:hanging="57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1002BF"/>
    <w:multiLevelType w:val="hybridMultilevel"/>
    <w:tmpl w:val="16D8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005080"/>
    <w:multiLevelType w:val="hybridMultilevel"/>
    <w:tmpl w:val="F9E0D372"/>
    <w:lvl w:ilvl="0" w:tplc="696E27F8">
      <w:start w:val="1"/>
      <w:numFmt w:val="bullet"/>
      <w:lvlText w:val=""/>
      <w:lvlJc w:val="left"/>
      <w:pPr>
        <w:tabs>
          <w:tab w:val="num" w:pos="720"/>
        </w:tabs>
        <w:ind w:left="720" w:hanging="360"/>
      </w:pPr>
      <w:rPr>
        <w:rFonts w:ascii="Wingdings" w:hAnsi="Wingdings" w:hint="default"/>
        <w:sz w:val="20"/>
      </w:rPr>
    </w:lvl>
    <w:lvl w:ilvl="1" w:tplc="98161D14" w:tentative="1">
      <w:start w:val="1"/>
      <w:numFmt w:val="bullet"/>
      <w:lvlText w:val=""/>
      <w:lvlJc w:val="left"/>
      <w:pPr>
        <w:tabs>
          <w:tab w:val="num" w:pos="1440"/>
        </w:tabs>
        <w:ind w:left="1440" w:hanging="360"/>
      </w:pPr>
      <w:rPr>
        <w:rFonts w:ascii="Wingdings" w:hAnsi="Wingdings" w:hint="default"/>
        <w:sz w:val="20"/>
      </w:rPr>
    </w:lvl>
    <w:lvl w:ilvl="2" w:tplc="0A9C6B90" w:tentative="1">
      <w:start w:val="1"/>
      <w:numFmt w:val="bullet"/>
      <w:lvlText w:val=""/>
      <w:lvlJc w:val="left"/>
      <w:pPr>
        <w:tabs>
          <w:tab w:val="num" w:pos="2160"/>
        </w:tabs>
        <w:ind w:left="2160" w:hanging="360"/>
      </w:pPr>
      <w:rPr>
        <w:rFonts w:ascii="Wingdings" w:hAnsi="Wingdings" w:hint="default"/>
        <w:sz w:val="20"/>
      </w:rPr>
    </w:lvl>
    <w:lvl w:ilvl="3" w:tplc="E190FCB8" w:tentative="1">
      <w:start w:val="1"/>
      <w:numFmt w:val="bullet"/>
      <w:lvlText w:val=""/>
      <w:lvlJc w:val="left"/>
      <w:pPr>
        <w:tabs>
          <w:tab w:val="num" w:pos="2880"/>
        </w:tabs>
        <w:ind w:left="2880" w:hanging="360"/>
      </w:pPr>
      <w:rPr>
        <w:rFonts w:ascii="Wingdings" w:hAnsi="Wingdings" w:hint="default"/>
        <w:sz w:val="20"/>
      </w:rPr>
    </w:lvl>
    <w:lvl w:ilvl="4" w:tplc="B48029F8" w:tentative="1">
      <w:start w:val="1"/>
      <w:numFmt w:val="bullet"/>
      <w:lvlText w:val=""/>
      <w:lvlJc w:val="left"/>
      <w:pPr>
        <w:tabs>
          <w:tab w:val="num" w:pos="3600"/>
        </w:tabs>
        <w:ind w:left="3600" w:hanging="360"/>
      </w:pPr>
      <w:rPr>
        <w:rFonts w:ascii="Wingdings" w:hAnsi="Wingdings" w:hint="default"/>
        <w:sz w:val="20"/>
      </w:rPr>
    </w:lvl>
    <w:lvl w:ilvl="5" w:tplc="5A389DC8" w:tentative="1">
      <w:start w:val="1"/>
      <w:numFmt w:val="bullet"/>
      <w:lvlText w:val=""/>
      <w:lvlJc w:val="left"/>
      <w:pPr>
        <w:tabs>
          <w:tab w:val="num" w:pos="4320"/>
        </w:tabs>
        <w:ind w:left="4320" w:hanging="360"/>
      </w:pPr>
      <w:rPr>
        <w:rFonts w:ascii="Wingdings" w:hAnsi="Wingdings" w:hint="default"/>
        <w:sz w:val="20"/>
      </w:rPr>
    </w:lvl>
    <w:lvl w:ilvl="6" w:tplc="71A8A79A" w:tentative="1">
      <w:start w:val="1"/>
      <w:numFmt w:val="bullet"/>
      <w:lvlText w:val=""/>
      <w:lvlJc w:val="left"/>
      <w:pPr>
        <w:tabs>
          <w:tab w:val="num" w:pos="5040"/>
        </w:tabs>
        <w:ind w:left="5040" w:hanging="360"/>
      </w:pPr>
      <w:rPr>
        <w:rFonts w:ascii="Wingdings" w:hAnsi="Wingdings" w:hint="default"/>
        <w:sz w:val="20"/>
      </w:rPr>
    </w:lvl>
    <w:lvl w:ilvl="7" w:tplc="5F943F0E" w:tentative="1">
      <w:start w:val="1"/>
      <w:numFmt w:val="bullet"/>
      <w:lvlText w:val=""/>
      <w:lvlJc w:val="left"/>
      <w:pPr>
        <w:tabs>
          <w:tab w:val="num" w:pos="5760"/>
        </w:tabs>
        <w:ind w:left="5760" w:hanging="360"/>
      </w:pPr>
      <w:rPr>
        <w:rFonts w:ascii="Wingdings" w:hAnsi="Wingdings" w:hint="default"/>
        <w:sz w:val="20"/>
      </w:rPr>
    </w:lvl>
    <w:lvl w:ilvl="8" w:tplc="852EB582"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477C23BC"/>
    <w:multiLevelType w:val="hybridMultilevel"/>
    <w:tmpl w:val="132E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F81AE1"/>
    <w:multiLevelType w:val="hybridMultilevel"/>
    <w:tmpl w:val="D844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C96C77"/>
    <w:multiLevelType w:val="hybridMultilevel"/>
    <w:tmpl w:val="B2C23274"/>
    <w:lvl w:ilvl="0" w:tplc="08090001">
      <w:start w:val="1"/>
      <w:numFmt w:val="bullet"/>
      <w:lvlText w:val=""/>
      <w:lvlJc w:val="left"/>
      <w:pPr>
        <w:tabs>
          <w:tab w:val="num" w:pos="840"/>
        </w:tabs>
        <w:ind w:left="840" w:hanging="360"/>
      </w:pPr>
      <w:rPr>
        <w:rFonts w:ascii="Symbol" w:hAnsi="Symbol" w:hint="default"/>
        <w:color w:val="auto"/>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1">
    <w:nsid w:val="6490355E"/>
    <w:multiLevelType w:val="hybridMultilevel"/>
    <w:tmpl w:val="C346F196"/>
    <w:lvl w:ilvl="0" w:tplc="59DEF0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3D3C0F"/>
    <w:multiLevelType w:val="hybridMultilevel"/>
    <w:tmpl w:val="A4F0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4">
    <w:nsid w:val="76171931"/>
    <w:multiLevelType w:val="hybridMultilevel"/>
    <w:tmpl w:val="BDE6AE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2"/>
  </w:num>
  <w:num w:numId="3">
    <w:abstractNumId w:val="13"/>
  </w:num>
  <w:num w:numId="4">
    <w:abstractNumId w:val="13"/>
  </w:num>
  <w:num w:numId="5">
    <w:abstractNumId w:val="13"/>
  </w:num>
  <w:num w:numId="6">
    <w:abstractNumId w:val="5"/>
  </w:num>
  <w:num w:numId="7">
    <w:abstractNumId w:val="9"/>
  </w:num>
  <w:num w:numId="8">
    <w:abstractNumId w:val="15"/>
  </w:num>
  <w:num w:numId="9">
    <w:abstractNumId w:val="0"/>
  </w:num>
  <w:num w:numId="10">
    <w:abstractNumId w:val="13"/>
  </w:num>
  <w:num w:numId="11">
    <w:abstractNumId w:val="11"/>
  </w:num>
  <w:num w:numId="12">
    <w:abstractNumId w:val="13"/>
  </w:num>
  <w:num w:numId="13">
    <w:abstractNumId w:val="13"/>
  </w:num>
  <w:num w:numId="14">
    <w:abstractNumId w:val="13"/>
  </w:num>
  <w:num w:numId="15">
    <w:abstractNumId w:val="13"/>
  </w:num>
  <w:num w:numId="16">
    <w:abstractNumId w:val="13"/>
  </w:num>
  <w:num w:numId="17">
    <w:abstractNumId w:val="7"/>
  </w:num>
  <w:num w:numId="18">
    <w:abstractNumId w:val="13"/>
  </w:num>
  <w:num w:numId="19">
    <w:abstractNumId w:val="12"/>
  </w:num>
  <w:num w:numId="20">
    <w:abstractNumId w:val="1"/>
  </w:num>
  <w:num w:numId="21">
    <w:abstractNumId w:val="2"/>
  </w:num>
  <w:num w:numId="22">
    <w:abstractNumId w:val="2"/>
  </w:num>
  <w:num w:numId="23">
    <w:abstractNumId w:val="14"/>
  </w:num>
  <w:num w:numId="24">
    <w:abstractNumId w:val="10"/>
  </w:num>
  <w:num w:numId="25">
    <w:abstractNumId w:val="4"/>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MC"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733D7D"/>
    <w:rsid w:val="00005275"/>
    <w:rsid w:val="00017854"/>
    <w:rsid w:val="000206CC"/>
    <w:rsid w:val="0002211C"/>
    <w:rsid w:val="00024DC9"/>
    <w:rsid w:val="000272F6"/>
    <w:rsid w:val="00027E8C"/>
    <w:rsid w:val="0003246E"/>
    <w:rsid w:val="00035673"/>
    <w:rsid w:val="00036DA5"/>
    <w:rsid w:val="00040729"/>
    <w:rsid w:val="00047488"/>
    <w:rsid w:val="00051966"/>
    <w:rsid w:val="00053B5C"/>
    <w:rsid w:val="00053D48"/>
    <w:rsid w:val="00054DE5"/>
    <w:rsid w:val="00057096"/>
    <w:rsid w:val="00057258"/>
    <w:rsid w:val="000621AB"/>
    <w:rsid w:val="000769AD"/>
    <w:rsid w:val="0008195F"/>
    <w:rsid w:val="00082306"/>
    <w:rsid w:val="0008256A"/>
    <w:rsid w:val="00083D32"/>
    <w:rsid w:val="000860A4"/>
    <w:rsid w:val="00095EE8"/>
    <w:rsid w:val="0009613A"/>
    <w:rsid w:val="000A23FB"/>
    <w:rsid w:val="000A2BF9"/>
    <w:rsid w:val="000A5FE0"/>
    <w:rsid w:val="000B42D4"/>
    <w:rsid w:val="000B4304"/>
    <w:rsid w:val="000B4C6B"/>
    <w:rsid w:val="000B59AF"/>
    <w:rsid w:val="000B7506"/>
    <w:rsid w:val="000C035E"/>
    <w:rsid w:val="000C49DF"/>
    <w:rsid w:val="000C6EB7"/>
    <w:rsid w:val="000C7CF6"/>
    <w:rsid w:val="000D2BDF"/>
    <w:rsid w:val="000D5714"/>
    <w:rsid w:val="000E04C8"/>
    <w:rsid w:val="000F0F8E"/>
    <w:rsid w:val="000F3F6B"/>
    <w:rsid w:val="000F57AD"/>
    <w:rsid w:val="00103262"/>
    <w:rsid w:val="001054E2"/>
    <w:rsid w:val="00105DF3"/>
    <w:rsid w:val="001064AF"/>
    <w:rsid w:val="001151C3"/>
    <w:rsid w:val="001216CF"/>
    <w:rsid w:val="00125CBF"/>
    <w:rsid w:val="001307BA"/>
    <w:rsid w:val="00130AAD"/>
    <w:rsid w:val="00136DF2"/>
    <w:rsid w:val="00142B34"/>
    <w:rsid w:val="001549C1"/>
    <w:rsid w:val="00155858"/>
    <w:rsid w:val="00157449"/>
    <w:rsid w:val="001657C9"/>
    <w:rsid w:val="00166293"/>
    <w:rsid w:val="00166B8A"/>
    <w:rsid w:val="00175771"/>
    <w:rsid w:val="001806BD"/>
    <w:rsid w:val="0018588F"/>
    <w:rsid w:val="0019280F"/>
    <w:rsid w:val="00193421"/>
    <w:rsid w:val="001A0CED"/>
    <w:rsid w:val="001A33C0"/>
    <w:rsid w:val="001B1473"/>
    <w:rsid w:val="001B6E5A"/>
    <w:rsid w:val="001B799B"/>
    <w:rsid w:val="001C136D"/>
    <w:rsid w:val="001C3D9A"/>
    <w:rsid w:val="001C588B"/>
    <w:rsid w:val="001C6EE4"/>
    <w:rsid w:val="001D6DEA"/>
    <w:rsid w:val="001D7F8D"/>
    <w:rsid w:val="001E05D8"/>
    <w:rsid w:val="001E1374"/>
    <w:rsid w:val="001E6E10"/>
    <w:rsid w:val="001F1303"/>
    <w:rsid w:val="001F6BFE"/>
    <w:rsid w:val="001F7B81"/>
    <w:rsid w:val="00203954"/>
    <w:rsid w:val="0020661D"/>
    <w:rsid w:val="002073F9"/>
    <w:rsid w:val="002111AD"/>
    <w:rsid w:val="00214C54"/>
    <w:rsid w:val="0022734E"/>
    <w:rsid w:val="00233022"/>
    <w:rsid w:val="00245D80"/>
    <w:rsid w:val="002470CF"/>
    <w:rsid w:val="00253983"/>
    <w:rsid w:val="0025453F"/>
    <w:rsid w:val="00254FD2"/>
    <w:rsid w:val="002577C4"/>
    <w:rsid w:val="00261214"/>
    <w:rsid w:val="00261CCC"/>
    <w:rsid w:val="00263DD2"/>
    <w:rsid w:val="00273769"/>
    <w:rsid w:val="00277571"/>
    <w:rsid w:val="00280243"/>
    <w:rsid w:val="00281089"/>
    <w:rsid w:val="002820A3"/>
    <w:rsid w:val="00282B87"/>
    <w:rsid w:val="002911C8"/>
    <w:rsid w:val="00292F7A"/>
    <w:rsid w:val="00293C84"/>
    <w:rsid w:val="00294DAD"/>
    <w:rsid w:val="00294E81"/>
    <w:rsid w:val="002A12C2"/>
    <w:rsid w:val="002A296E"/>
    <w:rsid w:val="002A36AF"/>
    <w:rsid w:val="002B6953"/>
    <w:rsid w:val="002C6658"/>
    <w:rsid w:val="002D0C52"/>
    <w:rsid w:val="002D0FE5"/>
    <w:rsid w:val="002E1B9F"/>
    <w:rsid w:val="002E45C7"/>
    <w:rsid w:val="002E55D4"/>
    <w:rsid w:val="002F1957"/>
    <w:rsid w:val="002F1B57"/>
    <w:rsid w:val="002F1FBD"/>
    <w:rsid w:val="002F27B6"/>
    <w:rsid w:val="002F400C"/>
    <w:rsid w:val="002F4187"/>
    <w:rsid w:val="00303178"/>
    <w:rsid w:val="00303513"/>
    <w:rsid w:val="00306266"/>
    <w:rsid w:val="00311247"/>
    <w:rsid w:val="003130DD"/>
    <w:rsid w:val="003148CD"/>
    <w:rsid w:val="00316091"/>
    <w:rsid w:val="00332A75"/>
    <w:rsid w:val="00335480"/>
    <w:rsid w:val="00336337"/>
    <w:rsid w:val="00342E5C"/>
    <w:rsid w:val="00347A81"/>
    <w:rsid w:val="003518FA"/>
    <w:rsid w:val="0035332E"/>
    <w:rsid w:val="0035799C"/>
    <w:rsid w:val="00357BBB"/>
    <w:rsid w:val="003660AF"/>
    <w:rsid w:val="00367FE4"/>
    <w:rsid w:val="00374267"/>
    <w:rsid w:val="0037796D"/>
    <w:rsid w:val="0038166C"/>
    <w:rsid w:val="00384AB3"/>
    <w:rsid w:val="003876C2"/>
    <w:rsid w:val="003917FF"/>
    <w:rsid w:val="0039597E"/>
    <w:rsid w:val="0039632B"/>
    <w:rsid w:val="00397141"/>
    <w:rsid w:val="0039786B"/>
    <w:rsid w:val="003A3674"/>
    <w:rsid w:val="003B7368"/>
    <w:rsid w:val="003C1C0F"/>
    <w:rsid w:val="003C5B25"/>
    <w:rsid w:val="003C663C"/>
    <w:rsid w:val="003C7B27"/>
    <w:rsid w:val="003D2F4F"/>
    <w:rsid w:val="003D5F39"/>
    <w:rsid w:val="003D6581"/>
    <w:rsid w:val="003E5F48"/>
    <w:rsid w:val="003E6F81"/>
    <w:rsid w:val="003F15CB"/>
    <w:rsid w:val="003F3AA8"/>
    <w:rsid w:val="003F5373"/>
    <w:rsid w:val="003F552A"/>
    <w:rsid w:val="003F6EE6"/>
    <w:rsid w:val="003F74BC"/>
    <w:rsid w:val="00400166"/>
    <w:rsid w:val="004071AB"/>
    <w:rsid w:val="00413370"/>
    <w:rsid w:val="004136B4"/>
    <w:rsid w:val="0041398C"/>
    <w:rsid w:val="00423201"/>
    <w:rsid w:val="00423487"/>
    <w:rsid w:val="00423668"/>
    <w:rsid w:val="004309CC"/>
    <w:rsid w:val="004328EA"/>
    <w:rsid w:val="00437A15"/>
    <w:rsid w:val="004420CE"/>
    <w:rsid w:val="004422AF"/>
    <w:rsid w:val="00443443"/>
    <w:rsid w:val="00465088"/>
    <w:rsid w:val="004738A6"/>
    <w:rsid w:val="004810E4"/>
    <w:rsid w:val="0048161E"/>
    <w:rsid w:val="0048264A"/>
    <w:rsid w:val="004954DB"/>
    <w:rsid w:val="004A2FB6"/>
    <w:rsid w:val="004A4550"/>
    <w:rsid w:val="004A4C72"/>
    <w:rsid w:val="004B10D6"/>
    <w:rsid w:val="004B4211"/>
    <w:rsid w:val="004C1D49"/>
    <w:rsid w:val="004C3D0F"/>
    <w:rsid w:val="004C4B0D"/>
    <w:rsid w:val="004D00D7"/>
    <w:rsid w:val="004D0A1F"/>
    <w:rsid w:val="004D380E"/>
    <w:rsid w:val="004D5008"/>
    <w:rsid w:val="004D534D"/>
    <w:rsid w:val="004D5A95"/>
    <w:rsid w:val="004D5D5A"/>
    <w:rsid w:val="004E27FB"/>
    <w:rsid w:val="004E3DFC"/>
    <w:rsid w:val="004E54FA"/>
    <w:rsid w:val="004E6429"/>
    <w:rsid w:val="004F1F53"/>
    <w:rsid w:val="004F31E7"/>
    <w:rsid w:val="004F40EB"/>
    <w:rsid w:val="004F5F33"/>
    <w:rsid w:val="004F662F"/>
    <w:rsid w:val="005016F7"/>
    <w:rsid w:val="00501C22"/>
    <w:rsid w:val="0050557B"/>
    <w:rsid w:val="00511BBC"/>
    <w:rsid w:val="005134E1"/>
    <w:rsid w:val="00513FBC"/>
    <w:rsid w:val="0052029C"/>
    <w:rsid w:val="00520AD5"/>
    <w:rsid w:val="0052332D"/>
    <w:rsid w:val="00524E79"/>
    <w:rsid w:val="00531B74"/>
    <w:rsid w:val="00536188"/>
    <w:rsid w:val="00536CF7"/>
    <w:rsid w:val="00541266"/>
    <w:rsid w:val="005421E1"/>
    <w:rsid w:val="00545BAD"/>
    <w:rsid w:val="00545F5F"/>
    <w:rsid w:val="005479AA"/>
    <w:rsid w:val="005550E0"/>
    <w:rsid w:val="005612CD"/>
    <w:rsid w:val="0056643B"/>
    <w:rsid w:val="00576193"/>
    <w:rsid w:val="00577C93"/>
    <w:rsid w:val="00583773"/>
    <w:rsid w:val="005A1637"/>
    <w:rsid w:val="005B00BE"/>
    <w:rsid w:val="005B41AF"/>
    <w:rsid w:val="005B4BA5"/>
    <w:rsid w:val="005C0A3F"/>
    <w:rsid w:val="005C1999"/>
    <w:rsid w:val="005C1DB3"/>
    <w:rsid w:val="005C2F97"/>
    <w:rsid w:val="005D2940"/>
    <w:rsid w:val="005D30DC"/>
    <w:rsid w:val="005D3B2A"/>
    <w:rsid w:val="005E0C09"/>
    <w:rsid w:val="005E23E3"/>
    <w:rsid w:val="005E4F9B"/>
    <w:rsid w:val="005F35BB"/>
    <w:rsid w:val="005F7A87"/>
    <w:rsid w:val="0060528D"/>
    <w:rsid w:val="00606017"/>
    <w:rsid w:val="00606404"/>
    <w:rsid w:val="00611908"/>
    <w:rsid w:val="00611C65"/>
    <w:rsid w:val="006156B8"/>
    <w:rsid w:val="00620397"/>
    <w:rsid w:val="006259CB"/>
    <w:rsid w:val="00625E60"/>
    <w:rsid w:val="00633B7A"/>
    <w:rsid w:val="00637558"/>
    <w:rsid w:val="0064109A"/>
    <w:rsid w:val="00644256"/>
    <w:rsid w:val="00660E27"/>
    <w:rsid w:val="00661985"/>
    <w:rsid w:val="006646E9"/>
    <w:rsid w:val="006652B8"/>
    <w:rsid w:val="00666D06"/>
    <w:rsid w:val="00672363"/>
    <w:rsid w:val="00672E86"/>
    <w:rsid w:val="006806B1"/>
    <w:rsid w:val="00680F98"/>
    <w:rsid w:val="006833F3"/>
    <w:rsid w:val="006857E2"/>
    <w:rsid w:val="00685FB0"/>
    <w:rsid w:val="00687C55"/>
    <w:rsid w:val="006911FF"/>
    <w:rsid w:val="006921CF"/>
    <w:rsid w:val="00693AD7"/>
    <w:rsid w:val="00696922"/>
    <w:rsid w:val="00696F8A"/>
    <w:rsid w:val="006A40FC"/>
    <w:rsid w:val="006B169D"/>
    <w:rsid w:val="006B683F"/>
    <w:rsid w:val="006C308B"/>
    <w:rsid w:val="006C6C80"/>
    <w:rsid w:val="006C6D9E"/>
    <w:rsid w:val="006D158E"/>
    <w:rsid w:val="006D237E"/>
    <w:rsid w:val="006D6175"/>
    <w:rsid w:val="006D7ED9"/>
    <w:rsid w:val="006E17BB"/>
    <w:rsid w:val="006E2536"/>
    <w:rsid w:val="006E42FC"/>
    <w:rsid w:val="006E67D3"/>
    <w:rsid w:val="006E682A"/>
    <w:rsid w:val="006E7CF7"/>
    <w:rsid w:val="006F1D5E"/>
    <w:rsid w:val="006F56EF"/>
    <w:rsid w:val="006F64CB"/>
    <w:rsid w:val="00700608"/>
    <w:rsid w:val="007007E7"/>
    <w:rsid w:val="00701779"/>
    <w:rsid w:val="00702B55"/>
    <w:rsid w:val="00705BA2"/>
    <w:rsid w:val="00706AF4"/>
    <w:rsid w:val="00706DBE"/>
    <w:rsid w:val="007117A7"/>
    <w:rsid w:val="00712D62"/>
    <w:rsid w:val="007160D1"/>
    <w:rsid w:val="00716E63"/>
    <w:rsid w:val="00722B95"/>
    <w:rsid w:val="0072511F"/>
    <w:rsid w:val="007259B2"/>
    <w:rsid w:val="007268EF"/>
    <w:rsid w:val="00733D7D"/>
    <w:rsid w:val="007362FE"/>
    <w:rsid w:val="00745964"/>
    <w:rsid w:val="00746FDD"/>
    <w:rsid w:val="007534BA"/>
    <w:rsid w:val="00754B26"/>
    <w:rsid w:val="0076174C"/>
    <w:rsid w:val="00761966"/>
    <w:rsid w:val="0076283E"/>
    <w:rsid w:val="00763EA4"/>
    <w:rsid w:val="0077266D"/>
    <w:rsid w:val="00780A15"/>
    <w:rsid w:val="00780AED"/>
    <w:rsid w:val="0078425C"/>
    <w:rsid w:val="00792232"/>
    <w:rsid w:val="007A43FB"/>
    <w:rsid w:val="007A4A39"/>
    <w:rsid w:val="007A4FBD"/>
    <w:rsid w:val="007A7081"/>
    <w:rsid w:val="007B2749"/>
    <w:rsid w:val="007B6F48"/>
    <w:rsid w:val="007B7B3B"/>
    <w:rsid w:val="007C03DE"/>
    <w:rsid w:val="007C264E"/>
    <w:rsid w:val="007C5B8E"/>
    <w:rsid w:val="007C7475"/>
    <w:rsid w:val="007D63E9"/>
    <w:rsid w:val="007D7C1A"/>
    <w:rsid w:val="007E3C11"/>
    <w:rsid w:val="007E489A"/>
    <w:rsid w:val="007F0B23"/>
    <w:rsid w:val="007F35F3"/>
    <w:rsid w:val="007F6EF6"/>
    <w:rsid w:val="00800EDA"/>
    <w:rsid w:val="00806644"/>
    <w:rsid w:val="00806FE9"/>
    <w:rsid w:val="008079BC"/>
    <w:rsid w:val="008122CC"/>
    <w:rsid w:val="008126AB"/>
    <w:rsid w:val="00821CF9"/>
    <w:rsid w:val="00823309"/>
    <w:rsid w:val="008259A8"/>
    <w:rsid w:val="008302A6"/>
    <w:rsid w:val="00833ED6"/>
    <w:rsid w:val="008405F2"/>
    <w:rsid w:val="00840F97"/>
    <w:rsid w:val="008423B9"/>
    <w:rsid w:val="00842E1F"/>
    <w:rsid w:val="0084622E"/>
    <w:rsid w:val="00850C0A"/>
    <w:rsid w:val="00852FE7"/>
    <w:rsid w:val="008553DC"/>
    <w:rsid w:val="008563A0"/>
    <w:rsid w:val="0085778E"/>
    <w:rsid w:val="00862112"/>
    <w:rsid w:val="00863599"/>
    <w:rsid w:val="00866A62"/>
    <w:rsid w:val="008742E7"/>
    <w:rsid w:val="0087580D"/>
    <w:rsid w:val="008768AB"/>
    <w:rsid w:val="00877F18"/>
    <w:rsid w:val="00880249"/>
    <w:rsid w:val="00884695"/>
    <w:rsid w:val="008846B9"/>
    <w:rsid w:val="00890451"/>
    <w:rsid w:val="00895BF2"/>
    <w:rsid w:val="00896558"/>
    <w:rsid w:val="008A2C8B"/>
    <w:rsid w:val="008B4FC5"/>
    <w:rsid w:val="008B70D1"/>
    <w:rsid w:val="008B7481"/>
    <w:rsid w:val="008B7EE7"/>
    <w:rsid w:val="008C02A1"/>
    <w:rsid w:val="008D114E"/>
    <w:rsid w:val="008E16D4"/>
    <w:rsid w:val="008E17AF"/>
    <w:rsid w:val="008E6D9C"/>
    <w:rsid w:val="008E6F63"/>
    <w:rsid w:val="008F1E2E"/>
    <w:rsid w:val="008F247D"/>
    <w:rsid w:val="008F263B"/>
    <w:rsid w:val="00905B07"/>
    <w:rsid w:val="00905F07"/>
    <w:rsid w:val="00906F3E"/>
    <w:rsid w:val="009151AD"/>
    <w:rsid w:val="009154D7"/>
    <w:rsid w:val="0092118C"/>
    <w:rsid w:val="009257F1"/>
    <w:rsid w:val="009302ED"/>
    <w:rsid w:val="00932675"/>
    <w:rsid w:val="009428B4"/>
    <w:rsid w:val="00945290"/>
    <w:rsid w:val="0094663D"/>
    <w:rsid w:val="009477DA"/>
    <w:rsid w:val="00947894"/>
    <w:rsid w:val="00954F31"/>
    <w:rsid w:val="00956237"/>
    <w:rsid w:val="00964136"/>
    <w:rsid w:val="009660EA"/>
    <w:rsid w:val="00970C25"/>
    <w:rsid w:val="009776E8"/>
    <w:rsid w:val="00981B7E"/>
    <w:rsid w:val="009866B1"/>
    <w:rsid w:val="00987B40"/>
    <w:rsid w:val="0099189C"/>
    <w:rsid w:val="009919D6"/>
    <w:rsid w:val="00997069"/>
    <w:rsid w:val="009970B8"/>
    <w:rsid w:val="00997620"/>
    <w:rsid w:val="009A3826"/>
    <w:rsid w:val="009B0BC5"/>
    <w:rsid w:val="009B4A6B"/>
    <w:rsid w:val="009B4FE3"/>
    <w:rsid w:val="009B5071"/>
    <w:rsid w:val="009C012E"/>
    <w:rsid w:val="009C053D"/>
    <w:rsid w:val="009C1C0B"/>
    <w:rsid w:val="009C4191"/>
    <w:rsid w:val="009C59F9"/>
    <w:rsid w:val="009C5AB8"/>
    <w:rsid w:val="009C5F4F"/>
    <w:rsid w:val="009D097C"/>
    <w:rsid w:val="009E39FB"/>
    <w:rsid w:val="009E6E74"/>
    <w:rsid w:val="009F44B5"/>
    <w:rsid w:val="009F742A"/>
    <w:rsid w:val="00A006B9"/>
    <w:rsid w:val="00A032C8"/>
    <w:rsid w:val="00A066E8"/>
    <w:rsid w:val="00A067F7"/>
    <w:rsid w:val="00A15D28"/>
    <w:rsid w:val="00A16A15"/>
    <w:rsid w:val="00A16DCA"/>
    <w:rsid w:val="00A26F4A"/>
    <w:rsid w:val="00A27722"/>
    <w:rsid w:val="00A3028D"/>
    <w:rsid w:val="00A303CE"/>
    <w:rsid w:val="00A32327"/>
    <w:rsid w:val="00A33BA4"/>
    <w:rsid w:val="00A40552"/>
    <w:rsid w:val="00A41198"/>
    <w:rsid w:val="00A426AB"/>
    <w:rsid w:val="00A4642F"/>
    <w:rsid w:val="00A51562"/>
    <w:rsid w:val="00A54B64"/>
    <w:rsid w:val="00A64393"/>
    <w:rsid w:val="00A66F92"/>
    <w:rsid w:val="00A736F6"/>
    <w:rsid w:val="00A76996"/>
    <w:rsid w:val="00A77889"/>
    <w:rsid w:val="00A8156E"/>
    <w:rsid w:val="00A9158A"/>
    <w:rsid w:val="00A9163B"/>
    <w:rsid w:val="00A93F27"/>
    <w:rsid w:val="00AA356B"/>
    <w:rsid w:val="00AA36A1"/>
    <w:rsid w:val="00AB3441"/>
    <w:rsid w:val="00AB5110"/>
    <w:rsid w:val="00AB59DF"/>
    <w:rsid w:val="00AC00DC"/>
    <w:rsid w:val="00AC185B"/>
    <w:rsid w:val="00AC39B2"/>
    <w:rsid w:val="00AC3FEB"/>
    <w:rsid w:val="00AC65C7"/>
    <w:rsid w:val="00AD20E1"/>
    <w:rsid w:val="00AD393F"/>
    <w:rsid w:val="00AE1CCA"/>
    <w:rsid w:val="00AE2E9B"/>
    <w:rsid w:val="00AE3986"/>
    <w:rsid w:val="00AE64B1"/>
    <w:rsid w:val="00AF3103"/>
    <w:rsid w:val="00AF50D5"/>
    <w:rsid w:val="00AF6488"/>
    <w:rsid w:val="00B00FA0"/>
    <w:rsid w:val="00B02A4E"/>
    <w:rsid w:val="00B134FE"/>
    <w:rsid w:val="00B1434A"/>
    <w:rsid w:val="00B17F00"/>
    <w:rsid w:val="00B27F4B"/>
    <w:rsid w:val="00B3380B"/>
    <w:rsid w:val="00B34421"/>
    <w:rsid w:val="00B34848"/>
    <w:rsid w:val="00B37631"/>
    <w:rsid w:val="00B40FFF"/>
    <w:rsid w:val="00B42669"/>
    <w:rsid w:val="00B4451B"/>
    <w:rsid w:val="00B460CA"/>
    <w:rsid w:val="00B463B2"/>
    <w:rsid w:val="00B51DA0"/>
    <w:rsid w:val="00B56DFB"/>
    <w:rsid w:val="00B56E44"/>
    <w:rsid w:val="00B641B3"/>
    <w:rsid w:val="00B7216D"/>
    <w:rsid w:val="00B732CD"/>
    <w:rsid w:val="00B76005"/>
    <w:rsid w:val="00B856D5"/>
    <w:rsid w:val="00BA0DC8"/>
    <w:rsid w:val="00BB748D"/>
    <w:rsid w:val="00BB7A1C"/>
    <w:rsid w:val="00BB7A68"/>
    <w:rsid w:val="00BC32E5"/>
    <w:rsid w:val="00BC37A0"/>
    <w:rsid w:val="00BD1B1B"/>
    <w:rsid w:val="00BD2AAD"/>
    <w:rsid w:val="00BD7042"/>
    <w:rsid w:val="00BE152A"/>
    <w:rsid w:val="00BE32E7"/>
    <w:rsid w:val="00BE4BA8"/>
    <w:rsid w:val="00BF30A6"/>
    <w:rsid w:val="00BF3C65"/>
    <w:rsid w:val="00BF4DB7"/>
    <w:rsid w:val="00BF5925"/>
    <w:rsid w:val="00BF6D76"/>
    <w:rsid w:val="00C06DD4"/>
    <w:rsid w:val="00C106CB"/>
    <w:rsid w:val="00C14498"/>
    <w:rsid w:val="00C268EC"/>
    <w:rsid w:val="00C306B8"/>
    <w:rsid w:val="00C31154"/>
    <w:rsid w:val="00C34A22"/>
    <w:rsid w:val="00C35070"/>
    <w:rsid w:val="00C36BBE"/>
    <w:rsid w:val="00C40AAE"/>
    <w:rsid w:val="00C45766"/>
    <w:rsid w:val="00C46E2B"/>
    <w:rsid w:val="00C506D5"/>
    <w:rsid w:val="00C54773"/>
    <w:rsid w:val="00C5614E"/>
    <w:rsid w:val="00C5623A"/>
    <w:rsid w:val="00C61C80"/>
    <w:rsid w:val="00C6728E"/>
    <w:rsid w:val="00C74E2C"/>
    <w:rsid w:val="00C75EDE"/>
    <w:rsid w:val="00C77294"/>
    <w:rsid w:val="00C83E66"/>
    <w:rsid w:val="00C8426B"/>
    <w:rsid w:val="00C872D2"/>
    <w:rsid w:val="00C873D3"/>
    <w:rsid w:val="00C91818"/>
    <w:rsid w:val="00C91D08"/>
    <w:rsid w:val="00C95F5B"/>
    <w:rsid w:val="00CA0717"/>
    <w:rsid w:val="00CA54E6"/>
    <w:rsid w:val="00CA7E36"/>
    <w:rsid w:val="00CB1B57"/>
    <w:rsid w:val="00CB4CC8"/>
    <w:rsid w:val="00CC0F5B"/>
    <w:rsid w:val="00CC226C"/>
    <w:rsid w:val="00CC3B6F"/>
    <w:rsid w:val="00CC5B05"/>
    <w:rsid w:val="00CD217F"/>
    <w:rsid w:val="00CD2EBC"/>
    <w:rsid w:val="00CD5CD3"/>
    <w:rsid w:val="00CD5D31"/>
    <w:rsid w:val="00CE03E2"/>
    <w:rsid w:val="00CE0614"/>
    <w:rsid w:val="00CE601E"/>
    <w:rsid w:val="00CF0570"/>
    <w:rsid w:val="00CF517D"/>
    <w:rsid w:val="00CF579D"/>
    <w:rsid w:val="00CF7718"/>
    <w:rsid w:val="00D10C5D"/>
    <w:rsid w:val="00D10DE9"/>
    <w:rsid w:val="00D13042"/>
    <w:rsid w:val="00D15F59"/>
    <w:rsid w:val="00D217DA"/>
    <w:rsid w:val="00D219E7"/>
    <w:rsid w:val="00D22394"/>
    <w:rsid w:val="00D22A31"/>
    <w:rsid w:val="00D24821"/>
    <w:rsid w:val="00D249D2"/>
    <w:rsid w:val="00D33070"/>
    <w:rsid w:val="00D35231"/>
    <w:rsid w:val="00D40374"/>
    <w:rsid w:val="00D418E9"/>
    <w:rsid w:val="00D434CF"/>
    <w:rsid w:val="00D44112"/>
    <w:rsid w:val="00D5336E"/>
    <w:rsid w:val="00D563BD"/>
    <w:rsid w:val="00D572CD"/>
    <w:rsid w:val="00D57870"/>
    <w:rsid w:val="00D64B69"/>
    <w:rsid w:val="00D71520"/>
    <w:rsid w:val="00D74ACB"/>
    <w:rsid w:val="00D75484"/>
    <w:rsid w:val="00D75B87"/>
    <w:rsid w:val="00D8288F"/>
    <w:rsid w:val="00D85865"/>
    <w:rsid w:val="00D935E9"/>
    <w:rsid w:val="00D97DBD"/>
    <w:rsid w:val="00DA1E98"/>
    <w:rsid w:val="00DA6168"/>
    <w:rsid w:val="00DB0BEF"/>
    <w:rsid w:val="00DB45B3"/>
    <w:rsid w:val="00DB4E5D"/>
    <w:rsid w:val="00DB4FC4"/>
    <w:rsid w:val="00DC40A6"/>
    <w:rsid w:val="00DD1A95"/>
    <w:rsid w:val="00DD4F0A"/>
    <w:rsid w:val="00DE0D89"/>
    <w:rsid w:val="00DE32D2"/>
    <w:rsid w:val="00DE3CFF"/>
    <w:rsid w:val="00DE5B85"/>
    <w:rsid w:val="00DE6B99"/>
    <w:rsid w:val="00DF4060"/>
    <w:rsid w:val="00DF684F"/>
    <w:rsid w:val="00E00345"/>
    <w:rsid w:val="00E01643"/>
    <w:rsid w:val="00E02D1C"/>
    <w:rsid w:val="00E041AB"/>
    <w:rsid w:val="00E065ED"/>
    <w:rsid w:val="00E074D2"/>
    <w:rsid w:val="00E114E5"/>
    <w:rsid w:val="00E17783"/>
    <w:rsid w:val="00E234BB"/>
    <w:rsid w:val="00E24488"/>
    <w:rsid w:val="00E250DF"/>
    <w:rsid w:val="00E30E30"/>
    <w:rsid w:val="00E333CD"/>
    <w:rsid w:val="00E37C22"/>
    <w:rsid w:val="00E453F1"/>
    <w:rsid w:val="00E46E3D"/>
    <w:rsid w:val="00E511DD"/>
    <w:rsid w:val="00E51FCD"/>
    <w:rsid w:val="00E524D7"/>
    <w:rsid w:val="00E55D2A"/>
    <w:rsid w:val="00E55E98"/>
    <w:rsid w:val="00E56795"/>
    <w:rsid w:val="00E6187B"/>
    <w:rsid w:val="00E6252F"/>
    <w:rsid w:val="00E6286B"/>
    <w:rsid w:val="00E65A12"/>
    <w:rsid w:val="00E73CDE"/>
    <w:rsid w:val="00E75F65"/>
    <w:rsid w:val="00E81EF7"/>
    <w:rsid w:val="00E847BE"/>
    <w:rsid w:val="00E91CC3"/>
    <w:rsid w:val="00E94184"/>
    <w:rsid w:val="00E95E1B"/>
    <w:rsid w:val="00EA6ADB"/>
    <w:rsid w:val="00EB369A"/>
    <w:rsid w:val="00EC25D8"/>
    <w:rsid w:val="00EC29B1"/>
    <w:rsid w:val="00EC45A0"/>
    <w:rsid w:val="00ED0C52"/>
    <w:rsid w:val="00ED1508"/>
    <w:rsid w:val="00EE1293"/>
    <w:rsid w:val="00EE4CC3"/>
    <w:rsid w:val="00EF163C"/>
    <w:rsid w:val="00EF2D39"/>
    <w:rsid w:val="00EF347C"/>
    <w:rsid w:val="00F00B43"/>
    <w:rsid w:val="00F046C6"/>
    <w:rsid w:val="00F05D84"/>
    <w:rsid w:val="00F17147"/>
    <w:rsid w:val="00F21BDC"/>
    <w:rsid w:val="00F21DDF"/>
    <w:rsid w:val="00F25931"/>
    <w:rsid w:val="00F34A29"/>
    <w:rsid w:val="00F353C9"/>
    <w:rsid w:val="00F361D8"/>
    <w:rsid w:val="00F36D10"/>
    <w:rsid w:val="00F37B79"/>
    <w:rsid w:val="00F40667"/>
    <w:rsid w:val="00F5225D"/>
    <w:rsid w:val="00F5424D"/>
    <w:rsid w:val="00F6287F"/>
    <w:rsid w:val="00F63A21"/>
    <w:rsid w:val="00F66DDE"/>
    <w:rsid w:val="00F74648"/>
    <w:rsid w:val="00F822A3"/>
    <w:rsid w:val="00F82C2F"/>
    <w:rsid w:val="00F8617A"/>
    <w:rsid w:val="00F90417"/>
    <w:rsid w:val="00F90647"/>
    <w:rsid w:val="00F91832"/>
    <w:rsid w:val="00F92B04"/>
    <w:rsid w:val="00F95241"/>
    <w:rsid w:val="00F97175"/>
    <w:rsid w:val="00FA1D24"/>
    <w:rsid w:val="00FA4C8C"/>
    <w:rsid w:val="00FA50BC"/>
    <w:rsid w:val="00FA7DD6"/>
    <w:rsid w:val="00FB4351"/>
    <w:rsid w:val="00FB7C24"/>
    <w:rsid w:val="00FC031F"/>
    <w:rsid w:val="00FC3358"/>
    <w:rsid w:val="00FC4CE7"/>
    <w:rsid w:val="00FD20E6"/>
    <w:rsid w:val="00FD2AE5"/>
    <w:rsid w:val="00FD5A2D"/>
    <w:rsid w:val="00FD5C3D"/>
    <w:rsid w:val="00FE027D"/>
    <w:rsid w:val="00FE30B2"/>
    <w:rsid w:val="00FE7203"/>
    <w:rsid w:val="00FF3039"/>
    <w:rsid w:val="00FF4395"/>
    <w:rsid w:val="00FF7DE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spacing w:after="170" w:line="280" w:lineRule="atLeast"/>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eastAsia="en-US"/>
    </w:rPr>
  </w:style>
  <w:style w:type="character" w:customStyle="1" w:styleId="Heading1Char">
    <w:name w:val="Heading 1 Char"/>
    <w:link w:val="Heading1"/>
    <w:rsid w:val="00F82C2F"/>
    <w:rPr>
      <w:b/>
      <w:sz w:val="32"/>
      <w:lang w:eastAsia="en-US"/>
    </w:rPr>
  </w:style>
  <w:style w:type="character" w:styleId="Hyperlink">
    <w:name w:val="Hyperlink"/>
    <w:rsid w:val="00F82C2F"/>
    <w:rPr>
      <w:color w:val="0000FF"/>
      <w:u w:val="single"/>
    </w:rPr>
  </w:style>
  <w:style w:type="character" w:styleId="FollowedHyperlink">
    <w:name w:val="FollowedHyperlink"/>
    <w:rsid w:val="00842E1F"/>
    <w:rPr>
      <w:color w:val="800080"/>
      <w:u w:val="single"/>
    </w:rPr>
  </w:style>
  <w:style w:type="character" w:styleId="Strong">
    <w:name w:val="Strong"/>
    <w:uiPriority w:val="22"/>
    <w:qFormat/>
    <w:rsid w:val="00053D48"/>
    <w:rPr>
      <w:b/>
      <w:bCs/>
    </w:rPr>
  </w:style>
  <w:style w:type="paragraph" w:styleId="BalloonText">
    <w:name w:val="Balloon Text"/>
    <w:basedOn w:val="Normal"/>
    <w:link w:val="BalloonTextChar"/>
    <w:rsid w:val="002E45C7"/>
    <w:rPr>
      <w:rFonts w:ascii="Tahoma" w:hAnsi="Tahoma" w:cs="Tahoma"/>
      <w:sz w:val="16"/>
      <w:szCs w:val="16"/>
    </w:rPr>
  </w:style>
  <w:style w:type="character" w:customStyle="1" w:styleId="BalloonTextChar">
    <w:name w:val="Balloon Text Char"/>
    <w:link w:val="BalloonText"/>
    <w:rsid w:val="002E45C7"/>
    <w:rPr>
      <w:rFonts w:ascii="Tahoma" w:hAnsi="Tahoma" w:cs="Tahoma"/>
      <w:sz w:val="16"/>
      <w:szCs w:val="16"/>
      <w:lang w:eastAsia="en-US"/>
    </w:rPr>
  </w:style>
  <w:style w:type="paragraph" w:styleId="Revision">
    <w:name w:val="Revision"/>
    <w:hidden/>
    <w:uiPriority w:val="99"/>
    <w:semiHidden/>
    <w:rsid w:val="00C36BBE"/>
    <w:rPr>
      <w:sz w:val="22"/>
      <w:lang w:eastAsia="en-US"/>
    </w:rPr>
  </w:style>
  <w:style w:type="character" w:styleId="CommentReference">
    <w:name w:val="annotation reference"/>
    <w:rsid w:val="00C36BBE"/>
    <w:rPr>
      <w:sz w:val="16"/>
      <w:szCs w:val="16"/>
    </w:rPr>
  </w:style>
  <w:style w:type="paragraph" w:styleId="CommentText">
    <w:name w:val="annotation text"/>
    <w:basedOn w:val="Normal"/>
    <w:link w:val="CommentTextChar"/>
    <w:rsid w:val="00C36BBE"/>
    <w:rPr>
      <w:sz w:val="20"/>
    </w:rPr>
  </w:style>
  <w:style w:type="character" w:customStyle="1" w:styleId="CommentTextChar">
    <w:name w:val="Comment Text Char"/>
    <w:link w:val="CommentText"/>
    <w:rsid w:val="00C36BBE"/>
    <w:rPr>
      <w:lang w:eastAsia="en-US"/>
    </w:rPr>
  </w:style>
  <w:style w:type="paragraph" w:styleId="CommentSubject">
    <w:name w:val="annotation subject"/>
    <w:basedOn w:val="CommentText"/>
    <w:next w:val="CommentText"/>
    <w:link w:val="CommentSubjectChar"/>
    <w:rsid w:val="00C36BBE"/>
    <w:rPr>
      <w:b/>
      <w:bCs/>
    </w:rPr>
  </w:style>
  <w:style w:type="character" w:customStyle="1" w:styleId="CommentSubjectChar">
    <w:name w:val="Comment Subject Char"/>
    <w:link w:val="CommentSubject"/>
    <w:rsid w:val="00C36BBE"/>
    <w:rPr>
      <w:b/>
      <w:bCs/>
      <w:lang w:eastAsia="en-US"/>
    </w:rPr>
  </w:style>
  <w:style w:type="paragraph" w:styleId="ListParagraph">
    <w:name w:val="List Paragraph"/>
    <w:basedOn w:val="Normal"/>
    <w:uiPriority w:val="34"/>
    <w:qFormat/>
    <w:rsid w:val="006259CB"/>
    <w:pPr>
      <w:adjustRightInd/>
      <w:ind w:left="720" w:firstLine="567"/>
      <w:contextualSpacing/>
      <w:textAlignment w:val="auto"/>
    </w:pPr>
    <w:rPr>
      <w:rFonts w:eastAsiaTheme="minorHAnsi"/>
      <w:szCs w:val="22"/>
    </w:rPr>
  </w:style>
  <w:style w:type="paragraph" w:customStyle="1" w:styleId="zyxdate">
    <w:name w:val="zyxdate"/>
    <w:basedOn w:val="Normal"/>
    <w:rsid w:val="006259CB"/>
    <w:pPr>
      <w:overflowPunct/>
      <w:autoSpaceDE/>
      <w:autoSpaceDN/>
      <w:adjustRightInd/>
      <w:spacing w:before="600" w:after="170" w:line="240" w:lineRule="exact"/>
      <w:ind w:left="4536"/>
      <w:textAlignment w:val="auto"/>
    </w:pPr>
    <w:rPr>
      <w:rFonts w:eastAsiaTheme="minorHAnsi"/>
      <w:szCs w:val="22"/>
    </w:rPr>
  </w:style>
  <w:style w:type="character" w:customStyle="1" w:styleId="BodyTextChar">
    <w:name w:val="Body Text Char"/>
    <w:basedOn w:val="DefaultParagraphFont"/>
    <w:link w:val="BodyText"/>
    <w:rsid w:val="00B463B2"/>
    <w:rPr>
      <w:sz w:val="22"/>
      <w:lang w:eastAsia="en-US"/>
    </w:rPr>
  </w:style>
  <w:style w:type="character" w:customStyle="1" w:styleId="FooterChar">
    <w:name w:val="Footer Char"/>
    <w:basedOn w:val="DefaultParagraphFont"/>
    <w:link w:val="Footer"/>
    <w:uiPriority w:val="99"/>
    <w:rsid w:val="004C3D0F"/>
    <w:rPr>
      <w:sz w:val="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link w:val="BodyTextSummaryChar"/>
    <w:pPr>
      <w:numPr>
        <w:numId w:val="2"/>
      </w:numPr>
      <w:spacing w:after="170" w:line="280" w:lineRule="atLeast"/>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pPr>
      <w:keepNext/>
      <w:spacing w:line="420" w:lineRule="exact"/>
    </w:pPr>
    <w:rPr>
      <w:rFonts w:ascii="Arial" w:hAnsi="Arial"/>
      <w:sz w:val="40"/>
    </w:rPr>
  </w:style>
  <w:style w:type="character" w:styleId="FootnoteReference">
    <w:name w:val="footnote reference"/>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pPr>
      <w:spacing w:after="0" w:line="280" w:lineRule="exact"/>
      <w:jc w:val="right"/>
    </w:pPr>
    <w:rPr>
      <w:rFonts w:ascii="Arial" w:hAnsi="Arial" w:cs="Arial"/>
      <w:b/>
      <w:bCs/>
      <w:caps/>
      <w:sz w:val="24"/>
    </w:rPr>
  </w:style>
  <w:style w:type="paragraph" w:customStyle="1" w:styleId="zyxClassification2">
    <w:name w:val="zyxClassification2"/>
    <w:basedOn w:val="Footer"/>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BodyTextSummaryChar">
    <w:name w:val="Body Text Summary Char"/>
    <w:link w:val="BodyTextSummary"/>
    <w:rsid w:val="00733D7D"/>
    <w:rPr>
      <w:sz w:val="22"/>
      <w:szCs w:val="22"/>
      <w:lang w:eastAsia="en-US"/>
    </w:rPr>
  </w:style>
  <w:style w:type="character" w:customStyle="1" w:styleId="Heading1Char">
    <w:name w:val="Heading 1 Char"/>
    <w:link w:val="Heading1"/>
    <w:rsid w:val="00F82C2F"/>
    <w:rPr>
      <w:b/>
      <w:sz w:val="32"/>
      <w:lang w:eastAsia="en-US"/>
    </w:rPr>
  </w:style>
  <w:style w:type="character" w:styleId="Hyperlink">
    <w:name w:val="Hyperlink"/>
    <w:rsid w:val="00F82C2F"/>
    <w:rPr>
      <w:color w:val="0000FF"/>
      <w:u w:val="single"/>
    </w:rPr>
  </w:style>
  <w:style w:type="character" w:styleId="FollowedHyperlink">
    <w:name w:val="FollowedHyperlink"/>
    <w:rsid w:val="00842E1F"/>
    <w:rPr>
      <w:color w:val="800080"/>
      <w:u w:val="single"/>
    </w:rPr>
  </w:style>
  <w:style w:type="character" w:styleId="Strong">
    <w:name w:val="Strong"/>
    <w:uiPriority w:val="22"/>
    <w:qFormat/>
    <w:rsid w:val="00053D48"/>
    <w:rPr>
      <w:b/>
      <w:bCs/>
    </w:rPr>
  </w:style>
  <w:style w:type="paragraph" w:styleId="BalloonText">
    <w:name w:val="Balloon Text"/>
    <w:basedOn w:val="Normal"/>
    <w:link w:val="BalloonTextChar"/>
    <w:rsid w:val="002E45C7"/>
    <w:rPr>
      <w:rFonts w:ascii="Tahoma" w:hAnsi="Tahoma" w:cs="Tahoma"/>
      <w:sz w:val="16"/>
      <w:szCs w:val="16"/>
    </w:rPr>
  </w:style>
  <w:style w:type="character" w:customStyle="1" w:styleId="BalloonTextChar">
    <w:name w:val="Balloon Text Char"/>
    <w:link w:val="BalloonText"/>
    <w:rsid w:val="002E45C7"/>
    <w:rPr>
      <w:rFonts w:ascii="Tahoma" w:hAnsi="Tahoma" w:cs="Tahoma"/>
      <w:sz w:val="16"/>
      <w:szCs w:val="16"/>
      <w:lang w:eastAsia="en-US"/>
    </w:rPr>
  </w:style>
  <w:style w:type="paragraph" w:styleId="Revision">
    <w:name w:val="Revision"/>
    <w:hidden/>
    <w:uiPriority w:val="99"/>
    <w:semiHidden/>
    <w:rsid w:val="00C36BBE"/>
    <w:rPr>
      <w:sz w:val="22"/>
      <w:lang w:eastAsia="en-US"/>
    </w:rPr>
  </w:style>
  <w:style w:type="character" w:styleId="CommentReference">
    <w:name w:val="annotation reference"/>
    <w:rsid w:val="00C36BBE"/>
    <w:rPr>
      <w:sz w:val="16"/>
      <w:szCs w:val="16"/>
    </w:rPr>
  </w:style>
  <w:style w:type="paragraph" w:styleId="CommentText">
    <w:name w:val="annotation text"/>
    <w:basedOn w:val="Normal"/>
    <w:link w:val="CommentTextChar"/>
    <w:rsid w:val="00C36BBE"/>
    <w:rPr>
      <w:sz w:val="20"/>
    </w:rPr>
  </w:style>
  <w:style w:type="character" w:customStyle="1" w:styleId="CommentTextChar">
    <w:name w:val="Comment Text Char"/>
    <w:link w:val="CommentText"/>
    <w:rsid w:val="00C36BBE"/>
    <w:rPr>
      <w:lang w:eastAsia="en-US"/>
    </w:rPr>
  </w:style>
  <w:style w:type="paragraph" w:styleId="CommentSubject">
    <w:name w:val="annotation subject"/>
    <w:basedOn w:val="CommentText"/>
    <w:next w:val="CommentText"/>
    <w:link w:val="CommentSubjectChar"/>
    <w:rsid w:val="00C36BBE"/>
    <w:rPr>
      <w:b/>
      <w:bCs/>
    </w:rPr>
  </w:style>
  <w:style w:type="character" w:customStyle="1" w:styleId="CommentSubjectChar">
    <w:name w:val="Comment Subject Char"/>
    <w:link w:val="CommentSubject"/>
    <w:rsid w:val="00C36BBE"/>
    <w:rPr>
      <w:b/>
      <w:bCs/>
      <w:lang w:eastAsia="en-US"/>
    </w:rPr>
  </w:style>
  <w:style w:type="paragraph" w:styleId="ListParagraph">
    <w:name w:val="List Paragraph"/>
    <w:basedOn w:val="Normal"/>
    <w:uiPriority w:val="34"/>
    <w:qFormat/>
    <w:rsid w:val="006259CB"/>
    <w:pPr>
      <w:adjustRightInd/>
      <w:ind w:left="720" w:firstLine="567"/>
      <w:contextualSpacing/>
      <w:textAlignment w:val="auto"/>
    </w:pPr>
    <w:rPr>
      <w:rFonts w:eastAsiaTheme="minorHAnsi"/>
      <w:szCs w:val="22"/>
    </w:rPr>
  </w:style>
  <w:style w:type="paragraph" w:customStyle="1" w:styleId="zyxdate">
    <w:name w:val="zyxdate"/>
    <w:basedOn w:val="Normal"/>
    <w:rsid w:val="006259CB"/>
    <w:pPr>
      <w:overflowPunct/>
      <w:autoSpaceDE/>
      <w:autoSpaceDN/>
      <w:adjustRightInd/>
      <w:spacing w:before="600" w:after="170" w:line="240" w:lineRule="exact"/>
      <w:ind w:left="4536"/>
      <w:textAlignment w:val="auto"/>
    </w:pPr>
    <w:rPr>
      <w:rFonts w:eastAsiaTheme="minorHAnsi"/>
      <w:szCs w:val="22"/>
    </w:rPr>
  </w:style>
  <w:style w:type="character" w:customStyle="1" w:styleId="BodyTextChar">
    <w:name w:val="Body Text Char"/>
    <w:basedOn w:val="DefaultParagraphFont"/>
    <w:link w:val="BodyText"/>
    <w:rsid w:val="00B463B2"/>
    <w:rPr>
      <w:sz w:val="22"/>
      <w:lang w:eastAsia="en-US"/>
    </w:rPr>
  </w:style>
  <w:style w:type="character" w:customStyle="1" w:styleId="FooterChar">
    <w:name w:val="Footer Char"/>
    <w:basedOn w:val="DefaultParagraphFont"/>
    <w:link w:val="Footer"/>
    <w:uiPriority w:val="99"/>
    <w:rsid w:val="004C3D0F"/>
    <w:rPr>
      <w:sz w:val="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103">
      <w:bodyDiv w:val="1"/>
      <w:marLeft w:val="0"/>
      <w:marRight w:val="0"/>
      <w:marTop w:val="0"/>
      <w:marBottom w:val="0"/>
      <w:divBdr>
        <w:top w:val="none" w:sz="0" w:space="0" w:color="auto"/>
        <w:left w:val="none" w:sz="0" w:space="0" w:color="auto"/>
        <w:bottom w:val="none" w:sz="0" w:space="0" w:color="auto"/>
        <w:right w:val="none" w:sz="0" w:space="0" w:color="auto"/>
      </w:divBdr>
    </w:div>
    <w:div w:id="70078494">
      <w:bodyDiv w:val="1"/>
      <w:marLeft w:val="0"/>
      <w:marRight w:val="0"/>
      <w:marTop w:val="0"/>
      <w:marBottom w:val="0"/>
      <w:divBdr>
        <w:top w:val="none" w:sz="0" w:space="0" w:color="auto"/>
        <w:left w:val="none" w:sz="0" w:space="0" w:color="auto"/>
        <w:bottom w:val="none" w:sz="0" w:space="0" w:color="auto"/>
        <w:right w:val="none" w:sz="0" w:space="0" w:color="auto"/>
      </w:divBdr>
    </w:div>
    <w:div w:id="945232862">
      <w:bodyDiv w:val="1"/>
      <w:marLeft w:val="0"/>
      <w:marRight w:val="0"/>
      <w:marTop w:val="0"/>
      <w:marBottom w:val="0"/>
      <w:divBdr>
        <w:top w:val="none" w:sz="0" w:space="0" w:color="auto"/>
        <w:left w:val="none" w:sz="0" w:space="0" w:color="auto"/>
        <w:bottom w:val="none" w:sz="0" w:space="0" w:color="auto"/>
        <w:right w:val="none" w:sz="0" w:space="0" w:color="auto"/>
      </w:divBdr>
    </w:div>
    <w:div w:id="1774323301">
      <w:bodyDiv w:val="1"/>
      <w:marLeft w:val="0"/>
      <w:marRight w:val="0"/>
      <w:marTop w:val="0"/>
      <w:marBottom w:val="0"/>
      <w:divBdr>
        <w:top w:val="none" w:sz="0" w:space="0" w:color="auto"/>
        <w:left w:val="none" w:sz="0" w:space="0" w:color="auto"/>
        <w:bottom w:val="none" w:sz="0" w:space="0" w:color="auto"/>
        <w:right w:val="none" w:sz="0" w:space="0" w:color="auto"/>
      </w:divBdr>
    </w:div>
    <w:div w:id="1826892562">
      <w:bodyDiv w:val="1"/>
      <w:marLeft w:val="0"/>
      <w:marRight w:val="0"/>
      <w:marTop w:val="0"/>
      <w:marBottom w:val="0"/>
      <w:divBdr>
        <w:top w:val="none" w:sz="0" w:space="0" w:color="auto"/>
        <w:left w:val="none" w:sz="0" w:space="0" w:color="auto"/>
        <w:bottom w:val="none" w:sz="0" w:space="0" w:color="auto"/>
        <w:right w:val="none" w:sz="0" w:space="0" w:color="auto"/>
      </w:divBdr>
    </w:div>
    <w:div w:id="1923023140">
      <w:bodyDiv w:val="1"/>
      <w:marLeft w:val="0"/>
      <w:marRight w:val="0"/>
      <w:marTop w:val="0"/>
      <w:marBottom w:val="0"/>
      <w:divBdr>
        <w:top w:val="none" w:sz="0" w:space="0" w:color="auto"/>
        <w:left w:val="none" w:sz="0" w:space="0" w:color="auto"/>
        <w:bottom w:val="none" w:sz="0" w:space="0" w:color="auto"/>
        <w:right w:val="none" w:sz="0" w:space="0" w:color="auto"/>
      </w:divBdr>
    </w:div>
    <w:div w:id="208267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official.mail@iaea.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TSOConf2014@iaea.org"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visaforchina.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fficial.mail@iaea.org" TargetMode="External"/><Relationship Id="rId20" Type="http://schemas.openxmlformats.org/officeDocument/2006/relationships/hyperlink" Target="mailto:TSOConf2014@iae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pub.iaea.org/iaeameetings/46083/International-Conference-on-Challenges-Faced-By-Technical-and-Scientific-Support-Organizations-TSOs-in-Enhancing-Nuclear-Safety-and-Security" TargetMode="External"/><Relationship Id="rId10" Type="http://schemas.openxmlformats.org/officeDocument/2006/relationships/header" Target="header1.xml"/><Relationship Id="rId19" Type="http://schemas.openxmlformats.org/officeDocument/2006/relationships/hyperlink" Target="mailto:Official.Mail@iaea.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mailto:M.Khaelss@iae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s.iaea.org/actionpl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6FA0-D279-4CFB-A2BA-19DDC832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11</Pages>
  <Words>2672</Words>
  <Characters>15235</Characters>
  <Application>Microsoft Office Word</Application>
  <DocSecurity>4</DocSecurity>
  <Lines>126</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IAEA</vt:lpstr>
      <vt:lpstr>IAEA</vt:lpstr>
    </vt:vector>
  </TitlesOfParts>
  <Company>IAEA</Company>
  <LinksUpToDate>false</LinksUpToDate>
  <CharactersWithSpaces>17872</CharactersWithSpaces>
  <SharedDoc>false</SharedDoc>
  <HLinks>
    <vt:vector size="42" baseType="variant">
      <vt:variant>
        <vt:i4>5373962</vt:i4>
      </vt:variant>
      <vt:variant>
        <vt:i4>18</vt:i4>
      </vt:variant>
      <vt:variant>
        <vt:i4>0</vt:i4>
      </vt:variant>
      <vt:variant>
        <vt:i4>5</vt:i4>
      </vt:variant>
      <vt:variant>
        <vt:lpwstr>http://www-pub.iaea.org/MTCD/Meetings/Announcements.asp?ConfID=41578</vt:lpwstr>
      </vt:variant>
      <vt:variant>
        <vt:lpwstr/>
      </vt:variant>
      <vt:variant>
        <vt:i4>2883648</vt:i4>
      </vt:variant>
      <vt:variant>
        <vt:i4>15</vt:i4>
      </vt:variant>
      <vt:variant>
        <vt:i4>0</vt:i4>
      </vt:variant>
      <vt:variant>
        <vt:i4>5</vt:i4>
      </vt:variant>
      <vt:variant>
        <vt:lpwstr>mailto:radprom2012.conf@iaea.org</vt:lpwstr>
      </vt:variant>
      <vt:variant>
        <vt:lpwstr/>
      </vt:variant>
      <vt:variant>
        <vt:i4>5439550</vt:i4>
      </vt:variant>
      <vt:variant>
        <vt:i4>12</vt:i4>
      </vt:variant>
      <vt:variant>
        <vt:i4>0</vt:i4>
      </vt:variant>
      <vt:variant>
        <vt:i4>5</vt:i4>
      </vt:variant>
      <vt:variant>
        <vt:lpwstr>mailto:radprom2012.papers@iaea.org</vt:lpwstr>
      </vt:variant>
      <vt:variant>
        <vt:lpwstr/>
      </vt:variant>
      <vt:variant>
        <vt:i4>852044</vt:i4>
      </vt:variant>
      <vt:variant>
        <vt:i4>9</vt:i4>
      </vt:variant>
      <vt:variant>
        <vt:i4>0</vt:i4>
      </vt:variant>
      <vt:variant>
        <vt:i4>5</vt:i4>
      </vt:variant>
      <vt:variant>
        <vt:lpwstr>https://personnel.iaea.org/info/ddsu/tree.asp?top=7530&amp;old=9999&amp;show=753</vt:lpwstr>
      </vt:variant>
      <vt:variant>
        <vt:lpwstr>u753</vt:lpwstr>
      </vt:variant>
      <vt:variant>
        <vt:i4>5439550</vt:i4>
      </vt:variant>
      <vt:variant>
        <vt:i4>6</vt:i4>
      </vt:variant>
      <vt:variant>
        <vt:i4>0</vt:i4>
      </vt:variant>
      <vt:variant>
        <vt:i4>5</vt:i4>
      </vt:variant>
      <vt:variant>
        <vt:lpwstr>mailto:radprom2012.papers@iaea.org</vt:lpwstr>
      </vt:variant>
      <vt:variant>
        <vt:lpwstr/>
      </vt:variant>
      <vt:variant>
        <vt:i4>1769510</vt:i4>
      </vt:variant>
      <vt:variant>
        <vt:i4>3</vt:i4>
      </vt:variant>
      <vt:variant>
        <vt:i4>0</vt:i4>
      </vt:variant>
      <vt:variant>
        <vt:i4>5</vt:i4>
      </vt:variant>
      <vt:variant>
        <vt:lpwstr>mailto:RSII2@bmu.bund.de</vt:lpwstr>
      </vt:variant>
      <vt:variant>
        <vt:lpwstr/>
      </vt:variant>
      <vt:variant>
        <vt:i4>5439550</vt:i4>
      </vt:variant>
      <vt:variant>
        <vt:i4>0</vt:i4>
      </vt:variant>
      <vt:variant>
        <vt:i4>0</vt:i4>
      </vt:variant>
      <vt:variant>
        <vt:i4>5</vt:i4>
      </vt:variant>
      <vt:variant>
        <vt:lpwstr>mailto:radprom2012.papers@iaea.org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conference</dc:creator>
  <cp:lastModifiedBy>SHAJU KATTIPPURAKKAL, Joseph</cp:lastModifiedBy>
  <cp:revision>2</cp:revision>
  <cp:lastPrinted>2014-09-03T14:26:00Z</cp:lastPrinted>
  <dcterms:created xsi:type="dcterms:W3CDTF">2014-09-05T12:08:00Z</dcterms:created>
  <dcterms:modified xsi:type="dcterms:W3CDTF">2014-09-05T12:08:00Z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