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7D" w:rsidRDefault="00733D7D" w:rsidP="00733D7D">
      <w:pPr>
        <w:pStyle w:val="BodyText"/>
        <w:spacing w:after="0"/>
        <w:jc w:val="right"/>
        <w:rPr>
          <w:b/>
          <w:spacing w:val="-3"/>
          <w:sz w:val="28"/>
        </w:rPr>
      </w:pPr>
      <w:bookmarkStart w:id="0" w:name="_GoBack"/>
      <w:bookmarkEnd w:id="0"/>
      <w:r>
        <w:rPr>
          <w:b/>
          <w:spacing w:val="-3"/>
          <w:sz w:val="28"/>
        </w:rPr>
        <w:t>IAEA-CN-</w:t>
      </w:r>
      <w:r w:rsidR="00B27F4B">
        <w:rPr>
          <w:b/>
          <w:spacing w:val="-3"/>
          <w:sz w:val="28"/>
        </w:rPr>
        <w:t>204</w:t>
      </w:r>
    </w:p>
    <w:p w:rsidR="000A5FE0" w:rsidRDefault="0019280F" w:rsidP="00AE2E9B">
      <w:pPr>
        <w:pStyle w:val="BodyText"/>
        <w:jc w:val="center"/>
      </w:pPr>
      <w:r w:rsidRPr="0051013E">
        <w:rPr>
          <w:noProof/>
          <w:lang w:eastAsia="en-GB"/>
        </w:rPr>
        <w:drawing>
          <wp:inline distT="0" distB="0" distL="0" distR="0" wp14:anchorId="200A1F08" wp14:editId="3F552A22">
            <wp:extent cx="1420495" cy="1074420"/>
            <wp:effectExtent l="0" t="0" r="8255" b="0"/>
            <wp:docPr id="4" name="Picture 4" descr="Description: IAEA_new_logo_cen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AEA_new_logo_cente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7D" w:rsidRDefault="00733D7D">
      <w:pPr>
        <w:pStyle w:val="BodyText"/>
      </w:pPr>
    </w:p>
    <w:p w:rsidR="00B27F4B" w:rsidRDefault="00733D7D" w:rsidP="008B70D1">
      <w:pPr>
        <w:pStyle w:val="Title"/>
      </w:pPr>
      <w:r>
        <w:t xml:space="preserve">International Conference on </w:t>
      </w:r>
      <w:r w:rsidR="00E51FCD">
        <w:t xml:space="preserve">the </w:t>
      </w:r>
      <w:r w:rsidR="00B27F4B">
        <w:t>Safety and Security of Radioactive Sources:</w:t>
      </w:r>
    </w:p>
    <w:p w:rsidR="003C1C0F" w:rsidRPr="00536CF7" w:rsidRDefault="00B27F4B" w:rsidP="0019280F">
      <w:pPr>
        <w:pStyle w:val="Title"/>
        <w:spacing w:before="240"/>
        <w:rPr>
          <w:bCs w:val="0"/>
          <w:iCs/>
          <w:sz w:val="36"/>
          <w:szCs w:val="36"/>
        </w:rPr>
      </w:pPr>
      <w:r w:rsidRPr="00536CF7">
        <w:rPr>
          <w:bCs w:val="0"/>
          <w:iCs/>
          <w:sz w:val="36"/>
          <w:szCs w:val="36"/>
        </w:rPr>
        <w:t>Maintaining the Continuous Global Control of Sources throughout their Life Cycle</w:t>
      </w:r>
    </w:p>
    <w:p w:rsidR="0019280F" w:rsidRDefault="0019280F" w:rsidP="0019280F">
      <w:pPr>
        <w:overflowPunct/>
        <w:jc w:val="center"/>
        <w:textAlignment w:val="auto"/>
        <w:rPr>
          <w:sz w:val="24"/>
          <w:szCs w:val="24"/>
          <w:lang w:eastAsia="en-GB"/>
        </w:rPr>
      </w:pPr>
    </w:p>
    <w:p w:rsidR="0019280F" w:rsidRDefault="0019280F" w:rsidP="0019280F">
      <w:pPr>
        <w:overflowPunct/>
        <w:jc w:val="center"/>
        <w:textAlignment w:val="auto"/>
        <w:rPr>
          <w:sz w:val="24"/>
          <w:szCs w:val="24"/>
          <w:lang w:eastAsia="en-GB"/>
        </w:rPr>
      </w:pPr>
    </w:p>
    <w:p w:rsidR="0019280F" w:rsidRDefault="0019280F" w:rsidP="0019280F">
      <w:pPr>
        <w:pStyle w:val="Subtitle"/>
      </w:pPr>
      <w:r>
        <w:t>Abu Dhabi, United Arab Emirates</w:t>
      </w:r>
    </w:p>
    <w:p w:rsidR="0019280F" w:rsidRDefault="0019280F" w:rsidP="0019280F">
      <w:pPr>
        <w:overflowPunct/>
        <w:jc w:val="center"/>
        <w:textAlignment w:val="auto"/>
        <w:rPr>
          <w:sz w:val="24"/>
          <w:szCs w:val="24"/>
          <w:lang w:eastAsia="en-GB"/>
        </w:rPr>
      </w:pPr>
    </w:p>
    <w:p w:rsidR="00733D7D" w:rsidRDefault="00B27F4B" w:rsidP="0019280F">
      <w:pPr>
        <w:pStyle w:val="Subtitle"/>
      </w:pPr>
      <w:r>
        <w:t>27–31 October 2013</w:t>
      </w:r>
    </w:p>
    <w:p w:rsidR="006F1D5E" w:rsidRDefault="006F1D5E" w:rsidP="006F1D5E">
      <w:pPr>
        <w:overflowPunct/>
        <w:jc w:val="center"/>
        <w:textAlignment w:val="auto"/>
        <w:rPr>
          <w:sz w:val="24"/>
          <w:szCs w:val="24"/>
          <w:lang w:eastAsia="en-GB"/>
        </w:rPr>
      </w:pPr>
    </w:p>
    <w:p w:rsidR="006F1D5E" w:rsidRDefault="006F1D5E" w:rsidP="006F1D5E">
      <w:pPr>
        <w:overflowPunct/>
        <w:jc w:val="center"/>
        <w:textAlignment w:val="auto"/>
        <w:rPr>
          <w:sz w:val="24"/>
          <w:szCs w:val="24"/>
          <w:lang w:eastAsia="en-GB"/>
        </w:rPr>
      </w:pPr>
    </w:p>
    <w:p w:rsidR="006F1D5E" w:rsidRPr="00545BAD" w:rsidRDefault="006F1D5E" w:rsidP="006F1D5E">
      <w:pPr>
        <w:overflowPunct/>
        <w:jc w:val="center"/>
        <w:textAlignment w:val="auto"/>
        <w:rPr>
          <w:i/>
          <w:sz w:val="24"/>
          <w:szCs w:val="24"/>
          <w:lang w:eastAsia="en-GB"/>
        </w:rPr>
      </w:pPr>
      <w:r w:rsidRPr="00545BAD">
        <w:rPr>
          <w:i/>
          <w:sz w:val="24"/>
          <w:szCs w:val="24"/>
          <w:lang w:eastAsia="en-GB"/>
        </w:rPr>
        <w:t>Organized by the</w:t>
      </w:r>
    </w:p>
    <w:p w:rsidR="006F1D5E" w:rsidRDefault="006F1D5E" w:rsidP="006F1D5E">
      <w:pPr>
        <w:pStyle w:val="Subtitle"/>
        <w:rPr>
          <w:b w:val="0"/>
          <w:bCs/>
          <w:szCs w:val="28"/>
          <w:lang w:eastAsia="en-GB"/>
        </w:rPr>
      </w:pPr>
      <w:r>
        <w:rPr>
          <w:b w:val="0"/>
          <w:bCs/>
          <w:szCs w:val="28"/>
          <w:lang w:eastAsia="en-GB"/>
        </w:rPr>
        <w:t>International Atomic Energy Agency (IAEA)</w:t>
      </w:r>
    </w:p>
    <w:p w:rsidR="00E51FCD" w:rsidRDefault="00E51FCD" w:rsidP="006F1D5E">
      <w:pPr>
        <w:pStyle w:val="Subtitle"/>
        <w:rPr>
          <w:b w:val="0"/>
          <w:bCs/>
          <w:szCs w:val="28"/>
          <w:lang w:eastAsia="en-GB"/>
        </w:rPr>
      </w:pPr>
    </w:p>
    <w:p w:rsidR="006F1D5E" w:rsidRPr="00545BAD" w:rsidRDefault="006F1D5E" w:rsidP="00545BAD">
      <w:pPr>
        <w:overflowPunct/>
        <w:spacing w:before="114" w:after="86"/>
        <w:jc w:val="center"/>
        <w:textAlignment w:val="auto"/>
        <w:rPr>
          <w:i/>
          <w:sz w:val="24"/>
          <w:szCs w:val="24"/>
          <w:lang w:eastAsia="en-GB"/>
        </w:rPr>
      </w:pPr>
      <w:r w:rsidRPr="00545BAD">
        <w:rPr>
          <w:i/>
          <w:sz w:val="24"/>
          <w:szCs w:val="24"/>
          <w:lang w:eastAsia="en-GB"/>
        </w:rPr>
        <w:t>Hosted by the</w:t>
      </w:r>
    </w:p>
    <w:p w:rsidR="002A12C2" w:rsidRDefault="006F1D5E" w:rsidP="006F1D5E">
      <w:pPr>
        <w:overflowPunct/>
        <w:jc w:val="center"/>
        <w:textAlignment w:val="auto"/>
        <w:rPr>
          <w:i/>
          <w:sz w:val="24"/>
          <w:szCs w:val="24"/>
          <w:lang w:eastAsia="en-GB"/>
        </w:rPr>
      </w:pPr>
      <w:r w:rsidRPr="006F1D5E">
        <w:rPr>
          <w:rFonts w:cs="Arial"/>
          <w:bCs/>
          <w:sz w:val="28"/>
          <w:szCs w:val="28"/>
          <w:lang w:val="en-US" w:eastAsia="en-GB"/>
        </w:rPr>
        <w:t xml:space="preserve">Government of </w:t>
      </w:r>
      <w:r w:rsidR="00B27F4B">
        <w:rPr>
          <w:rFonts w:cs="Arial"/>
          <w:bCs/>
          <w:sz w:val="28"/>
          <w:szCs w:val="28"/>
          <w:lang w:val="en-US" w:eastAsia="en-GB"/>
        </w:rPr>
        <w:t>the United Arab Emirates</w:t>
      </w:r>
    </w:p>
    <w:p w:rsidR="006F1D5E" w:rsidRPr="00545BAD" w:rsidRDefault="006F1D5E" w:rsidP="00545BAD">
      <w:pPr>
        <w:overflowPunct/>
        <w:spacing w:before="114" w:after="86"/>
        <w:jc w:val="center"/>
        <w:textAlignment w:val="auto"/>
        <w:rPr>
          <w:i/>
          <w:sz w:val="24"/>
          <w:szCs w:val="24"/>
          <w:lang w:eastAsia="en-GB"/>
        </w:rPr>
      </w:pPr>
      <w:proofErr w:type="gramStart"/>
      <w:r w:rsidRPr="00545BAD">
        <w:rPr>
          <w:i/>
          <w:sz w:val="24"/>
          <w:szCs w:val="24"/>
          <w:lang w:eastAsia="en-GB"/>
        </w:rPr>
        <w:t>through</w:t>
      </w:r>
      <w:proofErr w:type="gramEnd"/>
      <w:r w:rsidRPr="00545BAD">
        <w:rPr>
          <w:i/>
          <w:sz w:val="24"/>
          <w:szCs w:val="24"/>
          <w:lang w:eastAsia="en-GB"/>
        </w:rPr>
        <w:t xml:space="preserve"> the</w:t>
      </w:r>
    </w:p>
    <w:p w:rsidR="006F1D5E" w:rsidRPr="006F1D5E" w:rsidRDefault="006F1D5E" w:rsidP="009428B4">
      <w:pPr>
        <w:overflowPunct/>
        <w:spacing w:before="113" w:after="85"/>
        <w:jc w:val="center"/>
        <w:textAlignment w:val="auto"/>
        <w:rPr>
          <w:rFonts w:cs="Arial"/>
          <w:bCs/>
          <w:sz w:val="28"/>
          <w:szCs w:val="28"/>
          <w:lang w:val="en-US" w:eastAsia="en-GB"/>
        </w:rPr>
      </w:pPr>
      <w:r w:rsidRPr="006F1D5E">
        <w:rPr>
          <w:rFonts w:cs="Arial"/>
          <w:bCs/>
          <w:sz w:val="28"/>
          <w:szCs w:val="28"/>
          <w:lang w:val="en-US" w:eastAsia="en-GB"/>
        </w:rPr>
        <w:t xml:space="preserve">Federal </w:t>
      </w:r>
      <w:r w:rsidR="00B27F4B">
        <w:rPr>
          <w:rFonts w:cs="Arial"/>
          <w:bCs/>
          <w:sz w:val="28"/>
          <w:szCs w:val="28"/>
          <w:lang w:val="en-US" w:eastAsia="en-GB"/>
        </w:rPr>
        <w:t>Authority for Nuclear Regulation (FANR)</w:t>
      </w:r>
    </w:p>
    <w:p w:rsidR="00800EDA" w:rsidRDefault="00800EDA" w:rsidP="00733D7D">
      <w:pPr>
        <w:pStyle w:val="Subtitle"/>
        <w:rPr>
          <w:sz w:val="40"/>
          <w:szCs w:val="40"/>
        </w:rPr>
      </w:pPr>
    </w:p>
    <w:p w:rsidR="00AF50D5" w:rsidRPr="00536CF7" w:rsidRDefault="00733D7D" w:rsidP="00733D7D">
      <w:pPr>
        <w:pStyle w:val="Subtitle"/>
        <w:rPr>
          <w:sz w:val="40"/>
          <w:szCs w:val="40"/>
          <w:u w:val="single"/>
        </w:rPr>
      </w:pPr>
      <w:r w:rsidRPr="00536CF7">
        <w:rPr>
          <w:sz w:val="40"/>
          <w:szCs w:val="40"/>
          <w:u w:val="single"/>
        </w:rPr>
        <w:t>Announcement and Call for Papers</w:t>
      </w:r>
    </w:p>
    <w:p w:rsidR="00733D7D" w:rsidRPr="00D57870" w:rsidRDefault="00AF50D5" w:rsidP="00733D7D">
      <w:pPr>
        <w:pStyle w:val="Subtitle"/>
        <w:rPr>
          <w:sz w:val="4"/>
          <w:szCs w:val="4"/>
        </w:rPr>
      </w:pPr>
      <w:r>
        <w:rPr>
          <w:sz w:val="40"/>
          <w:szCs w:val="40"/>
        </w:rPr>
        <w:br w:type="page"/>
      </w:r>
    </w:p>
    <w:p w:rsidR="00C36BBE" w:rsidRPr="00C36BBE" w:rsidRDefault="00733D7D" w:rsidP="00D57870">
      <w:pPr>
        <w:pStyle w:val="Heading1"/>
        <w:spacing w:before="0"/>
      </w:pPr>
      <w:r>
        <w:lastRenderedPageBreak/>
        <w:t>Introduction</w:t>
      </w:r>
    </w:p>
    <w:p w:rsidR="00AC3FEB" w:rsidRDefault="00AC3FEB" w:rsidP="0019280F">
      <w:pPr>
        <w:pStyle w:val="BodyText"/>
      </w:pPr>
      <w:r>
        <w:t>Radioactive sources</w:t>
      </w:r>
      <w:r w:rsidR="006857E2">
        <w:rPr>
          <w:rStyle w:val="FootnoteReference"/>
        </w:rPr>
        <w:footnoteReference w:id="2"/>
      </w:r>
      <w:r>
        <w:t xml:space="preserve"> are extensively used for beneficial purposes around the world in medical, industrial, agricultural, research and educational applications. </w:t>
      </w:r>
      <w:r w:rsidR="0019280F">
        <w:t>Ensuring t</w:t>
      </w:r>
      <w:r>
        <w:t xml:space="preserve">heir safety and security has been a matter of </w:t>
      </w:r>
      <w:r w:rsidR="006259CB">
        <w:t>global attention</w:t>
      </w:r>
      <w:r>
        <w:t xml:space="preserve"> over the last decade and significant improve</w:t>
      </w:r>
      <w:r w:rsidR="0019280F">
        <w:t>ments have been made in this respect</w:t>
      </w:r>
      <w:r>
        <w:t xml:space="preserve">. However, </w:t>
      </w:r>
      <w:r w:rsidR="000E04C8">
        <w:t xml:space="preserve">accidents with significant consequences still occur, and </w:t>
      </w:r>
      <w:r>
        <w:t xml:space="preserve">there </w:t>
      </w:r>
      <w:r w:rsidR="006259CB">
        <w:t>remain</w:t>
      </w:r>
      <w:r>
        <w:t xml:space="preserve"> </w:t>
      </w:r>
      <w:r w:rsidR="000E04C8">
        <w:t xml:space="preserve">security </w:t>
      </w:r>
      <w:r>
        <w:t>concerns</w:t>
      </w:r>
      <w:r w:rsidR="000E04C8">
        <w:t>.</w:t>
      </w:r>
      <w:r w:rsidR="00625E60">
        <w:t xml:space="preserve"> </w:t>
      </w:r>
      <w:r>
        <w:t xml:space="preserve">It is time to review the current situation and </w:t>
      </w:r>
      <w:r w:rsidR="0019280F">
        <w:t xml:space="preserve">to </w:t>
      </w:r>
      <w:r>
        <w:t>identify the means of maintaining the highest possible level of safety and security of radioactive sources throughout their lifecycle and everywhere in the world.</w:t>
      </w:r>
    </w:p>
    <w:p w:rsidR="00AC3FEB" w:rsidRDefault="00A8156E" w:rsidP="00A8156E">
      <w:pPr>
        <w:pStyle w:val="BodyText"/>
      </w:pPr>
      <w:r>
        <w:t>The International Atomic Energy Agency (IAEA) has established requirements and guidelines for the safety and security of radioactive sources that are set forth in the relevant publications in the IAEA </w:t>
      </w:r>
      <w:r w:rsidR="00672E86">
        <w:t>Safety Standards</w:t>
      </w:r>
      <w:r>
        <w:t xml:space="preserve"> Series</w:t>
      </w:r>
      <w:r w:rsidR="00672E86">
        <w:t xml:space="preserve"> and </w:t>
      </w:r>
      <w:r>
        <w:t xml:space="preserve">the IAEA Nuclear </w:t>
      </w:r>
      <w:r w:rsidR="00672E86">
        <w:t xml:space="preserve">Security </w:t>
      </w:r>
      <w:r>
        <w:t>S</w:t>
      </w:r>
      <w:r w:rsidR="006857E2">
        <w:t>eries</w:t>
      </w:r>
      <w:r w:rsidR="00AC3FEB">
        <w:t>. The IAEA assists its Member States in implementing th</w:t>
      </w:r>
      <w:r w:rsidR="00672E86">
        <w:t xml:space="preserve">ese requirements and </w:t>
      </w:r>
      <w:r>
        <w:t xml:space="preserve">guidelines </w:t>
      </w:r>
      <w:r w:rsidR="00AC3FEB">
        <w:t>in a number of ways</w:t>
      </w:r>
      <w:r w:rsidR="00A15D28">
        <w:t xml:space="preserve">, </w:t>
      </w:r>
      <w:r w:rsidR="006259CB">
        <w:t>and in</w:t>
      </w:r>
      <w:r w:rsidR="00A15D28">
        <w:t xml:space="preserve"> coordination with other bilateral or multilateral initiatives</w:t>
      </w:r>
      <w:r w:rsidR="00672E86">
        <w:t>.</w:t>
      </w:r>
    </w:p>
    <w:p w:rsidR="00A15D28" w:rsidRDefault="00A15D28" w:rsidP="00A8156E">
      <w:pPr>
        <w:pStyle w:val="BodyText"/>
      </w:pPr>
      <w:r>
        <w:t>In September 2003</w:t>
      </w:r>
      <w:r w:rsidR="00A8156E">
        <w:t>,</w:t>
      </w:r>
      <w:r>
        <w:t xml:space="preserve"> the IAEA Board of Governors and the IAEA General Conference approved a revised version of the Code of Conduct on the Safety and Security of Radioactive Sources</w:t>
      </w:r>
      <w:r w:rsidR="00DE3CFF">
        <w:t xml:space="preserve"> (hereafter referred to as “the Code”)</w:t>
      </w:r>
      <w:r>
        <w:t xml:space="preserve">. </w:t>
      </w:r>
      <w:r w:rsidR="00A8156E">
        <w:t>During the t</w:t>
      </w:r>
      <w:r>
        <w:t xml:space="preserve">en years </w:t>
      </w:r>
      <w:r w:rsidR="00A8156E">
        <w:t>that have passed since then</w:t>
      </w:r>
      <w:r>
        <w:t>, 11</w:t>
      </w:r>
      <w:r w:rsidR="00E847BE">
        <w:t>3</w:t>
      </w:r>
      <w:r>
        <w:t xml:space="preserve"> States have written to the IAEA Director General to express their intention to work towards implementing the provisions of this Code, and many activities have taken place at </w:t>
      </w:r>
      <w:r w:rsidR="00A8156E">
        <w:t xml:space="preserve">the </w:t>
      </w:r>
      <w:r>
        <w:t xml:space="preserve">national, regional and international levels to promote the Code and </w:t>
      </w:r>
      <w:r w:rsidR="00A8156E">
        <w:t xml:space="preserve">to put </w:t>
      </w:r>
      <w:r>
        <w:t>it</w:t>
      </w:r>
      <w:r w:rsidR="00A8156E">
        <w:t xml:space="preserve"> into practice</w:t>
      </w:r>
      <w:r>
        <w:t>.</w:t>
      </w:r>
    </w:p>
    <w:p w:rsidR="00AC3FEB" w:rsidRDefault="00AC3FEB" w:rsidP="00536188">
      <w:pPr>
        <w:pStyle w:val="BodyText"/>
      </w:pPr>
      <w:r>
        <w:t>A</w:t>
      </w:r>
      <w:r w:rsidR="00A8156E">
        <w:t>t a</w:t>
      </w:r>
      <w:r>
        <w:t xml:space="preserve"> conference </w:t>
      </w:r>
      <w:r w:rsidR="00A8156E">
        <w:t xml:space="preserve">held </w:t>
      </w:r>
      <w:r>
        <w:t>in Dijon</w:t>
      </w:r>
      <w:r w:rsidR="00A8156E">
        <w:t>, France,</w:t>
      </w:r>
      <w:r>
        <w:t xml:space="preserve"> in </w:t>
      </w:r>
      <w:r w:rsidR="00A8156E">
        <w:t xml:space="preserve">September </w:t>
      </w:r>
      <w:r>
        <w:t>1998</w:t>
      </w:r>
      <w:r w:rsidR="00A8156E">
        <w:t>,</w:t>
      </w:r>
      <w:r>
        <w:t xml:space="preserve"> </w:t>
      </w:r>
      <w:r w:rsidR="00A8156E">
        <w:t xml:space="preserve">the need for a coordinated international approach to the safety and security of radioactive sources was </w:t>
      </w:r>
      <w:r>
        <w:t xml:space="preserve">discussed for the first time. A conference </w:t>
      </w:r>
      <w:r w:rsidR="00DE3CFF">
        <w:t xml:space="preserve">held </w:t>
      </w:r>
      <w:r>
        <w:t>in Buenos Aires</w:t>
      </w:r>
      <w:r w:rsidR="00DE3CFF">
        <w:t>, Argentina,</w:t>
      </w:r>
      <w:r>
        <w:t xml:space="preserve"> in December 2000 focused on the responsibilities of senior regulators dealing with this matter. A large international conference convened in Vienna</w:t>
      </w:r>
      <w:r w:rsidR="00DE3CFF">
        <w:t>, Austria,</w:t>
      </w:r>
      <w:r>
        <w:t xml:space="preserve"> in March 2003 discussed specific issues </w:t>
      </w:r>
      <w:r w:rsidR="00DE3CFF">
        <w:t xml:space="preserve">related to </w:t>
      </w:r>
      <w:r>
        <w:t>the security of radioactive sources in the light of growing concerns following the events of 11 September 2001. A conference in Rabat</w:t>
      </w:r>
      <w:r w:rsidR="00DE3CFF">
        <w:t>, Morocco,</w:t>
      </w:r>
      <w:r>
        <w:t xml:space="preserve"> in September 2003 dealt with promoting the establishment of sustainable national infrastructures for radiation safety, including control over radioactive sources</w:t>
      </w:r>
      <w:r w:rsidR="00A15D28">
        <w:t>. A</w:t>
      </w:r>
      <w:r>
        <w:t xml:space="preserve"> conference in Bordeaux</w:t>
      </w:r>
      <w:r w:rsidR="00DE3CFF">
        <w:t>, France,</w:t>
      </w:r>
      <w:r>
        <w:t xml:space="preserve"> in </w:t>
      </w:r>
      <w:r w:rsidR="00DE3CFF">
        <w:t>June</w:t>
      </w:r>
      <w:r w:rsidR="00536188">
        <w:t>–</w:t>
      </w:r>
      <w:r w:rsidR="00DE3CFF">
        <w:t xml:space="preserve">July </w:t>
      </w:r>
      <w:r>
        <w:t>2005</w:t>
      </w:r>
      <w:r w:rsidR="00A15D28">
        <w:t xml:space="preserve"> </w:t>
      </w:r>
      <w:r w:rsidR="0078425C">
        <w:t xml:space="preserve">focused on the first measures taken by States to improve </w:t>
      </w:r>
      <w:r w:rsidR="00DE3CFF">
        <w:t xml:space="preserve">the </w:t>
      </w:r>
      <w:r w:rsidR="0078425C">
        <w:t xml:space="preserve">safety and security of radioactive sources by implementing the provisions of the Code, and called for the </w:t>
      </w:r>
      <w:r w:rsidR="00780AED">
        <w:t>establishment</w:t>
      </w:r>
      <w:r w:rsidR="0078425C">
        <w:t xml:space="preserve"> of a formalized process of information exchange between States </w:t>
      </w:r>
      <w:r w:rsidR="00DE3CFF">
        <w:t xml:space="preserve">in order </w:t>
      </w:r>
      <w:r w:rsidR="0078425C">
        <w:t xml:space="preserve">to </w:t>
      </w:r>
      <w:r w:rsidR="00DE3CFF">
        <w:t xml:space="preserve">further </w:t>
      </w:r>
      <w:r w:rsidR="00E56795">
        <w:t>facilitate implementation of the Code.</w:t>
      </w:r>
    </w:p>
    <w:p w:rsidR="00D22A31" w:rsidRDefault="00DE3CFF" w:rsidP="00DE3CFF">
      <w:pPr>
        <w:pStyle w:val="BodyText"/>
      </w:pPr>
      <w:r>
        <w:t xml:space="preserve">The formalized process duly developed by the IAEA Secretariat for this purpose was </w:t>
      </w:r>
      <w:r w:rsidR="00D22A31">
        <w:t>agreed</w:t>
      </w:r>
      <w:r>
        <w:t xml:space="preserve"> upon</w:t>
      </w:r>
      <w:r w:rsidR="00D22A31">
        <w:t xml:space="preserve"> by States in 2006</w:t>
      </w:r>
      <w:r>
        <w:t>.</w:t>
      </w:r>
      <w:r w:rsidR="00D22A31">
        <w:t xml:space="preserve"> </w:t>
      </w:r>
      <w:r>
        <w:t>This process has</w:t>
      </w:r>
      <w:r w:rsidR="00D22A31">
        <w:t xml:space="preserve"> since been implemented through two open</w:t>
      </w:r>
      <w:r>
        <w:t>-</w:t>
      </w:r>
      <w:r w:rsidR="00D22A31">
        <w:t>ended meeting</w:t>
      </w:r>
      <w:r w:rsidR="000E04C8">
        <w:t>s</w:t>
      </w:r>
      <w:r w:rsidR="00D22A31">
        <w:t xml:space="preserve"> to share experience and lessons learned in implementing the Code and its associated Guidance </w:t>
      </w:r>
      <w:r>
        <w:t>on the Import and Export of Radioactive Sources</w:t>
      </w:r>
      <w:r w:rsidR="00863599">
        <w:t xml:space="preserve"> (hereafter referred to as “the Guidance”)</w:t>
      </w:r>
      <w:r>
        <w:t xml:space="preserve"> that were </w:t>
      </w:r>
      <w:r w:rsidR="00D22A31">
        <w:t>held in Vienna</w:t>
      </w:r>
      <w:r>
        <w:t>, Austria,</w:t>
      </w:r>
      <w:r w:rsidR="00D22A31">
        <w:t xml:space="preserve"> in </w:t>
      </w:r>
      <w:r>
        <w:t xml:space="preserve">June </w:t>
      </w:r>
      <w:r w:rsidR="00D22A31">
        <w:t xml:space="preserve">2007 and </w:t>
      </w:r>
      <w:r>
        <w:t xml:space="preserve">May </w:t>
      </w:r>
      <w:r w:rsidR="00D22A31">
        <w:t xml:space="preserve">2010, as well as </w:t>
      </w:r>
      <w:r>
        <w:t xml:space="preserve">through </w:t>
      </w:r>
      <w:r w:rsidR="00D22A31">
        <w:t>regional workshops and topical meetings.</w:t>
      </w:r>
    </w:p>
    <w:p w:rsidR="00D22A31" w:rsidRDefault="00D22A31" w:rsidP="00A736F6">
      <w:pPr>
        <w:pStyle w:val="BodyText"/>
      </w:pPr>
      <w:r w:rsidRPr="00D22A31">
        <w:t>The 2012 Nuclear Security Summit</w:t>
      </w:r>
      <w:r w:rsidR="00DE3CFF">
        <w:t>, held in Seoul, Republic of Korea, in March 2012,</w:t>
      </w:r>
      <w:r w:rsidRPr="00D22A31">
        <w:t xml:space="preserve"> encouraged States </w:t>
      </w:r>
      <w:r w:rsidR="00A736F6">
        <w:t xml:space="preserve">“[to] </w:t>
      </w:r>
      <w:r w:rsidRPr="00D22A31">
        <w:t>reflect into national practices relevant IAEA Nuclear Security Series documents, the IAEA Code of Conduct on the Safety and Security of Radioactive Sources and its supplementary</w:t>
      </w:r>
      <w:r w:rsidR="00A736F6">
        <w:t xml:space="preserve"> […]</w:t>
      </w:r>
      <w:r w:rsidRPr="00D22A31">
        <w:t xml:space="preserve"> </w:t>
      </w:r>
      <w:r w:rsidRPr="00D22A31">
        <w:lastRenderedPageBreak/>
        <w:t xml:space="preserve">Guidance on the Import and Export of Radioactive Sources; and </w:t>
      </w:r>
      <w:r w:rsidR="00A736F6">
        <w:t xml:space="preserve">[to] </w:t>
      </w:r>
      <w:r w:rsidRPr="00D22A31">
        <w:t>establish national registers of high-activity radioactive sources where required</w:t>
      </w:r>
      <w:r w:rsidR="009E6E74">
        <w:t>”</w:t>
      </w:r>
      <w:r w:rsidRPr="00D22A31">
        <w:t>.</w:t>
      </w:r>
      <w:r w:rsidR="00357BBB">
        <w:rPr>
          <w:rStyle w:val="FootnoteReference"/>
        </w:rPr>
        <w:footnoteReference w:id="3"/>
      </w:r>
    </w:p>
    <w:p w:rsidR="00AC3FEB" w:rsidRDefault="00D22A31" w:rsidP="00536188">
      <w:pPr>
        <w:pStyle w:val="BodyText"/>
      </w:pPr>
      <w:r>
        <w:t xml:space="preserve">The </w:t>
      </w:r>
      <w:r w:rsidR="00357BBB">
        <w:t>F</w:t>
      </w:r>
      <w:r>
        <w:t xml:space="preserve">ourth </w:t>
      </w:r>
      <w:r w:rsidR="00357BBB">
        <w:t>R</w:t>
      </w:r>
      <w:r>
        <w:t xml:space="preserve">eview </w:t>
      </w:r>
      <w:r w:rsidR="00357BBB">
        <w:t>M</w:t>
      </w:r>
      <w:r>
        <w:t xml:space="preserve">eeting of the </w:t>
      </w:r>
      <w:r w:rsidR="00357BBB">
        <w:t>C</w:t>
      </w:r>
      <w:r>
        <w:t>ontracting parties to the Joint Convention on the Safety of Spent Fuel Management and on the Safety of Radioactive Waste Management</w:t>
      </w:r>
      <w:r w:rsidR="009B5071">
        <w:t xml:space="preserve"> held in</w:t>
      </w:r>
      <w:r w:rsidR="00357BBB">
        <w:t xml:space="preserve"> Vienna, Austria, in</w:t>
      </w:r>
      <w:r w:rsidR="009B5071">
        <w:t xml:space="preserve"> May 2012</w:t>
      </w:r>
      <w:r w:rsidR="00357BBB">
        <w:t>,</w:t>
      </w:r>
      <w:r w:rsidR="009B5071">
        <w:t xml:space="preserve"> </w:t>
      </w:r>
      <w:r w:rsidR="00880249">
        <w:t xml:space="preserve">addressed specific issues related to </w:t>
      </w:r>
      <w:r w:rsidR="00357BBB">
        <w:t xml:space="preserve">the </w:t>
      </w:r>
      <w:r w:rsidR="00880249">
        <w:t>management of disused sources, orphan sources and contaminated scrap metal and recommended that States improve the reporting of safe management of disused sealed sources under the Joint Convention</w:t>
      </w:r>
      <w:r w:rsidR="00FC3358">
        <w:t>.</w:t>
      </w:r>
    </w:p>
    <w:p w:rsidR="00733D7D" w:rsidRDefault="00733D7D" w:rsidP="00035673">
      <w:pPr>
        <w:pStyle w:val="Heading1"/>
      </w:pPr>
      <w:r>
        <w:t>Objective</w:t>
      </w:r>
      <w:r w:rsidR="00AD20E1">
        <w:t>s</w:t>
      </w:r>
    </w:p>
    <w:p w:rsidR="003F74BC" w:rsidRDefault="003F74BC" w:rsidP="00035673">
      <w:pPr>
        <w:pStyle w:val="BodyText"/>
        <w:widowControl w:val="0"/>
      </w:pPr>
      <w:r>
        <w:t xml:space="preserve">The conference </w:t>
      </w:r>
      <w:r w:rsidR="00877F18">
        <w:t xml:space="preserve">will </w:t>
      </w:r>
      <w:r>
        <w:t xml:space="preserve">deal with </w:t>
      </w:r>
      <w:r w:rsidR="006259CB">
        <w:t xml:space="preserve">all </w:t>
      </w:r>
      <w:r>
        <w:t xml:space="preserve">aspects of </w:t>
      </w:r>
      <w:r w:rsidR="006259CB">
        <w:t>safety and security of radioactive sources, including:</w:t>
      </w:r>
    </w:p>
    <w:p w:rsidR="006259CB" w:rsidRDefault="006259CB" w:rsidP="00035673">
      <w:pPr>
        <w:pStyle w:val="ListParagraph"/>
        <w:numPr>
          <w:ilvl w:val="0"/>
          <w:numId w:val="17"/>
        </w:numPr>
        <w:spacing w:before="120" w:after="120" w:line="280" w:lineRule="atLeast"/>
        <w:ind w:left="714" w:hanging="357"/>
        <w:contextualSpacing w:val="0"/>
        <w:jc w:val="both"/>
      </w:pPr>
      <w:r>
        <w:t xml:space="preserve">Reviewing progress made </w:t>
      </w:r>
      <w:r w:rsidR="003C1C0F">
        <w:t>in implementing</w:t>
      </w:r>
      <w:r w:rsidR="00536188">
        <w:t>,</w:t>
      </w:r>
      <w:r w:rsidR="003C1C0F">
        <w:t xml:space="preserve"> </w:t>
      </w:r>
      <w:r w:rsidR="00536188">
        <w:t xml:space="preserve">at the global level, </w:t>
      </w:r>
      <w:r w:rsidR="003C1C0F">
        <w:t xml:space="preserve">the Code </w:t>
      </w:r>
      <w:r w:rsidR="006C6D9E">
        <w:t xml:space="preserve">and the </w:t>
      </w:r>
      <w:r w:rsidR="00536188">
        <w:t xml:space="preserve">requirements and guidelines set out in </w:t>
      </w:r>
      <w:r w:rsidR="006C6D9E">
        <w:t>relevant</w:t>
      </w:r>
      <w:r w:rsidR="00536188">
        <w:t xml:space="preserve"> publications in the</w:t>
      </w:r>
      <w:r w:rsidR="006C6D9E">
        <w:t xml:space="preserve"> IAEA Safety Standards</w:t>
      </w:r>
      <w:r w:rsidR="00536188">
        <w:t xml:space="preserve"> Series</w:t>
      </w:r>
      <w:r w:rsidR="006C6D9E">
        <w:t xml:space="preserve"> and </w:t>
      </w:r>
      <w:r w:rsidR="00536188">
        <w:t xml:space="preserve">the IAEA Nuclear </w:t>
      </w:r>
      <w:r w:rsidR="006C6D9E">
        <w:t xml:space="preserve">Security </w:t>
      </w:r>
      <w:r w:rsidR="00536188">
        <w:t>Series</w:t>
      </w:r>
      <w:r w:rsidR="003C1C0F">
        <w:t xml:space="preserve"> </w:t>
      </w:r>
      <w:r>
        <w:t xml:space="preserve">since </w:t>
      </w:r>
      <w:r w:rsidR="007C03DE">
        <w:t xml:space="preserve">the Bordeaux conference in </w:t>
      </w:r>
      <w:r>
        <w:t>2005</w:t>
      </w:r>
      <w:r w:rsidR="00536188">
        <w:t>, and</w:t>
      </w:r>
      <w:r w:rsidR="00423201">
        <w:t xml:space="preserve"> </w:t>
      </w:r>
      <w:r w:rsidR="00D10C5D">
        <w:t>sharing experience, lessons learned and good practices</w:t>
      </w:r>
      <w:r w:rsidR="00A066E8">
        <w:t>;</w:t>
      </w:r>
    </w:p>
    <w:p w:rsidR="006259CB" w:rsidRDefault="007C03DE" w:rsidP="00035673">
      <w:pPr>
        <w:pStyle w:val="ListParagraph"/>
        <w:numPr>
          <w:ilvl w:val="0"/>
          <w:numId w:val="17"/>
        </w:numPr>
        <w:spacing w:before="120" w:after="120" w:line="280" w:lineRule="atLeast"/>
        <w:ind w:left="714" w:hanging="357"/>
        <w:contextualSpacing w:val="0"/>
        <w:jc w:val="both"/>
      </w:pPr>
      <w:r>
        <w:t>Addressing</w:t>
      </w:r>
      <w:r w:rsidR="006259CB">
        <w:t xml:space="preserve"> remaining challenges </w:t>
      </w:r>
      <w:r>
        <w:t xml:space="preserve">and constraints </w:t>
      </w:r>
      <w:r w:rsidR="00536188">
        <w:t xml:space="preserve">with regard </w:t>
      </w:r>
      <w:r w:rsidR="006259CB">
        <w:t>to ensur</w:t>
      </w:r>
      <w:r w:rsidR="00536188">
        <w:t>ing the</w:t>
      </w:r>
      <w:r w:rsidR="006259CB">
        <w:t xml:space="preserve"> safety and securi</w:t>
      </w:r>
      <w:r>
        <w:t xml:space="preserve">ty of </w:t>
      </w:r>
      <w:r w:rsidR="00536188">
        <w:t xml:space="preserve">radioactive </w:t>
      </w:r>
      <w:r>
        <w:t>sources throughout their l</w:t>
      </w:r>
      <w:r w:rsidR="006259CB">
        <w:t xml:space="preserve">ife </w:t>
      </w:r>
      <w:r>
        <w:t>c</w:t>
      </w:r>
      <w:r w:rsidR="006259CB">
        <w:t xml:space="preserve">ycle, </w:t>
      </w:r>
      <w:r w:rsidR="003C1C0F">
        <w:t xml:space="preserve">in particular </w:t>
      </w:r>
      <w:r w:rsidR="00536188">
        <w:t xml:space="preserve">with regard to </w:t>
      </w:r>
      <w:r w:rsidR="006259CB">
        <w:t>the long term management of disused sources</w:t>
      </w:r>
      <w:r w:rsidR="00536188">
        <w:t>;</w:t>
      </w:r>
    </w:p>
    <w:p w:rsidR="0077266D" w:rsidRDefault="003C1C0F" w:rsidP="00035673">
      <w:pPr>
        <w:pStyle w:val="ListParagraph"/>
        <w:numPr>
          <w:ilvl w:val="0"/>
          <w:numId w:val="17"/>
        </w:numPr>
        <w:spacing w:before="120" w:after="120" w:line="280" w:lineRule="atLeast"/>
        <w:ind w:left="714" w:hanging="357"/>
        <w:contextualSpacing w:val="0"/>
        <w:jc w:val="both"/>
      </w:pPr>
      <w:r>
        <w:t xml:space="preserve">Considering </w:t>
      </w:r>
      <w:r w:rsidR="00536188">
        <w:t xml:space="preserve">the </w:t>
      </w:r>
      <w:r>
        <w:t>future impact of new technologies on safety and security</w:t>
      </w:r>
      <w:r w:rsidR="00706DBE">
        <w:t>;</w:t>
      </w:r>
    </w:p>
    <w:p w:rsidR="006259CB" w:rsidRPr="00A066E8" w:rsidRDefault="006259CB" w:rsidP="00035673">
      <w:pPr>
        <w:pStyle w:val="ListParagraph"/>
        <w:numPr>
          <w:ilvl w:val="0"/>
          <w:numId w:val="17"/>
        </w:numPr>
        <w:spacing w:before="120" w:after="120" w:line="280" w:lineRule="atLeast"/>
        <w:ind w:left="714" w:hanging="357"/>
        <w:contextualSpacing w:val="0"/>
        <w:jc w:val="both"/>
      </w:pPr>
      <w:r w:rsidRPr="00A066E8">
        <w:t xml:space="preserve">Maintaining a high level of awareness and support for the safety and </w:t>
      </w:r>
      <w:r w:rsidR="00536188" w:rsidRPr="00A066E8">
        <w:t>security</w:t>
      </w:r>
      <w:r w:rsidR="00536188">
        <w:t xml:space="preserve"> </w:t>
      </w:r>
      <w:r w:rsidRPr="00A066E8">
        <w:t xml:space="preserve">of </w:t>
      </w:r>
      <w:r w:rsidR="00536188">
        <w:t xml:space="preserve">radioactive </w:t>
      </w:r>
      <w:r w:rsidRPr="00A066E8">
        <w:t xml:space="preserve">sources </w:t>
      </w:r>
      <w:r w:rsidR="00536188">
        <w:t>on the part of</w:t>
      </w:r>
      <w:r w:rsidR="00536188" w:rsidRPr="00A066E8">
        <w:t xml:space="preserve"> </w:t>
      </w:r>
      <w:r w:rsidRPr="00A066E8">
        <w:t>policymakers</w:t>
      </w:r>
      <w:r w:rsidR="003C1C0F" w:rsidRPr="00A066E8">
        <w:t xml:space="preserve"> and other stakeholders</w:t>
      </w:r>
      <w:r w:rsidR="00706DBE">
        <w:t>;</w:t>
      </w:r>
      <w:r w:rsidR="00536188">
        <w:t xml:space="preserve"> and</w:t>
      </w:r>
    </w:p>
    <w:p w:rsidR="0060528D" w:rsidRPr="00A066E8" w:rsidRDefault="00B02A4E" w:rsidP="00035673">
      <w:pPr>
        <w:pStyle w:val="ListParagraph"/>
        <w:numPr>
          <w:ilvl w:val="0"/>
          <w:numId w:val="17"/>
        </w:numPr>
        <w:spacing w:before="120" w:after="120" w:line="280" w:lineRule="atLeast"/>
        <w:ind w:left="714" w:hanging="357"/>
        <w:contextualSpacing w:val="0"/>
        <w:jc w:val="both"/>
      </w:pPr>
      <w:r w:rsidRPr="00A066E8">
        <w:t>Improving coordination of efforts to assist States to develop sustainable programmes for the safety and security of radioactive sources</w:t>
      </w:r>
      <w:r w:rsidR="00706DBE">
        <w:t>.</w:t>
      </w:r>
    </w:p>
    <w:p w:rsidR="00733D7D" w:rsidRDefault="00733D7D" w:rsidP="00733D7D">
      <w:pPr>
        <w:pStyle w:val="Heading1"/>
      </w:pPr>
      <w:r>
        <w:t>Topics</w:t>
      </w:r>
    </w:p>
    <w:p w:rsidR="00E02D1C" w:rsidRDefault="003C1C0F" w:rsidP="00413370">
      <w:pPr>
        <w:pStyle w:val="BodyText"/>
      </w:pPr>
      <w:r>
        <w:t>The conference will address the following topics</w:t>
      </w:r>
      <w:r w:rsidR="00733D7D">
        <w:t>:</w:t>
      </w:r>
    </w:p>
    <w:p w:rsidR="007C264E" w:rsidRPr="00E847BE" w:rsidRDefault="00536188" w:rsidP="00536188">
      <w:pPr>
        <w:pStyle w:val="BodyTextSummary"/>
        <w:numPr>
          <w:ilvl w:val="0"/>
          <w:numId w:val="23"/>
        </w:numPr>
      </w:pPr>
      <w:r>
        <w:t>Ten</w:t>
      </w:r>
      <w:r w:rsidRPr="00E847BE">
        <w:t xml:space="preserve"> </w:t>
      </w:r>
      <w:r>
        <w:t>y</w:t>
      </w:r>
      <w:r w:rsidR="007C264E" w:rsidRPr="00E847BE">
        <w:t xml:space="preserve">ears of implementation of the Code: </w:t>
      </w:r>
      <w:r w:rsidR="00513FBC" w:rsidRPr="00E847BE">
        <w:t>achievements</w:t>
      </w:r>
      <w:r w:rsidR="003C1C0F" w:rsidRPr="00E847BE">
        <w:t xml:space="preserve">, </w:t>
      </w:r>
      <w:r w:rsidR="007C264E" w:rsidRPr="00E847BE">
        <w:t>challenges</w:t>
      </w:r>
      <w:r w:rsidR="003C1C0F" w:rsidRPr="00E847BE">
        <w:t xml:space="preserve"> and lessons learned;</w:t>
      </w:r>
    </w:p>
    <w:p w:rsidR="00AD20E1" w:rsidRPr="00E847BE" w:rsidRDefault="00E55E98" w:rsidP="00E847BE">
      <w:pPr>
        <w:pStyle w:val="BodyTextSummary"/>
        <w:numPr>
          <w:ilvl w:val="0"/>
          <w:numId w:val="23"/>
        </w:numPr>
      </w:pPr>
      <w:r w:rsidRPr="00E847BE">
        <w:t xml:space="preserve">Institutional, legal and regulatory framework for </w:t>
      </w:r>
      <w:r w:rsidR="007C03DE" w:rsidRPr="00E847BE">
        <w:t xml:space="preserve">the </w:t>
      </w:r>
      <w:r w:rsidRPr="00E847BE">
        <w:t>safety and security of radioactive sources</w:t>
      </w:r>
      <w:r w:rsidR="00C74E2C" w:rsidRPr="00E847BE">
        <w:t>;</w:t>
      </w:r>
    </w:p>
    <w:p w:rsidR="00AD20E1" w:rsidRPr="00E847BE" w:rsidRDefault="003C1C0F" w:rsidP="00536188">
      <w:pPr>
        <w:pStyle w:val="BodyTextSummary"/>
        <w:numPr>
          <w:ilvl w:val="0"/>
          <w:numId w:val="23"/>
        </w:numPr>
      </w:pPr>
      <w:r w:rsidRPr="00E847BE">
        <w:t xml:space="preserve">Developing sustainable approaches </w:t>
      </w:r>
      <w:r w:rsidR="000B7506" w:rsidRPr="00E847BE">
        <w:t xml:space="preserve">to strengthen the safety and security of </w:t>
      </w:r>
      <w:r w:rsidR="00536188">
        <w:t xml:space="preserve">radioactive </w:t>
      </w:r>
      <w:r w:rsidR="000B7506" w:rsidRPr="00E847BE">
        <w:t>sources (national, bilateral and multinational endeavours)</w:t>
      </w:r>
      <w:r w:rsidRPr="00E847BE">
        <w:t xml:space="preserve"> in the light of successful initiatives</w:t>
      </w:r>
      <w:r w:rsidR="00C74E2C" w:rsidRPr="00E847BE">
        <w:t>;</w:t>
      </w:r>
    </w:p>
    <w:p w:rsidR="00AD20E1" w:rsidRPr="00E847BE" w:rsidRDefault="00863599" w:rsidP="00863599">
      <w:pPr>
        <w:pStyle w:val="BodyTextSummary"/>
        <w:numPr>
          <w:ilvl w:val="0"/>
          <w:numId w:val="23"/>
        </w:numPr>
      </w:pPr>
      <w:r>
        <w:t>Ways of controlling better the</w:t>
      </w:r>
      <w:r w:rsidR="003C1C0F" w:rsidRPr="00E847BE">
        <w:t xml:space="preserve"> movement of radioactive sources throughout the world, including i</w:t>
      </w:r>
      <w:r w:rsidR="00E55E98" w:rsidRPr="00E847BE">
        <w:t xml:space="preserve">mport and </w:t>
      </w:r>
      <w:r w:rsidR="003C1C0F" w:rsidRPr="00E847BE">
        <w:t>e</w:t>
      </w:r>
      <w:r w:rsidR="00E55E98" w:rsidRPr="00E847BE">
        <w:t>xport controls</w:t>
      </w:r>
      <w:r w:rsidR="00A66F92" w:rsidRPr="00E847BE">
        <w:t>,</w:t>
      </w:r>
      <w:r>
        <w:t xml:space="preserve"> and</w:t>
      </w:r>
      <w:r w:rsidR="00A66F92" w:rsidRPr="00E847BE">
        <w:t xml:space="preserve"> the return and repatriation of disused sources</w:t>
      </w:r>
      <w:r w:rsidR="00C74E2C" w:rsidRPr="00E847BE">
        <w:t>;</w:t>
      </w:r>
    </w:p>
    <w:p w:rsidR="007007E7" w:rsidRPr="00E847BE" w:rsidRDefault="007007E7" w:rsidP="00863599">
      <w:pPr>
        <w:pStyle w:val="BodyTextSummary"/>
        <w:numPr>
          <w:ilvl w:val="0"/>
          <w:numId w:val="23"/>
        </w:numPr>
      </w:pPr>
      <w:r w:rsidRPr="00E847BE">
        <w:lastRenderedPageBreak/>
        <w:t xml:space="preserve">Global </w:t>
      </w:r>
      <w:r w:rsidR="00863599">
        <w:t>i</w:t>
      </w:r>
      <w:r w:rsidRPr="00E847BE">
        <w:t xml:space="preserve">ndustry practices and trends </w:t>
      </w:r>
      <w:r w:rsidR="00863599">
        <w:t>with regard to</w:t>
      </w:r>
      <w:r w:rsidR="00863599" w:rsidRPr="00E847BE">
        <w:t xml:space="preserve"> </w:t>
      </w:r>
      <w:r w:rsidRPr="00E847BE">
        <w:t>the design, use, recycling and disposal of radioactive sources, the development of new and alternative technologies, and associated safety and security challenges;</w:t>
      </w:r>
    </w:p>
    <w:p w:rsidR="005F7A87" w:rsidRPr="00E847BE" w:rsidRDefault="00E55E98" w:rsidP="00863599">
      <w:pPr>
        <w:pStyle w:val="BodyTextSummary"/>
        <w:numPr>
          <w:ilvl w:val="0"/>
          <w:numId w:val="23"/>
        </w:numPr>
      </w:pPr>
      <w:r w:rsidRPr="00E847BE">
        <w:t xml:space="preserve">Long term </w:t>
      </w:r>
      <w:r w:rsidR="00644256" w:rsidRPr="00E847BE">
        <w:t xml:space="preserve">safe and secure </w:t>
      </w:r>
      <w:r w:rsidRPr="00E847BE">
        <w:t>management of</w:t>
      </w:r>
      <w:r w:rsidR="00A3028D" w:rsidRPr="00E847BE">
        <w:t xml:space="preserve">, and funding for, </w:t>
      </w:r>
      <w:r w:rsidRPr="00E847BE">
        <w:t>disused so</w:t>
      </w:r>
      <w:r w:rsidR="000B7506" w:rsidRPr="00E847BE">
        <w:t>urces, including legacy sources;</w:t>
      </w:r>
    </w:p>
    <w:p w:rsidR="00AD20E1" w:rsidRPr="00E847BE" w:rsidRDefault="00BC32E5" w:rsidP="00706DBE">
      <w:pPr>
        <w:pStyle w:val="BodyTextSummary"/>
        <w:numPr>
          <w:ilvl w:val="0"/>
          <w:numId w:val="23"/>
        </w:numPr>
      </w:pPr>
      <w:r w:rsidRPr="00E847BE">
        <w:t>Management of</w:t>
      </w:r>
      <w:r w:rsidR="000B59AF" w:rsidRPr="00E847BE">
        <w:t xml:space="preserve"> emergencies </w:t>
      </w:r>
      <w:r w:rsidRPr="00E847BE">
        <w:t>and</w:t>
      </w:r>
      <w:r w:rsidR="000B59AF" w:rsidRPr="00E847BE">
        <w:t xml:space="preserve"> safety</w:t>
      </w:r>
      <w:r w:rsidR="00863599">
        <w:t>-</w:t>
      </w:r>
      <w:r w:rsidR="000B59AF" w:rsidRPr="00E847BE">
        <w:t xml:space="preserve"> and security</w:t>
      </w:r>
      <w:r w:rsidR="00863599">
        <w:t>-relevant</w:t>
      </w:r>
      <w:r w:rsidR="000B59AF" w:rsidRPr="00E847BE">
        <w:t xml:space="preserve"> events involving radioactive sources</w:t>
      </w:r>
      <w:r w:rsidR="00C74E2C" w:rsidRPr="00E847BE">
        <w:t>;</w:t>
      </w:r>
    </w:p>
    <w:p w:rsidR="007007E7" w:rsidRPr="00E847BE" w:rsidRDefault="007007E7" w:rsidP="00863599">
      <w:pPr>
        <w:pStyle w:val="BodyTextSummary"/>
        <w:numPr>
          <w:ilvl w:val="0"/>
          <w:numId w:val="23"/>
        </w:numPr>
      </w:pPr>
      <w:r w:rsidRPr="00E847BE">
        <w:t xml:space="preserve">Integration of </w:t>
      </w:r>
      <w:r w:rsidR="00863599">
        <w:t>s</w:t>
      </w:r>
      <w:r w:rsidRPr="00E847BE">
        <w:t xml:space="preserve">afety and </w:t>
      </w:r>
      <w:r w:rsidR="00863599">
        <w:t>s</w:t>
      </w:r>
      <w:r w:rsidRPr="00E847BE">
        <w:t xml:space="preserve">ecurity for </w:t>
      </w:r>
      <w:r w:rsidR="00863599">
        <w:t xml:space="preserve">the </w:t>
      </w:r>
      <w:r w:rsidRPr="00E847BE">
        <w:t xml:space="preserve">effective control and protection of </w:t>
      </w:r>
      <w:r w:rsidR="00863599">
        <w:t xml:space="preserve">radioactive </w:t>
      </w:r>
      <w:r w:rsidRPr="00E847BE">
        <w:t>sources in different facilities and activities</w:t>
      </w:r>
      <w:r w:rsidR="00863599">
        <w:t>;</w:t>
      </w:r>
    </w:p>
    <w:p w:rsidR="00981B7E" w:rsidRPr="00863599" w:rsidRDefault="002911C8" w:rsidP="00035673">
      <w:pPr>
        <w:pStyle w:val="BodyTextSummary"/>
        <w:numPr>
          <w:ilvl w:val="0"/>
          <w:numId w:val="23"/>
        </w:numPr>
      </w:pPr>
      <w:r w:rsidRPr="00E847BE">
        <w:t xml:space="preserve">Strategies </w:t>
      </w:r>
      <w:r w:rsidR="00233022" w:rsidRPr="00E847BE">
        <w:t xml:space="preserve">and use of new </w:t>
      </w:r>
      <w:r w:rsidR="00336337" w:rsidRPr="00E847BE">
        <w:t xml:space="preserve">information </w:t>
      </w:r>
      <w:r w:rsidR="00233022" w:rsidRPr="00E847BE">
        <w:t xml:space="preserve">technologies </w:t>
      </w:r>
      <w:r w:rsidRPr="00E847BE">
        <w:t xml:space="preserve">for communicating </w:t>
      </w:r>
      <w:r w:rsidR="00863599">
        <w:t>with</w:t>
      </w:r>
      <w:r w:rsidR="00863599" w:rsidRPr="00E847BE">
        <w:t xml:space="preserve"> </w:t>
      </w:r>
      <w:r w:rsidRPr="00E847BE">
        <w:t xml:space="preserve">the general public </w:t>
      </w:r>
      <w:r w:rsidR="00863599">
        <w:t>on issues related to the</w:t>
      </w:r>
      <w:r w:rsidRPr="00E847BE">
        <w:t xml:space="preserve"> safety and security of radioactive sources</w:t>
      </w:r>
      <w:r w:rsidR="004F31E7">
        <w:t>.</w:t>
      </w:r>
    </w:p>
    <w:p w:rsidR="00A66F92" w:rsidRDefault="00A66F92" w:rsidP="00863599">
      <w:pPr>
        <w:pStyle w:val="Heading1"/>
      </w:pPr>
      <w:r>
        <w:t xml:space="preserve">National </w:t>
      </w:r>
      <w:r w:rsidR="00863599">
        <w:t>R</w:t>
      </w:r>
      <w:r>
        <w:t>eport</w:t>
      </w:r>
      <w:r w:rsidR="009F742A">
        <w:t>s</w:t>
      </w:r>
    </w:p>
    <w:p w:rsidR="00FE027D" w:rsidRDefault="00FE027D" w:rsidP="00863599">
      <w:pPr>
        <w:pStyle w:val="BodyTextSummary"/>
        <w:numPr>
          <w:ilvl w:val="0"/>
          <w:numId w:val="0"/>
        </w:numPr>
        <w:ind w:left="113"/>
      </w:pPr>
      <w:r>
        <w:t xml:space="preserve">In addition to </w:t>
      </w:r>
      <w:r w:rsidR="009F742A">
        <w:t xml:space="preserve">submitting papers on </w:t>
      </w:r>
      <w:r>
        <w:t xml:space="preserve">the topics listed </w:t>
      </w:r>
      <w:r w:rsidR="00D74ACB">
        <w:t>in Section C</w:t>
      </w:r>
      <w:r>
        <w:t xml:space="preserve">, </w:t>
      </w:r>
      <w:r w:rsidR="00863599">
        <w:t xml:space="preserve">participants from </w:t>
      </w:r>
      <w:r>
        <w:t xml:space="preserve">all States are encouraged to prepare a </w:t>
      </w:r>
      <w:r w:rsidR="009F742A">
        <w:t>national</w:t>
      </w:r>
      <w:r>
        <w:t xml:space="preserve"> report to share their experiences and lessons learned in implementing the Code and the Guidance.</w:t>
      </w:r>
    </w:p>
    <w:p w:rsidR="00FE027D" w:rsidRDefault="00FE027D" w:rsidP="0020661D">
      <w:pPr>
        <w:pStyle w:val="BodyTextSummary"/>
        <w:numPr>
          <w:ilvl w:val="0"/>
          <w:numId w:val="0"/>
        </w:numPr>
        <w:ind w:left="113"/>
      </w:pPr>
      <w:r>
        <w:t>T</w:t>
      </w:r>
      <w:r w:rsidR="00800EDA">
        <w:t xml:space="preserve">his conference will </w:t>
      </w:r>
      <w:r w:rsidR="0020661D">
        <w:t xml:space="preserve">in effect </w:t>
      </w:r>
      <w:r w:rsidR="00800EDA">
        <w:t xml:space="preserve">serve as </w:t>
      </w:r>
      <w:r w:rsidR="00282B87">
        <w:t xml:space="preserve">the </w:t>
      </w:r>
      <w:r w:rsidR="0020661D">
        <w:rPr>
          <w:iCs/>
        </w:rPr>
        <w:t>third</w:t>
      </w:r>
      <w:r w:rsidR="0020661D" w:rsidRPr="00035673">
        <w:rPr>
          <w:iCs/>
        </w:rPr>
        <w:t xml:space="preserve"> </w:t>
      </w:r>
      <w:r w:rsidR="0020661D">
        <w:rPr>
          <w:iCs/>
        </w:rPr>
        <w:t>o</w:t>
      </w:r>
      <w:r w:rsidR="00282B87" w:rsidRPr="00035673">
        <w:rPr>
          <w:iCs/>
        </w:rPr>
        <w:t xml:space="preserve">pen-ended </w:t>
      </w:r>
      <w:r w:rsidR="0020661D">
        <w:rPr>
          <w:iCs/>
        </w:rPr>
        <w:t>m</w:t>
      </w:r>
      <w:r w:rsidR="00282B87" w:rsidRPr="00035673">
        <w:rPr>
          <w:iCs/>
        </w:rPr>
        <w:t xml:space="preserve">eeting of </w:t>
      </w:r>
      <w:r w:rsidR="0020661D">
        <w:rPr>
          <w:iCs/>
        </w:rPr>
        <w:t>t</w:t>
      </w:r>
      <w:r w:rsidR="00282B87" w:rsidRPr="00035673">
        <w:rPr>
          <w:iCs/>
        </w:rPr>
        <w:t xml:space="preserve">echnical and </w:t>
      </w:r>
      <w:r w:rsidR="0020661D">
        <w:rPr>
          <w:iCs/>
        </w:rPr>
        <w:t>l</w:t>
      </w:r>
      <w:r w:rsidR="00282B87" w:rsidRPr="00035673">
        <w:rPr>
          <w:iCs/>
        </w:rPr>
        <w:t xml:space="preserve">egal </w:t>
      </w:r>
      <w:r w:rsidR="0020661D">
        <w:rPr>
          <w:iCs/>
        </w:rPr>
        <w:t>e</w:t>
      </w:r>
      <w:r w:rsidR="00282B87" w:rsidRPr="00035673">
        <w:rPr>
          <w:iCs/>
        </w:rPr>
        <w:t xml:space="preserve">xperts </w:t>
      </w:r>
      <w:r w:rsidR="0020661D">
        <w:rPr>
          <w:iCs/>
        </w:rPr>
        <w:t>to s</w:t>
      </w:r>
      <w:r w:rsidR="00282B87" w:rsidRPr="00035673">
        <w:rPr>
          <w:iCs/>
        </w:rPr>
        <w:t>har</w:t>
      </w:r>
      <w:r w:rsidR="0020661D">
        <w:rPr>
          <w:iCs/>
        </w:rPr>
        <w:t>e</w:t>
      </w:r>
      <w:r w:rsidR="00282B87" w:rsidRPr="00035673">
        <w:rPr>
          <w:iCs/>
        </w:rPr>
        <w:t xml:space="preserve"> </w:t>
      </w:r>
      <w:r w:rsidR="0020661D">
        <w:rPr>
          <w:iCs/>
        </w:rPr>
        <w:t>i</w:t>
      </w:r>
      <w:r w:rsidR="00282B87" w:rsidRPr="00035673">
        <w:rPr>
          <w:iCs/>
        </w:rPr>
        <w:t xml:space="preserve">nformation on States’ </w:t>
      </w:r>
      <w:r w:rsidR="0020661D">
        <w:rPr>
          <w:iCs/>
        </w:rPr>
        <w:t>i</w:t>
      </w:r>
      <w:r w:rsidR="00282B87" w:rsidRPr="00035673">
        <w:rPr>
          <w:iCs/>
        </w:rPr>
        <w:t xml:space="preserve">mplementation of the Code </w:t>
      </w:r>
      <w:r w:rsidR="0020661D">
        <w:rPr>
          <w:iCs/>
        </w:rPr>
        <w:t>and</w:t>
      </w:r>
      <w:r w:rsidR="00282B87" w:rsidRPr="00035673">
        <w:rPr>
          <w:iCs/>
        </w:rPr>
        <w:t xml:space="preserve"> its </w:t>
      </w:r>
      <w:r w:rsidR="0020661D">
        <w:rPr>
          <w:iCs/>
        </w:rPr>
        <w:t>s</w:t>
      </w:r>
      <w:r w:rsidR="00282B87" w:rsidRPr="00035673">
        <w:rPr>
          <w:iCs/>
        </w:rPr>
        <w:t>upplementary Guidance</w:t>
      </w:r>
      <w:r w:rsidR="0020661D">
        <w:rPr>
          <w:iCs/>
        </w:rPr>
        <w:t>.</w:t>
      </w:r>
      <w:r w:rsidR="00282B87">
        <w:t xml:space="preserve"> </w:t>
      </w:r>
      <w:r w:rsidR="0020661D">
        <w:t xml:space="preserve">The </w:t>
      </w:r>
      <w:r w:rsidR="004F662F">
        <w:t xml:space="preserve">previous </w:t>
      </w:r>
      <w:r w:rsidR="0020661D">
        <w:t xml:space="preserve">open-ended meetings </w:t>
      </w:r>
      <w:r w:rsidR="004F662F">
        <w:t>took place in 2007 and 2010</w:t>
      </w:r>
      <w:r w:rsidR="0020661D">
        <w:t xml:space="preserve"> in accordance</w:t>
      </w:r>
      <w:r w:rsidR="00282B87">
        <w:t xml:space="preserve"> </w:t>
      </w:r>
      <w:r w:rsidR="0020661D">
        <w:t xml:space="preserve">with </w:t>
      </w:r>
      <w:r w:rsidR="00282B87">
        <w:t>the formalized process established in 2006</w:t>
      </w:r>
      <w:r w:rsidR="0020661D">
        <w:t>.</w:t>
      </w:r>
      <w:r w:rsidR="0087580D">
        <w:rPr>
          <w:rStyle w:val="FootnoteReference"/>
        </w:rPr>
        <w:footnoteReference w:id="4"/>
      </w:r>
    </w:p>
    <w:p w:rsidR="00AE3986" w:rsidRPr="0020661D" w:rsidRDefault="0020661D" w:rsidP="0020661D">
      <w:pPr>
        <w:pStyle w:val="BodyTextSummary"/>
        <w:numPr>
          <w:ilvl w:val="0"/>
          <w:numId w:val="0"/>
        </w:numPr>
        <w:ind w:left="113"/>
      </w:pPr>
      <w:r w:rsidRPr="0020661D">
        <w:t xml:space="preserve">Participants </w:t>
      </w:r>
      <w:r w:rsidR="00282B87" w:rsidRPr="0020661D">
        <w:t xml:space="preserve">may choose to discuss any relevant issues in their </w:t>
      </w:r>
      <w:r w:rsidR="0087580D" w:rsidRPr="0020661D">
        <w:t>national report</w:t>
      </w:r>
      <w:r w:rsidR="00282B87" w:rsidRPr="0020661D">
        <w:t>, including</w:t>
      </w:r>
      <w:r w:rsidR="00513FBC" w:rsidRPr="0020661D">
        <w:t>,</w:t>
      </w:r>
      <w:r w:rsidR="00282B87" w:rsidRPr="0020661D">
        <w:t xml:space="preserve"> but not limited to</w:t>
      </w:r>
      <w:r w:rsidR="00513FBC" w:rsidRPr="0020661D">
        <w:t>,</w:t>
      </w:r>
      <w:r w:rsidR="00282B87" w:rsidRPr="0020661D">
        <w:t xml:space="preserve"> the topics </w:t>
      </w:r>
      <w:r w:rsidR="008126AB" w:rsidRPr="00035673">
        <w:t>listed</w:t>
      </w:r>
      <w:r w:rsidR="00AE3986" w:rsidRPr="00035673">
        <w:t xml:space="preserve"> below:</w:t>
      </w:r>
    </w:p>
    <w:p w:rsidR="00AE3986" w:rsidRPr="0087580D" w:rsidRDefault="00AE3986" w:rsidP="0020661D">
      <w:pPr>
        <w:pStyle w:val="BodyText"/>
        <w:spacing w:before="120" w:after="120"/>
        <w:ind w:left="142" w:right="-143"/>
        <w:rPr>
          <w:szCs w:val="22"/>
        </w:rPr>
      </w:pPr>
      <w:r w:rsidRPr="0087580D">
        <w:rPr>
          <w:szCs w:val="22"/>
        </w:rPr>
        <w:t>a)</w:t>
      </w:r>
      <w:r w:rsidRPr="0087580D">
        <w:rPr>
          <w:szCs w:val="22"/>
        </w:rPr>
        <w:tab/>
        <w:t>The infrastructure for regulatory control of safety and security of radioactive sources (paragraphs 8, 18</w:t>
      </w:r>
      <w:r w:rsidR="0020661D">
        <w:rPr>
          <w:szCs w:val="22"/>
        </w:rPr>
        <w:t>–</w:t>
      </w:r>
      <w:r w:rsidRPr="0087580D">
        <w:rPr>
          <w:szCs w:val="22"/>
        </w:rPr>
        <w:t>22 of the Code)</w:t>
      </w:r>
      <w:r w:rsidR="0087580D">
        <w:rPr>
          <w:szCs w:val="22"/>
        </w:rPr>
        <w:t>;</w:t>
      </w:r>
    </w:p>
    <w:p w:rsidR="00AE3986" w:rsidRPr="0087580D" w:rsidRDefault="00AE3986" w:rsidP="0087580D">
      <w:pPr>
        <w:pStyle w:val="BodyText"/>
        <w:spacing w:before="120" w:after="120"/>
        <w:ind w:left="142" w:right="-143"/>
        <w:rPr>
          <w:szCs w:val="22"/>
        </w:rPr>
      </w:pPr>
      <w:r w:rsidRPr="0087580D">
        <w:rPr>
          <w:szCs w:val="22"/>
        </w:rPr>
        <w:t>b)</w:t>
      </w:r>
      <w:r w:rsidRPr="0087580D">
        <w:rPr>
          <w:szCs w:val="22"/>
        </w:rPr>
        <w:tab/>
        <w:t>The facilities and services available to the persons authorized to manage radioactive sources (paragraph 9 of the Code)</w:t>
      </w:r>
      <w:r w:rsidR="0087580D">
        <w:rPr>
          <w:szCs w:val="22"/>
        </w:rPr>
        <w:t>;</w:t>
      </w:r>
    </w:p>
    <w:p w:rsidR="00AE3986" w:rsidRPr="0087580D" w:rsidRDefault="00AE3986" w:rsidP="0087580D">
      <w:pPr>
        <w:pStyle w:val="BodyText"/>
        <w:spacing w:before="120" w:after="120"/>
        <w:ind w:left="142" w:right="-143"/>
        <w:rPr>
          <w:szCs w:val="22"/>
        </w:rPr>
      </w:pPr>
      <w:r w:rsidRPr="0087580D">
        <w:rPr>
          <w:szCs w:val="22"/>
        </w:rPr>
        <w:t>c)</w:t>
      </w:r>
      <w:r w:rsidRPr="0087580D">
        <w:rPr>
          <w:szCs w:val="22"/>
        </w:rPr>
        <w:tab/>
        <w:t>Training of staff in the regulatory body, law enforcement agencies and emergency service organizations (paragraph 10</w:t>
      </w:r>
      <w:r w:rsidR="0087580D">
        <w:rPr>
          <w:szCs w:val="22"/>
        </w:rPr>
        <w:t xml:space="preserve"> </w:t>
      </w:r>
      <w:r w:rsidR="0087580D" w:rsidRPr="006A2992">
        <w:rPr>
          <w:szCs w:val="22"/>
        </w:rPr>
        <w:t>of the Code</w:t>
      </w:r>
      <w:r w:rsidRPr="0087580D">
        <w:rPr>
          <w:szCs w:val="22"/>
        </w:rPr>
        <w:t>)</w:t>
      </w:r>
      <w:r w:rsidR="0087580D">
        <w:rPr>
          <w:szCs w:val="22"/>
        </w:rPr>
        <w:t>;</w:t>
      </w:r>
    </w:p>
    <w:p w:rsidR="00AE3986" w:rsidRPr="0087580D" w:rsidRDefault="00AE3986" w:rsidP="0087580D">
      <w:pPr>
        <w:pStyle w:val="BodyText"/>
        <w:spacing w:before="120" w:after="120"/>
        <w:ind w:left="142" w:right="-143"/>
        <w:rPr>
          <w:szCs w:val="22"/>
        </w:rPr>
      </w:pPr>
      <w:r w:rsidRPr="0087580D">
        <w:rPr>
          <w:szCs w:val="22"/>
        </w:rPr>
        <w:t>d)</w:t>
      </w:r>
      <w:r w:rsidRPr="0087580D">
        <w:rPr>
          <w:szCs w:val="22"/>
        </w:rPr>
        <w:tab/>
        <w:t>Experience in establishing a national register of radioactive sources (paragraph 11</w:t>
      </w:r>
      <w:r w:rsidR="0087580D">
        <w:rPr>
          <w:szCs w:val="22"/>
        </w:rPr>
        <w:t xml:space="preserve"> </w:t>
      </w:r>
      <w:r w:rsidR="0087580D" w:rsidRPr="006A2992">
        <w:rPr>
          <w:szCs w:val="22"/>
        </w:rPr>
        <w:t>of the Code</w:t>
      </w:r>
      <w:r w:rsidRPr="0087580D">
        <w:rPr>
          <w:szCs w:val="22"/>
        </w:rPr>
        <w:t>)</w:t>
      </w:r>
      <w:r w:rsidR="0087580D">
        <w:rPr>
          <w:szCs w:val="22"/>
        </w:rPr>
        <w:t>;</w:t>
      </w:r>
    </w:p>
    <w:p w:rsidR="00AE3986" w:rsidRPr="0087580D" w:rsidRDefault="00AE3986" w:rsidP="00443443">
      <w:pPr>
        <w:pStyle w:val="BodyText"/>
        <w:spacing w:before="120" w:after="120"/>
        <w:ind w:left="142" w:right="-143"/>
        <w:rPr>
          <w:szCs w:val="22"/>
        </w:rPr>
      </w:pPr>
      <w:r w:rsidRPr="0087580D">
        <w:rPr>
          <w:szCs w:val="22"/>
        </w:rPr>
        <w:t>e)</w:t>
      </w:r>
      <w:r w:rsidRPr="0087580D">
        <w:rPr>
          <w:szCs w:val="22"/>
        </w:rPr>
        <w:tab/>
        <w:t xml:space="preserve">National strategies for gaining or regaining control over orphan sources, including arrangements for reporting loss of control </w:t>
      </w:r>
      <w:r w:rsidR="0020661D">
        <w:rPr>
          <w:szCs w:val="22"/>
        </w:rPr>
        <w:t xml:space="preserve">over radioactive sources </w:t>
      </w:r>
      <w:r w:rsidRPr="0087580D">
        <w:rPr>
          <w:szCs w:val="22"/>
        </w:rPr>
        <w:t xml:space="preserve">and </w:t>
      </w:r>
      <w:r w:rsidR="0020661D">
        <w:rPr>
          <w:szCs w:val="22"/>
        </w:rPr>
        <w:t>for</w:t>
      </w:r>
      <w:r w:rsidR="0020661D" w:rsidRPr="0087580D">
        <w:rPr>
          <w:szCs w:val="22"/>
        </w:rPr>
        <w:t xml:space="preserve"> </w:t>
      </w:r>
      <w:r w:rsidR="00443443">
        <w:rPr>
          <w:szCs w:val="22"/>
        </w:rPr>
        <w:t>monitoring</w:t>
      </w:r>
      <w:r w:rsidRPr="0087580D">
        <w:rPr>
          <w:szCs w:val="22"/>
        </w:rPr>
        <w:t xml:space="preserve"> orphan sources (paragraphs 8(b), 12 and 13</w:t>
      </w:r>
      <w:r w:rsidR="0087580D">
        <w:rPr>
          <w:szCs w:val="22"/>
        </w:rPr>
        <w:t xml:space="preserve"> </w:t>
      </w:r>
      <w:r w:rsidR="0087580D" w:rsidRPr="006A2992">
        <w:rPr>
          <w:szCs w:val="22"/>
        </w:rPr>
        <w:t>of the Code</w:t>
      </w:r>
      <w:r w:rsidRPr="0087580D">
        <w:rPr>
          <w:szCs w:val="22"/>
        </w:rPr>
        <w:t>)</w:t>
      </w:r>
      <w:r w:rsidR="0087580D">
        <w:rPr>
          <w:szCs w:val="22"/>
        </w:rPr>
        <w:t>;</w:t>
      </w:r>
    </w:p>
    <w:p w:rsidR="00AE3986" w:rsidRPr="0087580D" w:rsidRDefault="00AE3986" w:rsidP="0087580D">
      <w:pPr>
        <w:pStyle w:val="BodyText"/>
        <w:spacing w:before="120" w:after="120"/>
        <w:ind w:left="142" w:right="-143"/>
        <w:rPr>
          <w:szCs w:val="22"/>
        </w:rPr>
      </w:pPr>
      <w:r w:rsidRPr="0087580D">
        <w:rPr>
          <w:szCs w:val="22"/>
        </w:rPr>
        <w:t>f)</w:t>
      </w:r>
      <w:r w:rsidRPr="0087580D">
        <w:rPr>
          <w:szCs w:val="22"/>
        </w:rPr>
        <w:tab/>
        <w:t>Approaches to managing sources at the end of their life cycles (paragraphs 14 and 15</w:t>
      </w:r>
      <w:r w:rsidR="0087580D">
        <w:rPr>
          <w:szCs w:val="22"/>
        </w:rPr>
        <w:t xml:space="preserve"> </w:t>
      </w:r>
      <w:r w:rsidR="0087580D" w:rsidRPr="006A2992">
        <w:rPr>
          <w:szCs w:val="22"/>
        </w:rPr>
        <w:t>of the Code</w:t>
      </w:r>
      <w:r w:rsidRPr="0087580D">
        <w:rPr>
          <w:szCs w:val="22"/>
        </w:rPr>
        <w:t>)</w:t>
      </w:r>
      <w:r w:rsidR="0087580D">
        <w:rPr>
          <w:szCs w:val="22"/>
        </w:rPr>
        <w:t>;</w:t>
      </w:r>
    </w:p>
    <w:p w:rsidR="00AE3986" w:rsidRPr="0087580D" w:rsidRDefault="00AE3986" w:rsidP="00443443">
      <w:pPr>
        <w:pStyle w:val="BodyText"/>
        <w:spacing w:before="120" w:after="120"/>
        <w:ind w:left="142" w:right="-143"/>
        <w:rPr>
          <w:szCs w:val="22"/>
        </w:rPr>
      </w:pPr>
      <w:r w:rsidRPr="0087580D">
        <w:rPr>
          <w:szCs w:val="22"/>
        </w:rPr>
        <w:lastRenderedPageBreak/>
        <w:t>g)</w:t>
      </w:r>
      <w:r w:rsidRPr="0087580D">
        <w:rPr>
          <w:szCs w:val="22"/>
        </w:rPr>
        <w:tab/>
        <w:t>Experience with arrangements for implementing the import and export provisions of the Code (paragraphs 23</w:t>
      </w:r>
      <w:r w:rsidR="00443443">
        <w:rPr>
          <w:szCs w:val="22"/>
        </w:rPr>
        <w:t>–</w:t>
      </w:r>
      <w:r w:rsidRPr="0087580D">
        <w:rPr>
          <w:szCs w:val="22"/>
        </w:rPr>
        <w:t>29</w:t>
      </w:r>
      <w:r w:rsidR="0087580D">
        <w:rPr>
          <w:szCs w:val="22"/>
        </w:rPr>
        <w:t xml:space="preserve"> </w:t>
      </w:r>
      <w:r w:rsidR="0087580D" w:rsidRPr="006A2992">
        <w:rPr>
          <w:szCs w:val="22"/>
        </w:rPr>
        <w:t>of the Code</w:t>
      </w:r>
      <w:r w:rsidRPr="0087580D">
        <w:rPr>
          <w:szCs w:val="22"/>
        </w:rPr>
        <w:t xml:space="preserve">) and </w:t>
      </w:r>
      <w:r w:rsidR="00443443">
        <w:rPr>
          <w:szCs w:val="22"/>
        </w:rPr>
        <w:t>its supplementary</w:t>
      </w:r>
      <w:r w:rsidR="00443443" w:rsidRPr="0087580D">
        <w:rPr>
          <w:szCs w:val="22"/>
        </w:rPr>
        <w:t xml:space="preserve"> </w:t>
      </w:r>
      <w:r w:rsidRPr="0087580D">
        <w:rPr>
          <w:szCs w:val="22"/>
        </w:rPr>
        <w:t>Guidance</w:t>
      </w:r>
      <w:r w:rsidR="0087580D">
        <w:rPr>
          <w:szCs w:val="22"/>
        </w:rPr>
        <w:t>;</w:t>
      </w:r>
    </w:p>
    <w:p w:rsidR="00AE3986" w:rsidRPr="0087580D" w:rsidRDefault="00AE3986" w:rsidP="00443443">
      <w:pPr>
        <w:pStyle w:val="BodyText"/>
        <w:spacing w:before="120" w:after="120"/>
        <w:ind w:left="142" w:right="-143"/>
        <w:rPr>
          <w:szCs w:val="22"/>
        </w:rPr>
      </w:pPr>
      <w:r w:rsidRPr="0087580D">
        <w:rPr>
          <w:szCs w:val="22"/>
        </w:rPr>
        <w:t>h)</w:t>
      </w:r>
      <w:r w:rsidRPr="0087580D">
        <w:rPr>
          <w:szCs w:val="22"/>
        </w:rPr>
        <w:tab/>
        <w:t xml:space="preserve">Any other issues relevant to the implementation of the Code and the Guidance, with </w:t>
      </w:r>
      <w:r w:rsidR="00443443">
        <w:rPr>
          <w:szCs w:val="22"/>
        </w:rPr>
        <w:t xml:space="preserve">a </w:t>
      </w:r>
      <w:r w:rsidRPr="0087580D">
        <w:rPr>
          <w:szCs w:val="22"/>
        </w:rPr>
        <w:t>special emphasis on the progress made and challenge</w:t>
      </w:r>
      <w:r w:rsidR="00443443">
        <w:rPr>
          <w:szCs w:val="22"/>
        </w:rPr>
        <w:t>s</w:t>
      </w:r>
      <w:r w:rsidRPr="0087580D">
        <w:rPr>
          <w:szCs w:val="22"/>
        </w:rPr>
        <w:t xml:space="preserve"> met over the last three years.</w:t>
      </w:r>
    </w:p>
    <w:p w:rsidR="00AE3986" w:rsidRPr="00CF579D" w:rsidRDefault="00AE3986" w:rsidP="0087580D">
      <w:pPr>
        <w:pStyle w:val="BodyTextSummary"/>
        <w:numPr>
          <w:ilvl w:val="0"/>
          <w:numId w:val="0"/>
        </w:numPr>
        <w:ind w:left="142"/>
      </w:pPr>
    </w:p>
    <w:p w:rsidR="00282B87" w:rsidRDefault="00282B87" w:rsidP="00443443">
      <w:pPr>
        <w:pStyle w:val="BodyTextSummary"/>
        <w:numPr>
          <w:ilvl w:val="0"/>
          <w:numId w:val="0"/>
        </w:numPr>
        <w:ind w:left="113"/>
      </w:pPr>
      <w:r>
        <w:t xml:space="preserve">The </w:t>
      </w:r>
      <w:r w:rsidR="0087580D">
        <w:t xml:space="preserve">national </w:t>
      </w:r>
      <w:r w:rsidR="007160D1">
        <w:t>report</w:t>
      </w:r>
      <w:r>
        <w:t xml:space="preserve"> may briefly </w:t>
      </w:r>
      <w:r w:rsidR="00C5623A">
        <w:t>describe</w:t>
      </w:r>
      <w:r>
        <w:t xml:space="preserve"> the current </w:t>
      </w:r>
      <w:r w:rsidR="00541266">
        <w:t xml:space="preserve">status </w:t>
      </w:r>
      <w:r>
        <w:t xml:space="preserve">in the country with regard to the aforementioned topics. </w:t>
      </w:r>
      <w:r w:rsidR="007160D1">
        <w:t>It</w:t>
      </w:r>
      <w:r>
        <w:t xml:space="preserve"> may also comment on achievements and success stories, on difficulties encountered and lessons learned over the last three years and/or on areas where improvements </w:t>
      </w:r>
      <w:r w:rsidR="006C308B">
        <w:t xml:space="preserve">are </w:t>
      </w:r>
      <w:r>
        <w:t>still needed, and set out the future strategies for addressing these matters.</w:t>
      </w:r>
      <w:r w:rsidR="006C308B">
        <w:t xml:space="preserve"> </w:t>
      </w:r>
      <w:r w:rsidR="0087580D">
        <w:t xml:space="preserve">National </w:t>
      </w:r>
      <w:r w:rsidR="007160D1">
        <w:t>report</w:t>
      </w:r>
      <w:r w:rsidR="00D74ACB">
        <w:t>s</w:t>
      </w:r>
      <w:r>
        <w:t xml:space="preserve"> should be brief </w:t>
      </w:r>
      <w:r w:rsidR="00443443">
        <w:t xml:space="preserve">— </w:t>
      </w:r>
      <w:r>
        <w:t>no</w:t>
      </w:r>
      <w:r w:rsidR="00D74ACB">
        <w:t>t</w:t>
      </w:r>
      <w:r>
        <w:t xml:space="preserve"> more than ten pages in length. </w:t>
      </w:r>
      <w:r w:rsidR="00443443">
        <w:t xml:space="preserve">They </w:t>
      </w:r>
      <w:r>
        <w:t>should contain a one-page executive summary</w:t>
      </w:r>
      <w:r w:rsidR="00443443">
        <w:t xml:space="preserve"> and are to </w:t>
      </w:r>
      <w:r w:rsidR="007160D1">
        <w:t xml:space="preserve">be </w:t>
      </w:r>
      <w:r w:rsidR="00443443">
        <w:t xml:space="preserve">submitted </w:t>
      </w:r>
      <w:r w:rsidR="007160D1">
        <w:t xml:space="preserve">to the Secretariat </w:t>
      </w:r>
      <w:r w:rsidR="00233022">
        <w:t xml:space="preserve">by </w:t>
      </w:r>
      <w:r w:rsidR="00BD36F9">
        <w:rPr>
          <w:b/>
        </w:rPr>
        <w:t>14</w:t>
      </w:r>
      <w:r w:rsidR="00233022" w:rsidRPr="0087580D">
        <w:rPr>
          <w:b/>
        </w:rPr>
        <w:t xml:space="preserve"> </w:t>
      </w:r>
      <w:r w:rsidR="00B3380B" w:rsidRPr="0087580D">
        <w:rPr>
          <w:b/>
        </w:rPr>
        <w:t>July</w:t>
      </w:r>
      <w:r w:rsidR="00233022" w:rsidRPr="0087580D">
        <w:rPr>
          <w:b/>
        </w:rPr>
        <w:t xml:space="preserve"> 2013</w:t>
      </w:r>
      <w:r w:rsidR="007160D1">
        <w:t xml:space="preserve">. </w:t>
      </w:r>
      <w:r w:rsidR="0087580D">
        <w:t xml:space="preserve">National </w:t>
      </w:r>
      <w:r w:rsidR="007160D1">
        <w:t>report</w:t>
      </w:r>
      <w:r w:rsidR="00D74ACB">
        <w:t>s</w:t>
      </w:r>
      <w:r w:rsidR="007160D1">
        <w:t xml:space="preserve"> </w:t>
      </w:r>
      <w:r w:rsidR="00D74ACB">
        <w:t>are not</w:t>
      </w:r>
      <w:r w:rsidR="007160D1">
        <w:t xml:space="preserve"> subject to </w:t>
      </w:r>
      <w:r w:rsidR="00D74ACB">
        <w:t>a</w:t>
      </w:r>
      <w:r w:rsidR="007160D1">
        <w:t xml:space="preserve"> selection process</w:t>
      </w:r>
      <w:r w:rsidR="00443443">
        <w:t>:</w:t>
      </w:r>
      <w:r w:rsidR="007160D1">
        <w:t xml:space="preserve"> they will all be </w:t>
      </w:r>
      <w:r w:rsidR="007160D1" w:rsidRPr="000D7F21">
        <w:t xml:space="preserve">reproduced in unedited form </w:t>
      </w:r>
      <w:r w:rsidR="007160D1">
        <w:t>and</w:t>
      </w:r>
      <w:r w:rsidR="007160D1" w:rsidRPr="000D7F21">
        <w:t xml:space="preserve"> will be distributed </w:t>
      </w:r>
      <w:r w:rsidR="007160D1">
        <w:t xml:space="preserve">to all participants </w:t>
      </w:r>
      <w:r w:rsidR="007160D1" w:rsidRPr="000D7F21">
        <w:t>at registration.</w:t>
      </w:r>
      <w:r w:rsidR="00233022">
        <w:t xml:space="preserve"> </w:t>
      </w:r>
      <w:r w:rsidR="0087580D">
        <w:t xml:space="preserve">National </w:t>
      </w:r>
      <w:r w:rsidR="00233022">
        <w:t>reports will not be selected for oral presentation, but an overview will be presented at the conference</w:t>
      </w:r>
      <w:r w:rsidR="00FE027D">
        <w:t>.</w:t>
      </w:r>
    </w:p>
    <w:p w:rsidR="00733D7D" w:rsidRDefault="00733D7D" w:rsidP="00B37631">
      <w:pPr>
        <w:pStyle w:val="Heading1"/>
      </w:pPr>
      <w:r>
        <w:t>Programme Structure</w:t>
      </w:r>
    </w:p>
    <w:p w:rsidR="00733D7D" w:rsidRDefault="00FA50BC" w:rsidP="00B37631">
      <w:pPr>
        <w:pStyle w:val="BodyText"/>
        <w:widowControl w:val="0"/>
      </w:pPr>
      <w:r>
        <w:t xml:space="preserve">The </w:t>
      </w:r>
      <w:r>
        <w:rPr>
          <w:b/>
        </w:rPr>
        <w:t>o</w:t>
      </w:r>
      <w:r w:rsidR="00611C65" w:rsidRPr="00611C65">
        <w:rPr>
          <w:b/>
        </w:rPr>
        <w:t>pening session</w:t>
      </w:r>
      <w:r w:rsidR="00A067F7">
        <w:rPr>
          <w:b/>
        </w:rPr>
        <w:t xml:space="preserve"> </w:t>
      </w:r>
      <w:r w:rsidR="00A067F7" w:rsidRPr="00A067F7">
        <w:t xml:space="preserve">will </w:t>
      </w:r>
      <w:r w:rsidR="00CE03E2">
        <w:t xml:space="preserve">include </w:t>
      </w:r>
      <w:r w:rsidR="00E75F65">
        <w:t>w</w:t>
      </w:r>
      <w:r w:rsidR="00A067F7">
        <w:t>elcome</w:t>
      </w:r>
      <w:r w:rsidR="00EF2D39">
        <w:t xml:space="preserve"> </w:t>
      </w:r>
      <w:r w:rsidR="00A067F7">
        <w:t>address</w:t>
      </w:r>
      <w:r w:rsidR="00CE03E2">
        <w:t>es</w:t>
      </w:r>
      <w:r w:rsidR="00A067F7">
        <w:t xml:space="preserve"> </w:t>
      </w:r>
      <w:r w:rsidR="00EF2D39">
        <w:t xml:space="preserve">by </w:t>
      </w:r>
      <w:r w:rsidR="00E114E5">
        <w:t>representative</w:t>
      </w:r>
      <w:r w:rsidR="001E6E10">
        <w:t>s</w:t>
      </w:r>
      <w:r w:rsidR="00E114E5">
        <w:t xml:space="preserve"> of </w:t>
      </w:r>
      <w:r w:rsidR="00A067F7">
        <w:t>the</w:t>
      </w:r>
      <w:r>
        <w:t xml:space="preserve"> </w:t>
      </w:r>
      <w:r w:rsidR="00EF2D39">
        <w:t>H</w:t>
      </w:r>
      <w:r>
        <w:t xml:space="preserve">ost </w:t>
      </w:r>
      <w:r w:rsidR="00EF2D39">
        <w:t>G</w:t>
      </w:r>
      <w:r>
        <w:t xml:space="preserve">overnment </w:t>
      </w:r>
      <w:r w:rsidR="00CE03E2">
        <w:t xml:space="preserve">and </w:t>
      </w:r>
      <w:r w:rsidR="00E114E5">
        <w:t xml:space="preserve">the </w:t>
      </w:r>
      <w:r>
        <w:t>IAEA</w:t>
      </w:r>
      <w:r w:rsidR="00443443">
        <w:t>,</w:t>
      </w:r>
      <w:r w:rsidR="001E6E10">
        <w:t xml:space="preserve"> as well as</w:t>
      </w:r>
      <w:r>
        <w:t xml:space="preserve"> </w:t>
      </w:r>
      <w:r w:rsidR="00443443">
        <w:t xml:space="preserve">of </w:t>
      </w:r>
      <w:r w:rsidR="000206CC">
        <w:t>some</w:t>
      </w:r>
      <w:r w:rsidR="006C308B">
        <w:t xml:space="preserve"> </w:t>
      </w:r>
      <w:r w:rsidR="0008256A">
        <w:t xml:space="preserve">cooperating </w:t>
      </w:r>
      <w:r w:rsidR="00AE3986">
        <w:t>organizations</w:t>
      </w:r>
      <w:r>
        <w:t xml:space="preserve">. This </w:t>
      </w:r>
      <w:r w:rsidR="00E114E5">
        <w:t xml:space="preserve">session </w:t>
      </w:r>
      <w:r>
        <w:t xml:space="preserve">will be </w:t>
      </w:r>
      <w:r w:rsidR="00DA1E98">
        <w:t xml:space="preserve">further complemented by </w:t>
      </w:r>
      <w:r w:rsidR="00E114E5">
        <w:t>a</w:t>
      </w:r>
      <w:r>
        <w:t xml:space="preserve"> k</w:t>
      </w:r>
      <w:r w:rsidR="00F34A29">
        <w:t>eynote presentation</w:t>
      </w:r>
      <w:r w:rsidR="006C308B">
        <w:t>.</w:t>
      </w:r>
    </w:p>
    <w:p w:rsidR="00611C65" w:rsidRDefault="00DA6168" w:rsidP="00443443">
      <w:pPr>
        <w:pStyle w:val="BodyText"/>
      </w:pPr>
      <w:r>
        <w:t>The opening session will be followed by a</w:t>
      </w:r>
      <w:r w:rsidR="00E114E5">
        <w:t xml:space="preserve"> </w:t>
      </w:r>
      <w:r w:rsidR="00E114E5" w:rsidRPr="0087580D">
        <w:t>series of</w:t>
      </w:r>
      <w:r w:rsidR="00FA50BC" w:rsidRPr="0087580D">
        <w:t xml:space="preserve"> </w:t>
      </w:r>
      <w:r w:rsidR="00611C65" w:rsidRPr="0087580D">
        <w:t>session</w:t>
      </w:r>
      <w:r w:rsidR="00FA50BC" w:rsidRPr="0087580D">
        <w:t>s</w:t>
      </w:r>
      <w:r w:rsidR="00C36BBE" w:rsidRPr="0087580D">
        <w:t xml:space="preserve"> </w:t>
      </w:r>
      <w:r w:rsidR="004309CC" w:rsidRPr="0087580D">
        <w:t>covering</w:t>
      </w:r>
      <w:r w:rsidR="004309CC">
        <w:t xml:space="preserve"> </w:t>
      </w:r>
      <w:r w:rsidR="00AE3986">
        <w:t xml:space="preserve">the topics mentioned in </w:t>
      </w:r>
      <w:r w:rsidR="00443443">
        <w:t>Section </w:t>
      </w:r>
      <w:r w:rsidR="00AE3986">
        <w:t>C.</w:t>
      </w:r>
      <w:r w:rsidR="00611C65">
        <w:t xml:space="preserve"> </w:t>
      </w:r>
      <w:r w:rsidR="004309CC">
        <w:t>E</w:t>
      </w:r>
      <w:r w:rsidR="00E114E5">
        <w:t xml:space="preserve">ach session </w:t>
      </w:r>
      <w:r w:rsidR="004309CC">
        <w:t xml:space="preserve">will have </w:t>
      </w:r>
      <w:r w:rsidR="00FB4351">
        <w:t>a</w:t>
      </w:r>
      <w:r w:rsidR="00C36BBE">
        <w:t xml:space="preserve"> </w:t>
      </w:r>
      <w:r w:rsidR="00443443">
        <w:t>C</w:t>
      </w:r>
      <w:r w:rsidR="007E3C11">
        <w:t>hairperson</w:t>
      </w:r>
      <w:r w:rsidR="004309CC">
        <w:t xml:space="preserve"> and a </w:t>
      </w:r>
      <w:r w:rsidR="00443443">
        <w:t>R</w:t>
      </w:r>
      <w:r w:rsidR="004309CC">
        <w:t>apporteur</w:t>
      </w:r>
      <w:r w:rsidR="00AE3986">
        <w:t xml:space="preserve"> and will include some invited papers and contributed papers </w:t>
      </w:r>
      <w:r w:rsidR="004309CC">
        <w:t xml:space="preserve">selected by the </w:t>
      </w:r>
      <w:r>
        <w:t xml:space="preserve">Programme Committee. </w:t>
      </w:r>
      <w:r w:rsidR="00B3380B">
        <w:t xml:space="preserve">Some sessions may include a panel discussion. </w:t>
      </w:r>
      <w:r>
        <w:t>A</w:t>
      </w:r>
      <w:r w:rsidR="007E3C11">
        <w:t xml:space="preserve"> summary of the session</w:t>
      </w:r>
      <w:r w:rsidR="0037796D">
        <w:t xml:space="preserve"> </w:t>
      </w:r>
      <w:r>
        <w:t>will be</w:t>
      </w:r>
      <w:r w:rsidR="007E3C11">
        <w:t xml:space="preserve"> presented</w:t>
      </w:r>
      <w:r w:rsidR="00611C65">
        <w:t xml:space="preserve"> by </w:t>
      </w:r>
      <w:r w:rsidR="00C45766">
        <w:t xml:space="preserve">the </w:t>
      </w:r>
      <w:r w:rsidR="00443443">
        <w:t>C</w:t>
      </w:r>
      <w:r w:rsidR="00C45766">
        <w:t>hair</w:t>
      </w:r>
      <w:r w:rsidR="00443443">
        <w:t>person</w:t>
      </w:r>
      <w:r w:rsidR="00B3380B">
        <w:t>.</w:t>
      </w:r>
    </w:p>
    <w:p w:rsidR="00611C65" w:rsidRDefault="002E45C7" w:rsidP="00DA6168">
      <w:pPr>
        <w:pStyle w:val="BodyText"/>
      </w:pPr>
      <w:r>
        <w:t>Finally, d</w:t>
      </w:r>
      <w:r w:rsidR="00611C65">
        <w:t xml:space="preserve">uring </w:t>
      </w:r>
      <w:r w:rsidR="00611C65" w:rsidRPr="0087580D">
        <w:t xml:space="preserve">the </w:t>
      </w:r>
      <w:r w:rsidR="00611C65" w:rsidRPr="00FD2AE5">
        <w:rPr>
          <w:b/>
          <w:bCs/>
        </w:rPr>
        <w:t>concluding session</w:t>
      </w:r>
      <w:r w:rsidR="0072511F" w:rsidRPr="0087580D">
        <w:t>,</w:t>
      </w:r>
      <w:r w:rsidR="00611C65" w:rsidRPr="0087580D">
        <w:t xml:space="preserve"> </w:t>
      </w:r>
      <w:r w:rsidR="00F37B79" w:rsidRPr="0087580D">
        <w:t>the</w:t>
      </w:r>
      <w:r w:rsidR="00EF2D39">
        <w:t xml:space="preserve"> President</w:t>
      </w:r>
      <w:r w:rsidR="00611C65">
        <w:t xml:space="preserve"> will present the conference </w:t>
      </w:r>
      <w:r w:rsidR="00633B7A">
        <w:t xml:space="preserve">findings, </w:t>
      </w:r>
      <w:r w:rsidR="00611C65">
        <w:t>conclusions</w:t>
      </w:r>
      <w:r w:rsidR="00633B7A">
        <w:t xml:space="preserve"> and recommendations</w:t>
      </w:r>
      <w:r w:rsidR="0072511F">
        <w:t xml:space="preserve"> on the way forward</w:t>
      </w:r>
      <w:r w:rsidR="00611C65">
        <w:t>.</w:t>
      </w:r>
    </w:p>
    <w:p w:rsidR="005134E1" w:rsidRDefault="005134E1" w:rsidP="00FD2AE5">
      <w:pPr>
        <w:pStyle w:val="Heading1"/>
        <w:tabs>
          <w:tab w:val="num" w:pos="3153"/>
        </w:tabs>
        <w:ind w:left="2693" w:hanging="2693"/>
      </w:pPr>
      <w:r>
        <w:t>Contributed Papers and Posters</w:t>
      </w:r>
    </w:p>
    <w:p w:rsidR="005134E1" w:rsidRPr="000D7F21" w:rsidRDefault="005134E1" w:rsidP="00443443">
      <w:pPr>
        <w:pStyle w:val="BodyText"/>
      </w:pPr>
      <w:r w:rsidRPr="000D7F21">
        <w:t>Concise papers on issues falling within the topic</w:t>
      </w:r>
      <w:r w:rsidR="00443443">
        <w:t xml:space="preserve"> area</w:t>
      </w:r>
      <w:r w:rsidRPr="000D7F21">
        <w:t xml:space="preserve">s outlined in Section </w:t>
      </w:r>
      <w:r>
        <w:t>C</w:t>
      </w:r>
      <w:r w:rsidRPr="000D7F21">
        <w:t xml:space="preserve"> may be submitted as contributions to the conference. All papers, apart from invited papers, must present original work</w:t>
      </w:r>
      <w:r>
        <w:t xml:space="preserve"> and</w:t>
      </w:r>
      <w:r w:rsidRPr="000D7F21">
        <w:t xml:space="preserve"> they should not have been published elsewhere.</w:t>
      </w:r>
    </w:p>
    <w:p w:rsidR="005134E1" w:rsidRDefault="005134E1" w:rsidP="005134E1">
      <w:pPr>
        <w:pStyle w:val="BodyText"/>
        <w:rPr>
          <w:b/>
          <w:bCs/>
          <w:color w:val="333333"/>
          <w:szCs w:val="19"/>
        </w:rPr>
      </w:pPr>
      <w:r>
        <w:rPr>
          <w:b/>
          <w:bCs/>
          <w:color w:val="333333"/>
          <w:szCs w:val="19"/>
        </w:rPr>
        <w:t xml:space="preserve">(a) </w:t>
      </w:r>
      <w:r>
        <w:rPr>
          <w:b/>
          <w:bCs/>
          <w:color w:val="333333"/>
          <w:szCs w:val="19"/>
        </w:rPr>
        <w:tab/>
        <w:t>Submission of synopses</w:t>
      </w:r>
    </w:p>
    <w:p w:rsidR="002470CF" w:rsidRPr="000D7F21" w:rsidRDefault="00745964" w:rsidP="00745964">
      <w:pPr>
        <w:pStyle w:val="BodyText"/>
      </w:pPr>
      <w:r w:rsidRPr="000D7F21">
        <w:t>P</w:t>
      </w:r>
      <w:r>
        <w:t>articipant</w:t>
      </w:r>
      <w:r w:rsidRPr="000D7F21">
        <w:t xml:space="preserve">s </w:t>
      </w:r>
      <w:r w:rsidR="005134E1" w:rsidRPr="000D7F21">
        <w:t xml:space="preserve">who wish to present a paper or poster at the conference must submit an extended synopsis (in English) </w:t>
      </w:r>
      <w:r w:rsidR="00DA6168">
        <w:t>between 500 and</w:t>
      </w:r>
      <w:r w:rsidR="005134E1">
        <w:t xml:space="preserve"> </w:t>
      </w:r>
      <w:r w:rsidR="005134E1" w:rsidRPr="000D7F21">
        <w:t>800 words</w:t>
      </w:r>
      <w:r w:rsidR="00DA6168">
        <w:t xml:space="preserve"> maximum</w:t>
      </w:r>
      <w:r w:rsidR="005134E1" w:rsidRPr="000D7F21">
        <w:t xml:space="preserve"> (i.e. two A4 format pages of single spaced typing or the equivalent, including any tables or diagrams and a few pertinent references</w:t>
      </w:r>
      <w:r w:rsidR="00BE4BA8">
        <w:t>)</w:t>
      </w:r>
      <w:r w:rsidR="002470CF">
        <w:t xml:space="preserve">. </w:t>
      </w:r>
      <w:r w:rsidR="002470CF" w:rsidRPr="00451E30">
        <w:t>The synopsis should give enough information on</w:t>
      </w:r>
      <w:r w:rsidR="002470CF" w:rsidRPr="000D7F21">
        <w:t xml:space="preserve"> the content of the proposed paper to enable the </w:t>
      </w:r>
      <w:r w:rsidR="00FD2AE5">
        <w:t xml:space="preserve">Programme </w:t>
      </w:r>
      <w:r>
        <w:t>C</w:t>
      </w:r>
      <w:r w:rsidR="002470CF" w:rsidRPr="000D7F21">
        <w:t>ommittee to evaluate it. Introductory and general matters should not be included.</w:t>
      </w:r>
    </w:p>
    <w:p w:rsidR="00806FE9" w:rsidRDefault="002470CF" w:rsidP="003D5F39">
      <w:pPr>
        <w:pStyle w:val="BodyText"/>
      </w:pPr>
      <w:r>
        <w:lastRenderedPageBreak/>
        <w:t xml:space="preserve">The synopsis must be submitted </w:t>
      </w:r>
      <w:r w:rsidR="005134E1" w:rsidRPr="000D7F21">
        <w:t>together with the completed Form for Submission of a Paper (</w:t>
      </w:r>
      <w:r w:rsidR="003D5F39" w:rsidRPr="000D7F21">
        <w:t>Form</w:t>
      </w:r>
      <w:r w:rsidR="003D5F39">
        <w:t> </w:t>
      </w:r>
      <w:r w:rsidR="005134E1" w:rsidRPr="000D7F21">
        <w:t xml:space="preserve">B) and the Participation Form (Form A) to </w:t>
      </w:r>
      <w:r w:rsidR="00806FE9">
        <w:t xml:space="preserve">one of </w:t>
      </w:r>
      <w:r w:rsidR="005134E1" w:rsidRPr="000D7F21">
        <w:t>the competent official authorit</w:t>
      </w:r>
      <w:r w:rsidR="00806FE9">
        <w:t>ies of the participant’s country</w:t>
      </w:r>
      <w:r w:rsidR="005134E1" w:rsidRPr="000D7F21">
        <w:t xml:space="preserve"> (see Section</w:t>
      </w:r>
      <w:r w:rsidR="005134E1">
        <w:t xml:space="preserve"> G)</w:t>
      </w:r>
      <w:r w:rsidR="003D5F39">
        <w:t>,</w:t>
      </w:r>
      <w:r w:rsidR="005134E1" w:rsidRPr="000D7F21">
        <w:t xml:space="preserve"> </w:t>
      </w:r>
      <w:r w:rsidR="00806FE9">
        <w:t>or to an organization invited to participate</w:t>
      </w:r>
      <w:r w:rsidR="003D5F39">
        <w:t>,</w:t>
      </w:r>
      <w:r w:rsidR="00806FE9">
        <w:t xml:space="preserve"> </w:t>
      </w:r>
      <w:r w:rsidR="005134E1" w:rsidRPr="000D7F21">
        <w:t xml:space="preserve">for </w:t>
      </w:r>
      <w:r w:rsidR="005134E1">
        <w:t xml:space="preserve">subsequent </w:t>
      </w:r>
      <w:r w:rsidR="005134E1" w:rsidRPr="000D7F21">
        <w:t>transmission to the IAEA</w:t>
      </w:r>
      <w:r w:rsidR="005134E1">
        <w:t xml:space="preserve"> </w:t>
      </w:r>
      <w:r w:rsidR="00806FE9">
        <w:t xml:space="preserve">(preferably </w:t>
      </w:r>
      <w:r w:rsidR="003D5F39">
        <w:t>via email</w:t>
      </w:r>
      <w:r w:rsidR="00806FE9">
        <w:t xml:space="preserve"> to</w:t>
      </w:r>
      <w:r w:rsidR="003D5F39">
        <w:t>:</w:t>
      </w:r>
      <w:r w:rsidR="00806FE9">
        <w:t xml:space="preserve"> </w:t>
      </w:r>
      <w:hyperlink r:id="rId10" w:history="1">
        <w:r w:rsidR="005134E1" w:rsidRPr="00C1249D">
          <w:rPr>
            <w:rStyle w:val="Hyperlink"/>
          </w:rPr>
          <w:t>official.mail@iaea.org</w:t>
        </w:r>
      </w:hyperlink>
      <w:r w:rsidR="003D5F39">
        <w:t xml:space="preserve">) </w:t>
      </w:r>
      <w:r w:rsidR="005134E1" w:rsidRPr="000D7F21">
        <w:t xml:space="preserve">to </w:t>
      </w:r>
      <w:r w:rsidR="00806FE9">
        <w:t>reach the</w:t>
      </w:r>
      <w:r w:rsidR="005134E1" w:rsidRPr="000D7F21">
        <w:t xml:space="preserve"> IAEA by </w:t>
      </w:r>
      <w:r w:rsidR="00D85F71">
        <w:rPr>
          <w:b/>
        </w:rPr>
        <w:t>22 March</w:t>
      </w:r>
      <w:r w:rsidR="00C45766" w:rsidRPr="00165F93">
        <w:rPr>
          <w:b/>
        </w:rPr>
        <w:t xml:space="preserve"> </w:t>
      </w:r>
      <w:r w:rsidR="005134E1" w:rsidRPr="00165F93">
        <w:rPr>
          <w:b/>
        </w:rPr>
        <w:t>201</w:t>
      </w:r>
      <w:r w:rsidR="001B1473">
        <w:rPr>
          <w:b/>
        </w:rPr>
        <w:t>3</w:t>
      </w:r>
      <w:r w:rsidR="005134E1" w:rsidRPr="000D7F21">
        <w:t>.</w:t>
      </w:r>
    </w:p>
    <w:p w:rsidR="00806FE9" w:rsidRDefault="005134E1" w:rsidP="00DA6168">
      <w:pPr>
        <w:pStyle w:val="BodyText"/>
      </w:pPr>
      <w:r w:rsidRPr="00806FE9">
        <w:rPr>
          <w:b/>
        </w:rPr>
        <w:t>In addition</w:t>
      </w:r>
      <w:r w:rsidRPr="000D7F21">
        <w:t xml:space="preserve">, the synopsis </w:t>
      </w:r>
      <w:r>
        <w:t xml:space="preserve">must </w:t>
      </w:r>
      <w:r w:rsidRPr="000D7F21">
        <w:t>be sent electronically</w:t>
      </w:r>
      <w:r w:rsidR="00103262">
        <w:t xml:space="preserve"> (no paper copies)</w:t>
      </w:r>
      <w:r>
        <w:t xml:space="preserve"> to</w:t>
      </w:r>
      <w:r w:rsidR="007A4A39">
        <w:t>:</w:t>
      </w:r>
      <w:r w:rsidRPr="000D7F21">
        <w:t xml:space="preserve"> </w:t>
      </w:r>
      <w:hyperlink r:id="rId11" w:history="1">
        <w:r w:rsidR="00754B26" w:rsidRPr="003E2215">
          <w:rPr>
            <w:rStyle w:val="Hyperlink"/>
          </w:rPr>
          <w:t>CN204@iaea.org</w:t>
        </w:r>
      </w:hyperlink>
      <w:r w:rsidR="002470CF">
        <w:t>.</w:t>
      </w:r>
    </w:p>
    <w:p w:rsidR="005134E1" w:rsidRDefault="005134E1" w:rsidP="005134E1">
      <w:pPr>
        <w:pStyle w:val="BodyText"/>
      </w:pPr>
      <w:r w:rsidRPr="00451E30">
        <w:t xml:space="preserve">Authors are urged to make use of the Extended Synopsis Template available on the conference </w:t>
      </w:r>
      <w:r w:rsidR="001F1303">
        <w:t>web page</w:t>
      </w:r>
      <w:r w:rsidRPr="00451E30">
        <w:t xml:space="preserve"> (see Section </w:t>
      </w:r>
      <w:r w:rsidR="00DE6B99">
        <w:t>P</w:t>
      </w:r>
      <w:r w:rsidRPr="00451E30">
        <w:t>).</w:t>
      </w:r>
    </w:p>
    <w:p w:rsidR="002470CF" w:rsidRDefault="002470CF" w:rsidP="007A4A39">
      <w:pPr>
        <w:pStyle w:val="BodyText"/>
      </w:pPr>
      <w:r w:rsidRPr="00DE6B99">
        <w:rPr>
          <w:b/>
        </w:rPr>
        <w:t>IMPORTANT</w:t>
      </w:r>
      <w:r>
        <w:t>: the</w:t>
      </w:r>
      <w:r w:rsidRPr="000D7F21">
        <w:t xml:space="preserve"> synopsis will be considered only if the Participation Form</w:t>
      </w:r>
      <w:r w:rsidR="007A4A39">
        <w:t xml:space="preserve"> (Form</w:t>
      </w:r>
      <w:r w:rsidRPr="000D7F21">
        <w:t xml:space="preserve"> A</w:t>
      </w:r>
      <w:r w:rsidR="007A4A39">
        <w:t>)</w:t>
      </w:r>
      <w:r w:rsidRPr="000D7F21">
        <w:t xml:space="preserve"> and</w:t>
      </w:r>
      <w:r w:rsidR="007A4A39">
        <w:t xml:space="preserve"> the Form for Submission of a</w:t>
      </w:r>
      <w:r w:rsidRPr="000D7F21">
        <w:t xml:space="preserve"> Paper </w:t>
      </w:r>
      <w:r w:rsidR="007A4A39">
        <w:t>(</w:t>
      </w:r>
      <w:r w:rsidRPr="000D7F21">
        <w:t>Form B</w:t>
      </w:r>
      <w:r w:rsidR="007A4A39">
        <w:t>)</w:t>
      </w:r>
      <w:r w:rsidRPr="000D7F21">
        <w:t xml:space="preserve"> have been received </w:t>
      </w:r>
      <w:r>
        <w:t xml:space="preserve">by the deadline and </w:t>
      </w:r>
      <w:r w:rsidRPr="000D7F21">
        <w:t xml:space="preserve">through the </w:t>
      </w:r>
      <w:r>
        <w:t xml:space="preserve">appropriate </w:t>
      </w:r>
      <w:r w:rsidRPr="000D7F21">
        <w:t>official channels.</w:t>
      </w:r>
    </w:p>
    <w:p w:rsidR="005134E1" w:rsidRDefault="005134E1" w:rsidP="005134E1">
      <w:pPr>
        <w:spacing w:after="240"/>
        <w:jc w:val="both"/>
        <w:rPr>
          <w:b/>
          <w:bCs/>
          <w:color w:val="333333"/>
          <w:szCs w:val="19"/>
        </w:rPr>
      </w:pPr>
      <w:r>
        <w:rPr>
          <w:b/>
          <w:bCs/>
          <w:color w:val="333333"/>
          <w:szCs w:val="19"/>
        </w:rPr>
        <w:t xml:space="preserve">(b) </w:t>
      </w:r>
      <w:r>
        <w:rPr>
          <w:b/>
          <w:bCs/>
          <w:color w:val="333333"/>
          <w:szCs w:val="19"/>
        </w:rPr>
        <w:tab/>
        <w:t>Acceptance of papers/poster</w:t>
      </w:r>
      <w:r w:rsidR="00DE6B99">
        <w:rPr>
          <w:b/>
          <w:bCs/>
          <w:color w:val="333333"/>
          <w:szCs w:val="19"/>
        </w:rPr>
        <w:t>s</w:t>
      </w:r>
    </w:p>
    <w:p w:rsidR="005134E1" w:rsidRPr="000D7F21" w:rsidRDefault="005134E1" w:rsidP="005134E1">
      <w:pPr>
        <w:pStyle w:val="BodyText"/>
      </w:pPr>
      <w:r w:rsidRPr="000D7F21">
        <w:t xml:space="preserve">In order to provide ample time for discussion, the number of papers that can be accepted for oral presentation is limited. If the number of relevant and high quality </w:t>
      </w:r>
      <w:r w:rsidR="006C308B">
        <w:t>synopses</w:t>
      </w:r>
      <w:r w:rsidR="006C308B" w:rsidRPr="000D7F21">
        <w:t xml:space="preserve"> </w:t>
      </w:r>
      <w:r w:rsidRPr="000D7F21">
        <w:t>submitted for selection exceeds the acceptable number, some of them will be selected for poster presentation.</w:t>
      </w:r>
    </w:p>
    <w:p w:rsidR="005134E1" w:rsidRDefault="005134E1" w:rsidP="00C45766">
      <w:pPr>
        <w:pStyle w:val="BodyText"/>
      </w:pPr>
      <w:r w:rsidRPr="000D7F21">
        <w:t xml:space="preserve">Authors will be informed by </w:t>
      </w:r>
      <w:r w:rsidR="002D4D07">
        <w:rPr>
          <w:b/>
        </w:rPr>
        <w:t>10 May 2013</w:t>
      </w:r>
      <w:r w:rsidRPr="000D7F21">
        <w:t xml:space="preserve"> whether </w:t>
      </w:r>
      <w:r w:rsidR="006C308B">
        <w:t xml:space="preserve">or not </w:t>
      </w:r>
      <w:r w:rsidRPr="000D7F21">
        <w:t xml:space="preserve">their paper has been accepted by the Programme Committee </w:t>
      </w:r>
      <w:r w:rsidR="006C308B" w:rsidRPr="000D7F21">
        <w:t>for oral presentation or for presentation as a poster</w:t>
      </w:r>
      <w:r w:rsidR="006C308B">
        <w:t xml:space="preserve">, </w:t>
      </w:r>
      <w:r w:rsidRPr="000D7F21">
        <w:t xml:space="preserve">on the basis of the synopsis submitted. </w:t>
      </w:r>
    </w:p>
    <w:p w:rsidR="005134E1" w:rsidRDefault="005134E1" w:rsidP="007A4A39">
      <w:pPr>
        <w:pStyle w:val="BodyText"/>
      </w:pPr>
      <w:r>
        <w:t xml:space="preserve">All </w:t>
      </w:r>
      <w:r w:rsidRPr="000D7F21">
        <w:t xml:space="preserve">accepted synopses will be reproduced in unedited form in the Book of Extended Synopses, which will be distributed </w:t>
      </w:r>
      <w:r>
        <w:t xml:space="preserve">to all participants </w:t>
      </w:r>
      <w:r w:rsidRPr="000D7F21">
        <w:t>at registration.</w:t>
      </w:r>
    </w:p>
    <w:p w:rsidR="005134E1" w:rsidRDefault="006C308B" w:rsidP="007A4A39">
      <w:pPr>
        <w:pStyle w:val="BodyText"/>
      </w:pPr>
      <w:r>
        <w:t>A</w:t>
      </w:r>
      <w:r w:rsidR="005134E1" w:rsidRPr="000D7F21">
        <w:t xml:space="preserve">uthors </w:t>
      </w:r>
      <w:r>
        <w:t xml:space="preserve">of papers selected for oral presentation and invited speakers </w:t>
      </w:r>
      <w:r w:rsidR="005134E1">
        <w:t>will be</w:t>
      </w:r>
      <w:r w:rsidR="005134E1" w:rsidRPr="000D7F21">
        <w:t xml:space="preserve"> asked to prepare full papers for publication in the proceedings</w:t>
      </w:r>
      <w:r>
        <w:t xml:space="preserve"> of the conference</w:t>
      </w:r>
      <w:r w:rsidR="005134E1">
        <w:t>. They</w:t>
      </w:r>
      <w:r w:rsidR="005134E1" w:rsidRPr="000D7F21">
        <w:t xml:space="preserve"> will receive guidelines for the preparation of </w:t>
      </w:r>
      <w:r w:rsidR="007A4A39">
        <w:t xml:space="preserve">full </w:t>
      </w:r>
      <w:r w:rsidR="005134E1" w:rsidRPr="000D7F21">
        <w:t>papers</w:t>
      </w:r>
      <w:r w:rsidR="00EF163C">
        <w:t>.</w:t>
      </w:r>
      <w:r w:rsidR="005134E1" w:rsidRPr="000D7F21">
        <w:t xml:space="preserve"> </w:t>
      </w:r>
      <w:r>
        <w:t>T</w:t>
      </w:r>
      <w:r w:rsidR="005134E1" w:rsidRPr="000D7F21">
        <w:t xml:space="preserve">he deadline for </w:t>
      </w:r>
      <w:r w:rsidR="007A4A39">
        <w:t>the</w:t>
      </w:r>
      <w:r w:rsidR="007A4A39" w:rsidRPr="000D7F21">
        <w:t xml:space="preserve"> </w:t>
      </w:r>
      <w:r w:rsidR="005134E1" w:rsidRPr="000D7F21">
        <w:t>submission</w:t>
      </w:r>
      <w:r w:rsidR="007A4A39">
        <w:t xml:space="preserve"> of these</w:t>
      </w:r>
      <w:r>
        <w:t xml:space="preserve"> is </w:t>
      </w:r>
      <w:r w:rsidR="001A5C04">
        <w:rPr>
          <w:b/>
        </w:rPr>
        <w:t xml:space="preserve">1 July </w:t>
      </w:r>
      <w:r w:rsidR="00423487" w:rsidRPr="0087580D">
        <w:rPr>
          <w:b/>
        </w:rPr>
        <w:t>2013</w:t>
      </w:r>
      <w:r w:rsidR="005134E1" w:rsidRPr="000D7F21">
        <w:t>.</w:t>
      </w:r>
    </w:p>
    <w:p w:rsidR="005134E1" w:rsidRPr="000D7F21" w:rsidRDefault="005134E1" w:rsidP="005134E1">
      <w:pPr>
        <w:pStyle w:val="BodyText"/>
      </w:pPr>
      <w:r w:rsidRPr="00451E30">
        <w:t>The Secretariat reserves the right to exclude papers that do not comply with its quality standards and</w:t>
      </w:r>
      <w:r w:rsidR="007A4A39">
        <w:t>/or that</w:t>
      </w:r>
      <w:r w:rsidRPr="00451E30">
        <w:t xml:space="preserve"> do not apply to one of the topics in Section C above.</w:t>
      </w:r>
    </w:p>
    <w:p w:rsidR="005134E1" w:rsidRDefault="005134E1" w:rsidP="007A4A39">
      <w:pPr>
        <w:spacing w:after="240"/>
        <w:jc w:val="both"/>
        <w:rPr>
          <w:b/>
          <w:bCs/>
          <w:color w:val="333333"/>
          <w:szCs w:val="19"/>
        </w:rPr>
      </w:pPr>
      <w:r>
        <w:rPr>
          <w:b/>
          <w:bCs/>
          <w:color w:val="333333"/>
          <w:szCs w:val="19"/>
        </w:rPr>
        <w:t xml:space="preserve">(c) </w:t>
      </w:r>
      <w:r>
        <w:rPr>
          <w:b/>
          <w:bCs/>
          <w:color w:val="333333"/>
          <w:szCs w:val="19"/>
        </w:rPr>
        <w:tab/>
        <w:t>Proceedings</w:t>
      </w:r>
    </w:p>
    <w:p w:rsidR="005134E1" w:rsidRPr="000D7F21" w:rsidRDefault="005134E1" w:rsidP="005134E1">
      <w:pPr>
        <w:pStyle w:val="BodyText"/>
      </w:pPr>
      <w:proofErr w:type="gramStart"/>
      <w:r w:rsidRPr="000D7F21">
        <w:t>The proceedings of the conference will published by the IAEA as soon as possible after the conference.</w:t>
      </w:r>
      <w:proofErr w:type="gramEnd"/>
    </w:p>
    <w:p w:rsidR="009C053D" w:rsidRPr="003C7E53" w:rsidRDefault="009C053D" w:rsidP="009C053D">
      <w:pPr>
        <w:pStyle w:val="Heading1"/>
        <w:tabs>
          <w:tab w:val="num" w:pos="3153"/>
        </w:tabs>
        <w:ind w:left="2694" w:hanging="2694"/>
      </w:pPr>
      <w:r w:rsidRPr="003C7E53">
        <w:t>Participation</w:t>
      </w:r>
      <w:r w:rsidR="00BE4BA8">
        <w:t xml:space="preserve"> and Registration</w:t>
      </w:r>
    </w:p>
    <w:p w:rsidR="009C053D" w:rsidRDefault="009C053D" w:rsidP="007A4A39">
      <w:pPr>
        <w:pStyle w:val="BodyText"/>
      </w:pPr>
      <w:r w:rsidRPr="000D7F21">
        <w:t xml:space="preserve">All persons wishing to participate in the conference are requested to </w:t>
      </w:r>
      <w:r w:rsidRPr="000D7F21">
        <w:rPr>
          <w:b/>
          <w:bCs/>
        </w:rPr>
        <w:t>register online</w:t>
      </w:r>
      <w:r w:rsidRPr="008C4ECC">
        <w:rPr>
          <w:b/>
          <w:bCs/>
        </w:rPr>
        <w:t xml:space="preserve"> </w:t>
      </w:r>
      <w:r w:rsidRPr="000D7F21">
        <w:rPr>
          <w:b/>
          <w:bCs/>
        </w:rPr>
        <w:t>in advance</w:t>
      </w:r>
      <w:r>
        <w:rPr>
          <w:b/>
          <w:bCs/>
        </w:rPr>
        <w:t xml:space="preserve"> </w:t>
      </w:r>
      <w:r w:rsidRPr="00025AED">
        <w:rPr>
          <w:bCs/>
        </w:rPr>
        <w:t xml:space="preserve">through the conference </w:t>
      </w:r>
      <w:r w:rsidR="001F1303">
        <w:rPr>
          <w:bCs/>
        </w:rPr>
        <w:t>web page</w:t>
      </w:r>
      <w:r w:rsidR="00BE4BA8">
        <w:rPr>
          <w:bCs/>
        </w:rPr>
        <w:t xml:space="preserve"> (see Section </w:t>
      </w:r>
      <w:r w:rsidR="007A4A39">
        <w:rPr>
          <w:bCs/>
        </w:rPr>
        <w:t>P</w:t>
      </w:r>
      <w:r w:rsidR="00BE4BA8">
        <w:rPr>
          <w:bCs/>
        </w:rPr>
        <w:t>)</w:t>
      </w:r>
      <w:r w:rsidRPr="000D7F21">
        <w:t xml:space="preserve">. </w:t>
      </w:r>
      <w:r w:rsidRPr="00BE4BA8">
        <w:rPr>
          <w:b/>
        </w:rPr>
        <w:t>In addition</w:t>
      </w:r>
      <w:r w:rsidR="00BE4BA8">
        <w:t>,</w:t>
      </w:r>
      <w:r w:rsidRPr="000D7F21">
        <w:t xml:space="preserve"> they </w:t>
      </w:r>
      <w:r>
        <w:t xml:space="preserve">are required to </w:t>
      </w:r>
      <w:r w:rsidRPr="000D7F21">
        <w:t>send a completed Participation Form (Form A)</w:t>
      </w:r>
      <w:r w:rsidR="00BE4BA8">
        <w:t xml:space="preserve">, </w:t>
      </w:r>
      <w:r w:rsidRPr="000D7F21">
        <w:t xml:space="preserve">and, if </w:t>
      </w:r>
      <w:r>
        <w:t>applicable</w:t>
      </w:r>
      <w:r w:rsidRPr="000D7F21">
        <w:t xml:space="preserve">, the Form </w:t>
      </w:r>
      <w:r w:rsidR="007A4A39">
        <w:t xml:space="preserve">for Submission of a Paper </w:t>
      </w:r>
      <w:r w:rsidRPr="000D7F21">
        <w:t>(Form B) and the Grant Application Form (Form C) to the competent national authority (</w:t>
      </w:r>
      <w:r>
        <w:t xml:space="preserve">e.g. the Ministry of Foreign Affairs or </w:t>
      </w:r>
      <w:r w:rsidR="007A4A39">
        <w:t>N</w:t>
      </w:r>
      <w:r>
        <w:t xml:space="preserve">ational </w:t>
      </w:r>
      <w:r w:rsidR="007A4A39">
        <w:t>A</w:t>
      </w:r>
      <w:r>
        <w:t xml:space="preserve">tomic </w:t>
      </w:r>
      <w:r w:rsidR="007A4A39">
        <w:t>E</w:t>
      </w:r>
      <w:r>
        <w:t xml:space="preserve">nergy </w:t>
      </w:r>
      <w:r w:rsidR="007A4A39">
        <w:t>A</w:t>
      </w:r>
      <w:r>
        <w:t>uthority</w:t>
      </w:r>
      <w:r w:rsidRPr="000D7F21">
        <w:t xml:space="preserve">) </w:t>
      </w:r>
      <w:r>
        <w:t xml:space="preserve">or to one of the organizations invited to participate </w:t>
      </w:r>
      <w:r w:rsidRPr="000D7F21">
        <w:t>for subsequent</w:t>
      </w:r>
      <w:r>
        <w:t xml:space="preserve"> </w:t>
      </w:r>
      <w:r w:rsidRPr="000D7F21">
        <w:t>transmission</w:t>
      </w:r>
      <w:r w:rsidR="00BE4BA8">
        <w:t xml:space="preserve"> </w:t>
      </w:r>
      <w:r w:rsidR="007A4A39" w:rsidRPr="000D7F21">
        <w:t>to the IAEA</w:t>
      </w:r>
      <w:r w:rsidR="007A4A39">
        <w:t xml:space="preserve"> </w:t>
      </w:r>
      <w:r w:rsidR="00BE4BA8">
        <w:t xml:space="preserve">(preferably </w:t>
      </w:r>
      <w:r w:rsidR="007A4A39">
        <w:t xml:space="preserve">via email to: </w:t>
      </w:r>
      <w:hyperlink r:id="rId12" w:history="1">
        <w:r w:rsidR="007A4A39" w:rsidRPr="007A4A39">
          <w:rPr>
            <w:rStyle w:val="Hyperlink"/>
          </w:rPr>
          <w:t>official.mail@iaea.org</w:t>
        </w:r>
      </w:hyperlink>
      <w:r w:rsidR="00BE4BA8">
        <w:t>)</w:t>
      </w:r>
      <w:r w:rsidRPr="000D7F21">
        <w:t>.</w:t>
      </w:r>
    </w:p>
    <w:p w:rsidR="009C053D" w:rsidRPr="000D7F21" w:rsidRDefault="009C053D" w:rsidP="007A4A39">
      <w:pPr>
        <w:pStyle w:val="BodyText"/>
      </w:pPr>
      <w:r w:rsidRPr="000D7F21">
        <w:lastRenderedPageBreak/>
        <w:t>A participant will be accepted only if the Participation Form is transmitted through the competent national authority of a</w:t>
      </w:r>
      <w:r w:rsidR="007A4A39">
        <w:t>n IAEA</w:t>
      </w:r>
      <w:r w:rsidRPr="000D7F21">
        <w:t xml:space="preserve"> Member State</w:t>
      </w:r>
      <w:r w:rsidR="00520AD5">
        <w:t xml:space="preserve"> or </w:t>
      </w:r>
      <w:r w:rsidR="00AC00DC">
        <w:t xml:space="preserve">by </w:t>
      </w:r>
      <w:r w:rsidR="00520AD5">
        <w:t>a non-Member State of the IAEA</w:t>
      </w:r>
      <w:r w:rsidRPr="000D7F21">
        <w:t xml:space="preserve"> or organization invited to participate.</w:t>
      </w:r>
    </w:p>
    <w:p w:rsidR="009C053D" w:rsidRPr="000D7F21" w:rsidRDefault="009C053D" w:rsidP="007A4A39">
      <w:pPr>
        <w:pStyle w:val="BodyText"/>
      </w:pPr>
      <w:r w:rsidRPr="000D7F21">
        <w:t xml:space="preserve">Participants whose official </w:t>
      </w:r>
      <w:r w:rsidR="007A4A39">
        <w:t>nominations</w:t>
      </w:r>
      <w:r w:rsidR="007A4A39" w:rsidRPr="000D7F21">
        <w:t xml:space="preserve"> </w:t>
      </w:r>
      <w:r w:rsidRPr="000D7F21">
        <w:t>ha</w:t>
      </w:r>
      <w:r>
        <w:t>ve</w:t>
      </w:r>
      <w:r w:rsidRPr="000D7F21">
        <w:t xml:space="preserve"> been received by the IAEA will receive further information on the conference approximately three months before the </w:t>
      </w:r>
      <w:r w:rsidR="00BE4BA8">
        <w:t>start</w:t>
      </w:r>
      <w:r w:rsidRPr="000D7F21">
        <w:t xml:space="preserve"> of the </w:t>
      </w:r>
      <w:r w:rsidR="00BE4BA8">
        <w:t>conference</w:t>
      </w:r>
      <w:r w:rsidRPr="000D7F21">
        <w:t xml:space="preserve">. This information will also be posted on the conference </w:t>
      </w:r>
      <w:r w:rsidR="001F1303">
        <w:t>web page</w:t>
      </w:r>
      <w:r w:rsidRPr="000D7F21">
        <w:t>.</w:t>
      </w:r>
    </w:p>
    <w:p w:rsidR="009C053D" w:rsidRPr="003C7E53" w:rsidRDefault="009C053D" w:rsidP="009C053D">
      <w:pPr>
        <w:pStyle w:val="Heading1"/>
        <w:tabs>
          <w:tab w:val="num" w:pos="3153"/>
        </w:tabs>
        <w:ind w:left="2694" w:hanging="2694"/>
      </w:pPr>
      <w:r w:rsidRPr="003C7E53">
        <w:t>Expenditures</w:t>
      </w:r>
      <w:r w:rsidR="00F21BDC">
        <w:t>/Grants</w:t>
      </w:r>
    </w:p>
    <w:p w:rsidR="009C053D" w:rsidRPr="00C362C4" w:rsidRDefault="009C053D" w:rsidP="009C053D">
      <w:pPr>
        <w:pStyle w:val="BodyText"/>
      </w:pPr>
      <w:r w:rsidRPr="00C362C4">
        <w:t>No registration fee is charged to participants.</w:t>
      </w:r>
    </w:p>
    <w:p w:rsidR="009C053D" w:rsidRPr="00755F46" w:rsidRDefault="008D114E" w:rsidP="004D534D">
      <w:pPr>
        <w:pStyle w:val="BodyText"/>
        <w:rPr>
          <w:szCs w:val="22"/>
        </w:rPr>
      </w:pPr>
      <w:r w:rsidRPr="000A0CEA">
        <w:t xml:space="preserve">The IAEA is generally not in a position to bear the travel and other costs of participants </w:t>
      </w:r>
      <w:r>
        <w:t>in</w:t>
      </w:r>
      <w:r w:rsidRPr="000A0CEA">
        <w:t xml:space="preserve"> the </w:t>
      </w:r>
      <w:r>
        <w:t>conference</w:t>
      </w:r>
      <w:r w:rsidRPr="000A0CEA">
        <w:t xml:space="preserve">. The IAEA has, however, limited funds at its disposal to help meet the cost of attendance of </w:t>
      </w:r>
      <w:r w:rsidR="004D534D">
        <w:t>certain participants</w:t>
      </w:r>
      <w:r w:rsidRPr="000A0CEA">
        <w:t>.</w:t>
      </w:r>
      <w:r w:rsidR="009C053D" w:rsidRPr="00755F46">
        <w:rPr>
          <w:szCs w:val="22"/>
        </w:rPr>
        <w:t xml:space="preserve"> Such assistance may be offered, upon specific request, provided that in the IAEA</w:t>
      </w:r>
      <w:r w:rsidR="007A4A39">
        <w:rPr>
          <w:szCs w:val="22"/>
        </w:rPr>
        <w:t>’</w:t>
      </w:r>
      <w:r w:rsidR="009C053D" w:rsidRPr="00755F46">
        <w:rPr>
          <w:szCs w:val="22"/>
        </w:rPr>
        <w:t>s view the participant</w:t>
      </w:r>
      <w:r w:rsidR="007A4A39">
        <w:rPr>
          <w:szCs w:val="22"/>
        </w:rPr>
        <w:t xml:space="preserve"> on whose behalf assistance is requested</w:t>
      </w:r>
      <w:r w:rsidR="009C053D" w:rsidRPr="00755F46">
        <w:rPr>
          <w:szCs w:val="22"/>
        </w:rPr>
        <w:t xml:space="preserve"> will make an important contribution to the </w:t>
      </w:r>
      <w:r>
        <w:rPr>
          <w:szCs w:val="22"/>
        </w:rPr>
        <w:t>conference</w:t>
      </w:r>
      <w:r w:rsidR="009C053D" w:rsidRPr="00755F46">
        <w:rPr>
          <w:szCs w:val="22"/>
        </w:rPr>
        <w:t>. In general, not more than one grant will be awarded to any one country.</w:t>
      </w:r>
    </w:p>
    <w:p w:rsidR="009C053D" w:rsidRPr="00755F46" w:rsidRDefault="009C053D" w:rsidP="004D534D">
      <w:pPr>
        <w:pStyle w:val="BodyText"/>
        <w:rPr>
          <w:szCs w:val="22"/>
        </w:rPr>
      </w:pPr>
      <w:r w:rsidRPr="00755F46">
        <w:rPr>
          <w:szCs w:val="22"/>
        </w:rPr>
        <w:t xml:space="preserve">If governments wish to apply for a grant on behalf of one of their </w:t>
      </w:r>
      <w:r w:rsidR="004D534D">
        <w:rPr>
          <w:szCs w:val="22"/>
        </w:rPr>
        <w:t>participants</w:t>
      </w:r>
      <w:r w:rsidRPr="00755F46">
        <w:rPr>
          <w:szCs w:val="22"/>
        </w:rPr>
        <w:t>, they should address specific requests to the IAEA to this effect. Governments should ensure that applications for grants are:</w:t>
      </w:r>
    </w:p>
    <w:p w:rsidR="009C053D" w:rsidRPr="008E11A1" w:rsidRDefault="009C053D" w:rsidP="00F36D10">
      <w:pPr>
        <w:pStyle w:val="BodyText"/>
        <w:rPr>
          <w:szCs w:val="22"/>
        </w:rPr>
      </w:pPr>
      <w:r w:rsidRPr="008E11A1">
        <w:rPr>
          <w:szCs w:val="22"/>
        </w:rPr>
        <w:t>1.</w:t>
      </w:r>
      <w:r w:rsidRPr="008E11A1">
        <w:rPr>
          <w:szCs w:val="22"/>
        </w:rPr>
        <w:tab/>
        <w:t xml:space="preserve">Submitted </w:t>
      </w:r>
      <w:r w:rsidRPr="009C053D">
        <w:rPr>
          <w:szCs w:val="22"/>
        </w:rPr>
        <w:t>by</w:t>
      </w:r>
      <w:r>
        <w:rPr>
          <w:b/>
          <w:szCs w:val="22"/>
        </w:rPr>
        <w:t xml:space="preserve"> </w:t>
      </w:r>
      <w:r w:rsidR="00D85F71">
        <w:rPr>
          <w:b/>
          <w:szCs w:val="22"/>
        </w:rPr>
        <w:t>22 March</w:t>
      </w:r>
      <w:r w:rsidR="002F1B57">
        <w:rPr>
          <w:b/>
          <w:szCs w:val="22"/>
        </w:rPr>
        <w:t xml:space="preserve"> </w:t>
      </w:r>
      <w:r w:rsidR="00F36D10">
        <w:rPr>
          <w:b/>
          <w:szCs w:val="22"/>
        </w:rPr>
        <w:t>2013</w:t>
      </w:r>
      <w:r w:rsidRPr="008E11A1">
        <w:rPr>
          <w:szCs w:val="22"/>
        </w:rPr>
        <w:t>;</w:t>
      </w:r>
    </w:p>
    <w:p w:rsidR="009C053D" w:rsidRPr="008E11A1" w:rsidRDefault="009C053D" w:rsidP="009C053D">
      <w:pPr>
        <w:pStyle w:val="BodyText"/>
        <w:rPr>
          <w:szCs w:val="22"/>
        </w:rPr>
      </w:pPr>
      <w:r w:rsidRPr="008E11A1">
        <w:rPr>
          <w:szCs w:val="22"/>
        </w:rPr>
        <w:t>2.</w:t>
      </w:r>
      <w:r w:rsidRPr="008E11A1">
        <w:rPr>
          <w:szCs w:val="22"/>
        </w:rPr>
        <w:tab/>
        <w:t>Accompanied by a duly completed and signed Grant Application Form (Form C);</w:t>
      </w:r>
    </w:p>
    <w:p w:rsidR="009C053D" w:rsidRDefault="009C053D" w:rsidP="009C053D">
      <w:pPr>
        <w:pStyle w:val="BodyText"/>
        <w:rPr>
          <w:szCs w:val="22"/>
        </w:rPr>
      </w:pPr>
      <w:r w:rsidRPr="008E11A1">
        <w:rPr>
          <w:szCs w:val="22"/>
        </w:rPr>
        <w:t>3.</w:t>
      </w:r>
      <w:r w:rsidRPr="008E11A1">
        <w:rPr>
          <w:szCs w:val="22"/>
        </w:rPr>
        <w:tab/>
        <w:t>Accompanied by a completed Participation Form (Form A).</w:t>
      </w:r>
    </w:p>
    <w:p w:rsidR="009C053D" w:rsidRPr="00755F46" w:rsidRDefault="009C053D" w:rsidP="009C053D">
      <w:pPr>
        <w:pStyle w:val="BodyText"/>
      </w:pPr>
      <w:r w:rsidRPr="00755F46">
        <w:t>Applications that do not comply with the above conditions cannot be considered.</w:t>
      </w:r>
    </w:p>
    <w:p w:rsidR="009C053D" w:rsidRPr="00C362C4" w:rsidRDefault="009C053D" w:rsidP="009C053D">
      <w:pPr>
        <w:pStyle w:val="BodyText"/>
      </w:pPr>
      <w:r w:rsidRPr="00755F46">
        <w:t xml:space="preserve">Approved grants will be issued in the form of a lump sum payment that usually </w:t>
      </w:r>
      <w:r w:rsidRPr="003C5B25">
        <w:rPr>
          <w:b/>
        </w:rPr>
        <w:t>covers only part of the cost of attendance.</w:t>
      </w:r>
    </w:p>
    <w:p w:rsidR="00733D7D" w:rsidRDefault="00733D7D" w:rsidP="00FD2AE5">
      <w:pPr>
        <w:pStyle w:val="Heading1"/>
      </w:pPr>
      <w:r>
        <w:t>Distribution of Documents</w:t>
      </w:r>
    </w:p>
    <w:p w:rsidR="00DC40A6" w:rsidRDefault="009C053D" w:rsidP="00890451">
      <w:pPr>
        <w:pStyle w:val="BodyText"/>
      </w:pPr>
      <w:r w:rsidRPr="004D45CC">
        <w:rPr>
          <w:szCs w:val="22"/>
        </w:rPr>
        <w:t xml:space="preserve">A preliminary programme of the conference will be </w:t>
      </w:r>
      <w:r w:rsidR="00890451">
        <w:rPr>
          <w:szCs w:val="22"/>
        </w:rPr>
        <w:t xml:space="preserve">made </w:t>
      </w:r>
      <w:r w:rsidRPr="004D45CC">
        <w:rPr>
          <w:szCs w:val="22"/>
        </w:rPr>
        <w:t>avail</w:t>
      </w:r>
      <w:r>
        <w:rPr>
          <w:szCs w:val="22"/>
        </w:rPr>
        <w:t xml:space="preserve">able on the conference </w:t>
      </w:r>
      <w:r w:rsidR="001F1303">
        <w:rPr>
          <w:szCs w:val="22"/>
        </w:rPr>
        <w:t>web page</w:t>
      </w:r>
      <w:r w:rsidR="00890451">
        <w:rPr>
          <w:szCs w:val="22"/>
        </w:rPr>
        <w:t xml:space="preserve"> (see Section P)</w:t>
      </w:r>
      <w:r>
        <w:rPr>
          <w:szCs w:val="22"/>
        </w:rPr>
        <w:t xml:space="preserve"> </w:t>
      </w:r>
      <w:r w:rsidRPr="004D45CC">
        <w:rPr>
          <w:szCs w:val="22"/>
        </w:rPr>
        <w:t xml:space="preserve">before the </w:t>
      </w:r>
      <w:r w:rsidR="00890451">
        <w:rPr>
          <w:szCs w:val="22"/>
        </w:rPr>
        <w:t>start of the conference</w:t>
      </w:r>
      <w:r w:rsidRPr="004D45CC">
        <w:rPr>
          <w:szCs w:val="22"/>
        </w:rPr>
        <w:t xml:space="preserve">. The final programme and the </w:t>
      </w:r>
      <w:r w:rsidR="00890451">
        <w:rPr>
          <w:szCs w:val="22"/>
        </w:rPr>
        <w:t>B</w:t>
      </w:r>
      <w:r w:rsidRPr="004D45CC">
        <w:rPr>
          <w:szCs w:val="22"/>
        </w:rPr>
        <w:t xml:space="preserve">ook of </w:t>
      </w:r>
      <w:r w:rsidR="00890451">
        <w:rPr>
          <w:szCs w:val="22"/>
        </w:rPr>
        <w:t>E</w:t>
      </w:r>
      <w:r w:rsidRPr="004D45CC">
        <w:rPr>
          <w:szCs w:val="22"/>
        </w:rPr>
        <w:t xml:space="preserve">xtended </w:t>
      </w:r>
      <w:r w:rsidR="00890451">
        <w:rPr>
          <w:szCs w:val="22"/>
        </w:rPr>
        <w:t>S</w:t>
      </w:r>
      <w:r w:rsidRPr="004D45CC">
        <w:rPr>
          <w:szCs w:val="22"/>
        </w:rPr>
        <w:t>ynops</w:t>
      </w:r>
      <w:r>
        <w:rPr>
          <w:szCs w:val="22"/>
        </w:rPr>
        <w:t>e</w:t>
      </w:r>
      <w:r w:rsidRPr="004D45CC">
        <w:rPr>
          <w:szCs w:val="22"/>
        </w:rPr>
        <w:t xml:space="preserve">s will be available </w:t>
      </w:r>
      <w:r w:rsidR="002F1B57">
        <w:rPr>
          <w:szCs w:val="22"/>
        </w:rPr>
        <w:t xml:space="preserve">free of charge </w:t>
      </w:r>
      <w:r w:rsidRPr="004D45CC">
        <w:rPr>
          <w:szCs w:val="22"/>
        </w:rPr>
        <w:t>upon registration</w:t>
      </w:r>
      <w:r>
        <w:rPr>
          <w:szCs w:val="22"/>
        </w:rPr>
        <w:t xml:space="preserve"> at the conference</w:t>
      </w:r>
      <w:r w:rsidR="00733D7D" w:rsidRPr="009C053D">
        <w:t>.</w:t>
      </w:r>
    </w:p>
    <w:p w:rsidR="00E91CC3" w:rsidRDefault="00E91CC3" w:rsidP="00890451">
      <w:pPr>
        <w:pStyle w:val="BodyText"/>
      </w:pPr>
    </w:p>
    <w:p w:rsidR="00E91CC3" w:rsidRDefault="00E91CC3" w:rsidP="00890451">
      <w:pPr>
        <w:pStyle w:val="BodyText"/>
      </w:pPr>
    </w:p>
    <w:p w:rsidR="00E91CC3" w:rsidRPr="009C053D" w:rsidRDefault="00E91CC3" w:rsidP="00890451">
      <w:pPr>
        <w:pStyle w:val="BodyText"/>
      </w:pPr>
    </w:p>
    <w:p w:rsidR="00DC40A6" w:rsidRPr="00E6286B" w:rsidRDefault="00DC40A6" w:rsidP="001E05D8">
      <w:pPr>
        <w:pStyle w:val="Heading1"/>
        <w:keepNext/>
        <w:keepLines/>
      </w:pPr>
      <w:r w:rsidRPr="00E6286B">
        <w:lastRenderedPageBreak/>
        <w:t>E</w:t>
      </w:r>
      <w:r w:rsidR="00701779" w:rsidRPr="00E6286B">
        <w:t>xhibit</w:t>
      </w:r>
      <w:r w:rsidR="003F6EE6">
        <w:t>ion</w:t>
      </w:r>
      <w:r w:rsidR="00701779" w:rsidRPr="00E6286B">
        <w:t>s</w:t>
      </w:r>
    </w:p>
    <w:p w:rsidR="001A33C0" w:rsidRDefault="008563A0" w:rsidP="001E05D8">
      <w:pPr>
        <w:pStyle w:val="BodyText"/>
        <w:keepNext/>
        <w:keepLines/>
        <w:widowControl w:val="0"/>
        <w:spacing w:after="0"/>
        <w:rPr>
          <w:szCs w:val="22"/>
          <w:lang w:eastAsia="en-GB"/>
        </w:rPr>
      </w:pPr>
      <w:r w:rsidRPr="00014C2D">
        <w:rPr>
          <w:szCs w:val="22"/>
          <w:lang w:eastAsia="en-GB"/>
        </w:rPr>
        <w:t>A limited amount of space will be offered by</w:t>
      </w:r>
      <w:r>
        <w:rPr>
          <w:szCs w:val="22"/>
          <w:lang w:eastAsia="en-GB"/>
        </w:rPr>
        <w:t xml:space="preserve"> </w:t>
      </w:r>
      <w:r w:rsidRPr="00014C2D">
        <w:rPr>
          <w:szCs w:val="22"/>
          <w:lang w:eastAsia="en-GB"/>
        </w:rPr>
        <w:t>the hosts for companies’ displays/exhibits of</w:t>
      </w:r>
      <w:r>
        <w:rPr>
          <w:szCs w:val="22"/>
          <w:lang w:eastAsia="en-GB"/>
        </w:rPr>
        <w:t xml:space="preserve"> </w:t>
      </w:r>
      <w:r w:rsidRPr="00014C2D">
        <w:rPr>
          <w:szCs w:val="22"/>
          <w:lang w:eastAsia="en-GB"/>
        </w:rPr>
        <w:t>equipment and services during the conference.</w:t>
      </w:r>
      <w:r>
        <w:rPr>
          <w:szCs w:val="22"/>
          <w:lang w:eastAsia="en-GB"/>
        </w:rPr>
        <w:t xml:space="preserve"> </w:t>
      </w:r>
      <w:r w:rsidRPr="00014C2D">
        <w:rPr>
          <w:szCs w:val="22"/>
          <w:lang w:eastAsia="en-GB"/>
        </w:rPr>
        <w:t>Interested parties should contact the local</w:t>
      </w:r>
      <w:r>
        <w:rPr>
          <w:szCs w:val="22"/>
          <w:lang w:eastAsia="en-GB"/>
        </w:rPr>
        <w:t xml:space="preserve"> </w:t>
      </w:r>
      <w:r w:rsidRPr="00014C2D">
        <w:rPr>
          <w:szCs w:val="22"/>
          <w:lang w:eastAsia="en-GB"/>
        </w:rPr>
        <w:t>organizer:</w:t>
      </w:r>
    </w:p>
    <w:p w:rsidR="008563A0" w:rsidRDefault="008563A0" w:rsidP="001E05D8">
      <w:pPr>
        <w:pStyle w:val="BodyText"/>
        <w:keepNext/>
        <w:keepLines/>
        <w:widowControl w:val="0"/>
        <w:spacing w:after="0"/>
        <w:rPr>
          <w:szCs w:val="22"/>
          <w:lang w:eastAsia="en-GB"/>
        </w:rPr>
      </w:pPr>
    </w:p>
    <w:p w:rsidR="008563A0" w:rsidRDefault="00EF163C" w:rsidP="00FD2AE5">
      <w:pPr>
        <w:pStyle w:val="BodyText"/>
        <w:keepNext/>
        <w:keepLines/>
        <w:spacing w:after="0"/>
        <w:rPr>
          <w:szCs w:val="22"/>
          <w:lang w:eastAsia="en-GB"/>
        </w:rPr>
      </w:pPr>
      <w:r>
        <w:rPr>
          <w:szCs w:val="22"/>
          <w:lang w:eastAsia="en-GB"/>
        </w:rPr>
        <w:t xml:space="preserve">Ms </w:t>
      </w:r>
      <w:proofErr w:type="spellStart"/>
      <w:r>
        <w:rPr>
          <w:szCs w:val="22"/>
          <w:lang w:eastAsia="en-GB"/>
        </w:rPr>
        <w:t>Fatema</w:t>
      </w:r>
      <w:proofErr w:type="spellEnd"/>
      <w:r>
        <w:rPr>
          <w:szCs w:val="22"/>
          <w:lang w:eastAsia="en-GB"/>
        </w:rPr>
        <w:t xml:space="preserve"> Al Ansari</w:t>
      </w:r>
    </w:p>
    <w:p w:rsidR="00EF163C" w:rsidRDefault="00EF163C" w:rsidP="00FD2AE5">
      <w:pPr>
        <w:pStyle w:val="BodyText"/>
        <w:keepNext/>
        <w:keepLines/>
        <w:spacing w:after="0"/>
        <w:rPr>
          <w:szCs w:val="22"/>
          <w:lang w:eastAsia="en-GB"/>
        </w:rPr>
      </w:pPr>
      <w:r>
        <w:rPr>
          <w:szCs w:val="22"/>
          <w:lang w:eastAsia="en-GB"/>
        </w:rPr>
        <w:t>Manager, Corporate Communication</w:t>
      </w:r>
    </w:p>
    <w:p w:rsidR="00EF163C" w:rsidRDefault="00EF163C" w:rsidP="00FD2AE5">
      <w:pPr>
        <w:pStyle w:val="BodyText"/>
        <w:keepNext/>
        <w:keepLines/>
        <w:spacing w:after="0"/>
        <w:rPr>
          <w:szCs w:val="22"/>
          <w:lang w:eastAsia="en-GB"/>
        </w:rPr>
      </w:pPr>
      <w:r>
        <w:rPr>
          <w:szCs w:val="22"/>
          <w:lang w:eastAsia="en-GB"/>
        </w:rPr>
        <w:t>Federal Authority for Nuclear Regulation (FANR)</w:t>
      </w:r>
    </w:p>
    <w:p w:rsidR="00EF163C" w:rsidRDefault="00EF163C" w:rsidP="00FD2AE5">
      <w:pPr>
        <w:pStyle w:val="BodyText"/>
        <w:keepNext/>
        <w:keepLines/>
        <w:spacing w:after="0"/>
        <w:rPr>
          <w:szCs w:val="22"/>
          <w:lang w:eastAsia="en-GB"/>
        </w:rPr>
      </w:pPr>
      <w:r>
        <w:rPr>
          <w:szCs w:val="22"/>
          <w:lang w:eastAsia="en-GB"/>
        </w:rPr>
        <w:t>PO Box 112021</w:t>
      </w:r>
    </w:p>
    <w:p w:rsidR="004D534D" w:rsidRDefault="004D534D" w:rsidP="004D534D">
      <w:pPr>
        <w:pStyle w:val="BodyText"/>
        <w:keepNext/>
        <w:keepLines/>
        <w:spacing w:after="0"/>
        <w:rPr>
          <w:szCs w:val="22"/>
          <w:lang w:eastAsia="en-GB"/>
        </w:rPr>
      </w:pPr>
      <w:r>
        <w:rPr>
          <w:szCs w:val="22"/>
          <w:lang w:eastAsia="en-GB"/>
        </w:rPr>
        <w:t>ABU DHABI</w:t>
      </w:r>
    </w:p>
    <w:p w:rsidR="00EF163C" w:rsidRDefault="00890451" w:rsidP="004D534D">
      <w:pPr>
        <w:pStyle w:val="BodyText"/>
        <w:keepNext/>
        <w:keepLines/>
        <w:spacing w:after="0"/>
        <w:rPr>
          <w:szCs w:val="22"/>
          <w:lang w:eastAsia="en-GB"/>
        </w:rPr>
      </w:pPr>
      <w:r>
        <w:rPr>
          <w:szCs w:val="22"/>
          <w:lang w:eastAsia="en-GB"/>
        </w:rPr>
        <w:t>UNITED ARAB EMIRATES</w:t>
      </w:r>
    </w:p>
    <w:p w:rsidR="00EF163C" w:rsidRDefault="00EF163C" w:rsidP="00FD2AE5">
      <w:pPr>
        <w:pStyle w:val="BodyText"/>
        <w:keepNext/>
        <w:keepLines/>
        <w:spacing w:after="0"/>
        <w:rPr>
          <w:szCs w:val="22"/>
          <w:lang w:eastAsia="en-GB"/>
        </w:rPr>
      </w:pPr>
      <w:r>
        <w:rPr>
          <w:szCs w:val="22"/>
          <w:lang w:eastAsia="en-GB"/>
        </w:rPr>
        <w:t xml:space="preserve">Tel.: +971 </w:t>
      </w:r>
      <w:r w:rsidR="00890451">
        <w:rPr>
          <w:szCs w:val="22"/>
          <w:lang w:eastAsia="en-GB"/>
        </w:rPr>
        <w:t xml:space="preserve">2 </w:t>
      </w:r>
      <w:r>
        <w:rPr>
          <w:szCs w:val="22"/>
          <w:lang w:eastAsia="en-GB"/>
        </w:rPr>
        <w:t>651 6677</w:t>
      </w:r>
    </w:p>
    <w:p w:rsidR="00EF163C" w:rsidRDefault="00EF163C" w:rsidP="00FD2AE5">
      <w:pPr>
        <w:pStyle w:val="BodyText"/>
        <w:keepNext/>
        <w:keepLines/>
        <w:spacing w:after="0"/>
        <w:rPr>
          <w:szCs w:val="22"/>
          <w:lang w:eastAsia="en-GB"/>
        </w:rPr>
      </w:pPr>
      <w:proofErr w:type="gramStart"/>
      <w:r>
        <w:rPr>
          <w:szCs w:val="22"/>
          <w:lang w:eastAsia="en-GB"/>
        </w:rPr>
        <w:t>Fax.:</w:t>
      </w:r>
      <w:proofErr w:type="gramEnd"/>
      <w:r>
        <w:rPr>
          <w:szCs w:val="22"/>
          <w:lang w:eastAsia="en-GB"/>
        </w:rPr>
        <w:t xml:space="preserve"> +971 </w:t>
      </w:r>
      <w:r w:rsidR="00890451">
        <w:rPr>
          <w:szCs w:val="22"/>
          <w:lang w:eastAsia="en-GB"/>
        </w:rPr>
        <w:t xml:space="preserve">2 </w:t>
      </w:r>
      <w:r>
        <w:rPr>
          <w:szCs w:val="22"/>
          <w:lang w:eastAsia="en-GB"/>
        </w:rPr>
        <w:t>651 6661</w:t>
      </w:r>
    </w:p>
    <w:p w:rsidR="00EF163C" w:rsidRDefault="00EF163C" w:rsidP="00FD2AE5">
      <w:pPr>
        <w:pStyle w:val="BodyText"/>
        <w:keepNext/>
        <w:keepLines/>
        <w:spacing w:after="0"/>
        <w:rPr>
          <w:szCs w:val="22"/>
          <w:lang w:eastAsia="en-GB"/>
        </w:rPr>
      </w:pPr>
      <w:r>
        <w:rPr>
          <w:szCs w:val="22"/>
          <w:lang w:eastAsia="en-GB"/>
        </w:rPr>
        <w:t xml:space="preserve">Email: </w:t>
      </w:r>
      <w:hyperlink r:id="rId13" w:history="1">
        <w:r w:rsidRPr="00E77E0D">
          <w:rPr>
            <w:rStyle w:val="Hyperlink"/>
            <w:szCs w:val="22"/>
            <w:lang w:eastAsia="en-GB"/>
          </w:rPr>
          <w:t>fatema.alansari@fanr.gov.ae</w:t>
        </w:r>
      </w:hyperlink>
    </w:p>
    <w:p w:rsidR="00733D7D" w:rsidRDefault="00733D7D" w:rsidP="00733D7D">
      <w:pPr>
        <w:pStyle w:val="Heading1"/>
      </w:pPr>
      <w:r>
        <w:t>Working Language</w:t>
      </w:r>
    </w:p>
    <w:p w:rsidR="00AF50D5" w:rsidRDefault="00733D7D" w:rsidP="00733D7D">
      <w:pPr>
        <w:pStyle w:val="BodyText"/>
      </w:pPr>
      <w:r>
        <w:t>The working language of the conference will be English.</w:t>
      </w:r>
    </w:p>
    <w:p w:rsidR="00733D7D" w:rsidRPr="00D57870" w:rsidRDefault="00733D7D" w:rsidP="00D57870">
      <w:pPr>
        <w:pStyle w:val="BodyText"/>
        <w:spacing w:after="0"/>
        <w:rPr>
          <w:sz w:val="4"/>
          <w:szCs w:val="4"/>
        </w:rPr>
      </w:pPr>
    </w:p>
    <w:p w:rsidR="009F44B5" w:rsidRPr="009F44B5" w:rsidRDefault="009F44B5" w:rsidP="00D57870">
      <w:pPr>
        <w:pStyle w:val="Heading1"/>
        <w:spacing w:before="0"/>
      </w:pPr>
      <w:r w:rsidRPr="009F44B5">
        <w:t>Accommodation</w:t>
      </w:r>
    </w:p>
    <w:p w:rsidR="00733D7D" w:rsidRDefault="009F44B5" w:rsidP="004D534D">
      <w:pPr>
        <w:overflowPunct/>
        <w:spacing w:after="170" w:line="280" w:lineRule="atLeast"/>
        <w:jc w:val="both"/>
        <w:textAlignment w:val="auto"/>
      </w:pPr>
      <w:r w:rsidRPr="009F44B5">
        <w:t xml:space="preserve">Detailed information on accommodation and other administrative matters will be sent directly to all </w:t>
      </w:r>
      <w:r w:rsidR="004D534D">
        <w:t>selected</w:t>
      </w:r>
      <w:r w:rsidR="004D534D" w:rsidRPr="009F44B5">
        <w:t xml:space="preserve"> </w:t>
      </w:r>
      <w:r w:rsidRPr="009F44B5">
        <w:t xml:space="preserve">participants approximately three months before the </w:t>
      </w:r>
      <w:r w:rsidR="003F552A">
        <w:t>conference</w:t>
      </w:r>
      <w:r w:rsidRPr="009F44B5">
        <w:t xml:space="preserve">. This information will also be made available on the conference </w:t>
      </w:r>
      <w:r w:rsidR="001F1303">
        <w:t>web page</w:t>
      </w:r>
      <w:r w:rsidRPr="009F44B5">
        <w:t>.</w:t>
      </w:r>
    </w:p>
    <w:p w:rsidR="00733D7D" w:rsidRDefault="00733D7D" w:rsidP="00D57870">
      <w:pPr>
        <w:pStyle w:val="Heading1"/>
      </w:pPr>
      <w:r>
        <w:t>Visa</w:t>
      </w:r>
      <w:r w:rsidR="00877F18">
        <w:t>s</w:t>
      </w:r>
    </w:p>
    <w:p w:rsidR="00E91CC3" w:rsidRDefault="008563A0" w:rsidP="00890451">
      <w:pPr>
        <w:pStyle w:val="BodyText"/>
        <w:tabs>
          <w:tab w:val="left" w:pos="-22"/>
        </w:tabs>
        <w:rPr>
          <w:szCs w:val="24"/>
        </w:rPr>
      </w:pPr>
      <w:r w:rsidRPr="005801A6">
        <w:rPr>
          <w:szCs w:val="24"/>
        </w:rPr>
        <w:t xml:space="preserve">Designated participants who require a visa to enter </w:t>
      </w:r>
      <w:r w:rsidR="001216CF">
        <w:rPr>
          <w:szCs w:val="24"/>
        </w:rPr>
        <w:t xml:space="preserve">the </w:t>
      </w:r>
      <w:r w:rsidRPr="005801A6">
        <w:rPr>
          <w:szCs w:val="24"/>
        </w:rPr>
        <w:t xml:space="preserve">United Arab Emirates should submit the necessary application(s) to the nearest diplomatic or consular representative of </w:t>
      </w:r>
      <w:r w:rsidR="00890451">
        <w:rPr>
          <w:szCs w:val="24"/>
        </w:rPr>
        <w:t xml:space="preserve">the United Arab Emirates </w:t>
      </w:r>
      <w:r w:rsidRPr="005801A6">
        <w:rPr>
          <w:szCs w:val="24"/>
        </w:rPr>
        <w:t xml:space="preserve">as soon as possible. Please keep an eye on the conference </w:t>
      </w:r>
      <w:r w:rsidR="001F1303">
        <w:rPr>
          <w:szCs w:val="24"/>
        </w:rPr>
        <w:t>web page</w:t>
      </w:r>
      <w:r w:rsidRPr="005801A6">
        <w:rPr>
          <w:szCs w:val="24"/>
        </w:rPr>
        <w:t xml:space="preserve"> for further advice/instructions on this.</w:t>
      </w:r>
      <w:r w:rsidR="00E91CC3">
        <w:rPr>
          <w:szCs w:val="24"/>
        </w:rPr>
        <w:br w:type="page"/>
      </w:r>
    </w:p>
    <w:p w:rsidR="00733D7D" w:rsidRPr="00A76996" w:rsidRDefault="00F82C2F" w:rsidP="00FD2AE5">
      <w:pPr>
        <w:pStyle w:val="Heading1"/>
      </w:pPr>
      <w:r w:rsidRPr="00A76996">
        <w:lastRenderedPageBreak/>
        <w:t>Key Deadlines</w:t>
      </w:r>
    </w:p>
    <w:p w:rsidR="002F1B57" w:rsidRPr="00E86ED6" w:rsidRDefault="00D85F71" w:rsidP="00FD2AE5">
      <w:pPr>
        <w:spacing w:after="120"/>
        <w:ind w:left="1701" w:hanging="1701"/>
        <w:jc w:val="both"/>
        <w:rPr>
          <w:szCs w:val="22"/>
        </w:rPr>
      </w:pPr>
      <w:r>
        <w:rPr>
          <w:b/>
          <w:bCs/>
          <w:szCs w:val="22"/>
        </w:rPr>
        <w:t>22 March</w:t>
      </w:r>
      <w:r w:rsidR="002F1B57" w:rsidRPr="00FD2AE5">
        <w:rPr>
          <w:b/>
          <w:bCs/>
          <w:szCs w:val="22"/>
        </w:rPr>
        <w:t xml:space="preserve"> 2013</w:t>
      </w:r>
      <w:r w:rsidR="002F1B57" w:rsidRPr="00E86ED6">
        <w:rPr>
          <w:szCs w:val="22"/>
        </w:rPr>
        <w:tab/>
      </w:r>
      <w:r w:rsidR="00890451">
        <w:rPr>
          <w:szCs w:val="22"/>
        </w:rPr>
        <w:tab/>
      </w:r>
      <w:r w:rsidR="002F1B57" w:rsidRPr="00E86ED6">
        <w:rPr>
          <w:szCs w:val="22"/>
        </w:rPr>
        <w:t xml:space="preserve">Submission of </w:t>
      </w:r>
      <w:r w:rsidR="002F1B57" w:rsidRPr="002F1B57">
        <w:rPr>
          <w:b/>
          <w:szCs w:val="22"/>
        </w:rPr>
        <w:t>extended synopses</w:t>
      </w:r>
      <w:r w:rsidR="002F1B57" w:rsidRPr="00E86ED6">
        <w:rPr>
          <w:szCs w:val="22"/>
        </w:rPr>
        <w:t xml:space="preserve"> including Forms A and B through official </w:t>
      </w:r>
      <w:r w:rsidR="00890451">
        <w:rPr>
          <w:szCs w:val="22"/>
        </w:rPr>
        <w:tab/>
      </w:r>
      <w:r w:rsidR="002F1B57" w:rsidRPr="00E86ED6">
        <w:rPr>
          <w:szCs w:val="22"/>
        </w:rPr>
        <w:t>channels to the IAEA (</w:t>
      </w:r>
      <w:hyperlink r:id="rId14" w:history="1">
        <w:r w:rsidR="002F1B57" w:rsidRPr="00E86ED6">
          <w:rPr>
            <w:rStyle w:val="Hyperlink"/>
            <w:szCs w:val="22"/>
          </w:rPr>
          <w:t>official.mail@iaea.org</w:t>
        </w:r>
      </w:hyperlink>
      <w:r w:rsidR="002F1B57" w:rsidRPr="00E86ED6">
        <w:rPr>
          <w:szCs w:val="22"/>
        </w:rPr>
        <w:t xml:space="preserve">). Advance copy to: </w:t>
      </w:r>
      <w:r w:rsidR="00890451">
        <w:rPr>
          <w:szCs w:val="22"/>
        </w:rPr>
        <w:tab/>
      </w:r>
      <w:hyperlink r:id="rId15" w:history="1">
        <w:r w:rsidR="002F1B57" w:rsidRPr="00BE4777">
          <w:rPr>
            <w:rStyle w:val="Hyperlink"/>
            <w:szCs w:val="22"/>
          </w:rPr>
          <w:t>CN204@iaea.org</w:t>
        </w:r>
      </w:hyperlink>
    </w:p>
    <w:p w:rsidR="002F1B57" w:rsidRPr="00E86ED6" w:rsidRDefault="00D85F71" w:rsidP="00FD2AE5">
      <w:pPr>
        <w:spacing w:after="120"/>
        <w:ind w:left="1701" w:hanging="1701"/>
        <w:jc w:val="both"/>
        <w:rPr>
          <w:szCs w:val="22"/>
        </w:rPr>
      </w:pPr>
      <w:r>
        <w:rPr>
          <w:b/>
          <w:bCs/>
          <w:szCs w:val="22"/>
        </w:rPr>
        <w:t>22 March</w:t>
      </w:r>
      <w:r w:rsidR="002F1B57" w:rsidRPr="00FD2AE5">
        <w:rPr>
          <w:b/>
          <w:bCs/>
          <w:szCs w:val="22"/>
        </w:rPr>
        <w:t xml:space="preserve"> 2013</w:t>
      </w:r>
      <w:r w:rsidR="002F1B57" w:rsidRPr="00E86ED6">
        <w:rPr>
          <w:szCs w:val="22"/>
        </w:rPr>
        <w:tab/>
      </w:r>
      <w:r w:rsidR="00890451">
        <w:rPr>
          <w:szCs w:val="22"/>
        </w:rPr>
        <w:tab/>
      </w:r>
      <w:r w:rsidR="002F1B57" w:rsidRPr="00E86ED6">
        <w:rPr>
          <w:szCs w:val="22"/>
        </w:rPr>
        <w:t xml:space="preserve">Submission of </w:t>
      </w:r>
      <w:r w:rsidR="002F1B57" w:rsidRPr="00E86ED6">
        <w:rPr>
          <w:b/>
          <w:szCs w:val="22"/>
        </w:rPr>
        <w:t>grant applications</w:t>
      </w:r>
      <w:r w:rsidR="002F1B57" w:rsidRPr="00E86ED6">
        <w:rPr>
          <w:szCs w:val="22"/>
        </w:rPr>
        <w:t xml:space="preserve">: Forms A and C through official channels </w:t>
      </w:r>
      <w:r w:rsidR="00890451">
        <w:rPr>
          <w:szCs w:val="22"/>
        </w:rPr>
        <w:tab/>
      </w:r>
      <w:r w:rsidR="002F1B57" w:rsidRPr="00E86ED6">
        <w:rPr>
          <w:szCs w:val="22"/>
        </w:rPr>
        <w:t>to the IAEA (</w:t>
      </w:r>
      <w:hyperlink r:id="rId16" w:history="1">
        <w:r w:rsidR="002F1B57" w:rsidRPr="00E86ED6">
          <w:rPr>
            <w:rStyle w:val="Hyperlink"/>
            <w:szCs w:val="22"/>
          </w:rPr>
          <w:t>official.mail@iaea.org</w:t>
        </w:r>
      </w:hyperlink>
      <w:r w:rsidR="002F1B57" w:rsidRPr="00E86ED6">
        <w:rPr>
          <w:szCs w:val="22"/>
        </w:rPr>
        <w:t>)</w:t>
      </w:r>
    </w:p>
    <w:p w:rsidR="002F1B57" w:rsidRPr="00E86ED6" w:rsidRDefault="001A5C04" w:rsidP="00FD2AE5">
      <w:pPr>
        <w:spacing w:after="120"/>
        <w:ind w:left="1701" w:hanging="1701"/>
        <w:jc w:val="both"/>
        <w:rPr>
          <w:szCs w:val="22"/>
        </w:rPr>
      </w:pPr>
      <w:r>
        <w:rPr>
          <w:b/>
          <w:bCs/>
          <w:szCs w:val="22"/>
        </w:rPr>
        <w:t xml:space="preserve">10 May </w:t>
      </w:r>
      <w:r w:rsidR="005B00BE" w:rsidRPr="00FD2AE5">
        <w:rPr>
          <w:b/>
          <w:bCs/>
          <w:szCs w:val="22"/>
        </w:rPr>
        <w:t>2013</w:t>
      </w:r>
      <w:r w:rsidR="002F1B57" w:rsidRPr="00E86ED6">
        <w:rPr>
          <w:szCs w:val="22"/>
        </w:rPr>
        <w:tab/>
      </w:r>
      <w:r w:rsidR="00890451">
        <w:rPr>
          <w:szCs w:val="22"/>
        </w:rPr>
        <w:tab/>
      </w:r>
      <w:r w:rsidR="002F1B57" w:rsidRPr="00E86ED6">
        <w:rPr>
          <w:szCs w:val="22"/>
        </w:rPr>
        <w:t xml:space="preserve">Notification of acceptance of </w:t>
      </w:r>
      <w:r w:rsidR="005B00BE">
        <w:rPr>
          <w:szCs w:val="22"/>
        </w:rPr>
        <w:t>papers/posters</w:t>
      </w:r>
    </w:p>
    <w:p w:rsidR="002F1B57" w:rsidRDefault="005B00BE" w:rsidP="00FD2AE5">
      <w:pPr>
        <w:spacing w:after="120"/>
        <w:ind w:left="1701" w:hanging="1701"/>
        <w:jc w:val="both"/>
        <w:rPr>
          <w:szCs w:val="22"/>
        </w:rPr>
      </w:pPr>
      <w:r w:rsidRPr="00FD2AE5">
        <w:rPr>
          <w:b/>
          <w:bCs/>
          <w:szCs w:val="22"/>
        </w:rPr>
        <w:t xml:space="preserve">1 </w:t>
      </w:r>
      <w:r w:rsidR="001A5C04">
        <w:rPr>
          <w:b/>
          <w:bCs/>
          <w:szCs w:val="22"/>
        </w:rPr>
        <w:t xml:space="preserve">July </w:t>
      </w:r>
      <w:r w:rsidRPr="00FD2AE5">
        <w:rPr>
          <w:b/>
          <w:bCs/>
          <w:szCs w:val="22"/>
        </w:rPr>
        <w:t>2013</w:t>
      </w:r>
      <w:r w:rsidR="002F1B57" w:rsidRPr="00E86ED6">
        <w:rPr>
          <w:szCs w:val="22"/>
        </w:rPr>
        <w:tab/>
      </w:r>
      <w:r w:rsidR="00890451">
        <w:rPr>
          <w:szCs w:val="22"/>
        </w:rPr>
        <w:tab/>
      </w:r>
      <w:r w:rsidR="002F1B57" w:rsidRPr="00E86ED6">
        <w:rPr>
          <w:szCs w:val="22"/>
        </w:rPr>
        <w:t xml:space="preserve">Submission of </w:t>
      </w:r>
      <w:r w:rsidR="002F1B57" w:rsidRPr="00E86ED6">
        <w:rPr>
          <w:b/>
          <w:szCs w:val="22"/>
        </w:rPr>
        <w:t>full paper</w:t>
      </w:r>
      <w:r w:rsidR="002F1B57" w:rsidRPr="00E86ED6">
        <w:rPr>
          <w:szCs w:val="22"/>
        </w:rPr>
        <w:t xml:space="preserve"> (only upon request by the IAEA) to</w:t>
      </w:r>
      <w:r w:rsidR="00890451">
        <w:rPr>
          <w:szCs w:val="22"/>
        </w:rPr>
        <w:t>:</w:t>
      </w:r>
      <w:r w:rsidR="00890451">
        <w:rPr>
          <w:szCs w:val="22"/>
        </w:rPr>
        <w:tab/>
      </w:r>
      <w:hyperlink r:id="rId17" w:history="1">
        <w:r w:rsidRPr="00BE4777">
          <w:rPr>
            <w:rStyle w:val="Hyperlink"/>
            <w:szCs w:val="22"/>
          </w:rPr>
          <w:t>CN204@iaea.org</w:t>
        </w:r>
      </w:hyperlink>
    </w:p>
    <w:p w:rsidR="002F1B57" w:rsidRDefault="00BD36F9" w:rsidP="00FD2AE5">
      <w:pPr>
        <w:spacing w:after="120"/>
        <w:ind w:left="1701" w:hanging="1701"/>
        <w:jc w:val="both"/>
        <w:rPr>
          <w:szCs w:val="22"/>
        </w:rPr>
      </w:pPr>
      <w:r>
        <w:rPr>
          <w:b/>
          <w:bCs/>
          <w:szCs w:val="22"/>
        </w:rPr>
        <w:t xml:space="preserve">14 </w:t>
      </w:r>
      <w:r w:rsidR="005B00BE" w:rsidRPr="00FD2AE5">
        <w:rPr>
          <w:b/>
          <w:bCs/>
          <w:szCs w:val="22"/>
        </w:rPr>
        <w:t>July</w:t>
      </w:r>
      <w:r w:rsidR="002F1B57" w:rsidRPr="00FD2AE5">
        <w:rPr>
          <w:b/>
          <w:bCs/>
          <w:szCs w:val="22"/>
        </w:rPr>
        <w:t xml:space="preserve"> 2013</w:t>
      </w:r>
      <w:r w:rsidR="002F1B57" w:rsidRPr="00E86ED6">
        <w:rPr>
          <w:szCs w:val="22"/>
        </w:rPr>
        <w:tab/>
      </w:r>
      <w:r w:rsidR="00890451">
        <w:rPr>
          <w:szCs w:val="22"/>
        </w:rPr>
        <w:tab/>
      </w:r>
      <w:r w:rsidR="002F1B57" w:rsidRPr="00E86ED6">
        <w:rPr>
          <w:szCs w:val="22"/>
        </w:rPr>
        <w:t xml:space="preserve">Submission of </w:t>
      </w:r>
      <w:r w:rsidR="005B00BE">
        <w:rPr>
          <w:b/>
          <w:szCs w:val="22"/>
        </w:rPr>
        <w:t xml:space="preserve">national report on implementation of the Code and the </w:t>
      </w:r>
      <w:r w:rsidR="00890451">
        <w:rPr>
          <w:b/>
          <w:szCs w:val="22"/>
        </w:rPr>
        <w:tab/>
      </w:r>
      <w:r w:rsidR="005B00BE">
        <w:rPr>
          <w:b/>
          <w:szCs w:val="22"/>
        </w:rPr>
        <w:t>Guidanc</w:t>
      </w:r>
      <w:r w:rsidR="000F57AD">
        <w:rPr>
          <w:b/>
          <w:szCs w:val="22"/>
        </w:rPr>
        <w:t>e</w:t>
      </w:r>
      <w:r w:rsidR="000F57AD" w:rsidRPr="00FD2AE5">
        <w:rPr>
          <w:bCs/>
          <w:szCs w:val="22"/>
        </w:rPr>
        <w:t xml:space="preserve"> </w:t>
      </w:r>
      <w:r w:rsidR="000F57AD" w:rsidRPr="000F57AD">
        <w:rPr>
          <w:szCs w:val="22"/>
        </w:rPr>
        <w:t>to</w:t>
      </w:r>
      <w:r w:rsidR="00890451">
        <w:t>:</w:t>
      </w:r>
      <w:r w:rsidR="000F57AD" w:rsidRPr="00FD2AE5">
        <w:t xml:space="preserve"> </w:t>
      </w:r>
      <w:hyperlink r:id="rId18" w:history="1">
        <w:r w:rsidR="005B00BE" w:rsidRPr="00BE4777">
          <w:rPr>
            <w:rStyle w:val="Hyperlink"/>
            <w:szCs w:val="22"/>
          </w:rPr>
          <w:t>CN204@iaea.org</w:t>
        </w:r>
      </w:hyperlink>
    </w:p>
    <w:p w:rsidR="005B00BE" w:rsidRDefault="005B00BE" w:rsidP="002F1B57">
      <w:pPr>
        <w:spacing w:after="120"/>
        <w:ind w:left="1701" w:hanging="1701"/>
        <w:rPr>
          <w:szCs w:val="22"/>
        </w:rPr>
      </w:pPr>
    </w:p>
    <w:p w:rsidR="002F1B57" w:rsidRDefault="002F1B57" w:rsidP="00FD2AE5">
      <w:pPr>
        <w:spacing w:after="170" w:line="280" w:lineRule="atLeast"/>
        <w:jc w:val="both"/>
        <w:rPr>
          <w:szCs w:val="22"/>
        </w:rPr>
      </w:pPr>
      <w:r w:rsidRPr="00E86ED6">
        <w:rPr>
          <w:szCs w:val="22"/>
        </w:rPr>
        <w:t>Persons interested in participating in the conference but not submitting a paper must submit</w:t>
      </w:r>
      <w:r w:rsidR="00890451">
        <w:rPr>
          <w:szCs w:val="22"/>
        </w:rPr>
        <w:t xml:space="preserve"> the</w:t>
      </w:r>
      <w:r w:rsidRPr="00E86ED6">
        <w:rPr>
          <w:szCs w:val="22"/>
        </w:rPr>
        <w:t xml:space="preserve"> </w:t>
      </w:r>
      <w:r w:rsidRPr="00E86ED6">
        <w:rPr>
          <w:b/>
          <w:szCs w:val="22"/>
        </w:rPr>
        <w:t xml:space="preserve">Participation Form </w:t>
      </w:r>
      <w:r w:rsidR="00890451">
        <w:rPr>
          <w:b/>
          <w:szCs w:val="22"/>
        </w:rPr>
        <w:t xml:space="preserve">(Form </w:t>
      </w:r>
      <w:r w:rsidRPr="00E86ED6">
        <w:rPr>
          <w:b/>
          <w:szCs w:val="22"/>
        </w:rPr>
        <w:t>A</w:t>
      </w:r>
      <w:r w:rsidR="00890451">
        <w:rPr>
          <w:b/>
          <w:szCs w:val="22"/>
        </w:rPr>
        <w:t>)</w:t>
      </w:r>
      <w:r w:rsidRPr="00E86ED6">
        <w:rPr>
          <w:szCs w:val="22"/>
        </w:rPr>
        <w:t xml:space="preserve"> through official channels to the IAEA (</w:t>
      </w:r>
      <w:hyperlink r:id="rId19" w:history="1">
        <w:r w:rsidR="005B00BE" w:rsidRPr="00BE4777">
          <w:rPr>
            <w:rStyle w:val="Hyperlink"/>
            <w:szCs w:val="22"/>
          </w:rPr>
          <w:t>official.mail@iaea.org</w:t>
        </w:r>
      </w:hyperlink>
      <w:r w:rsidRPr="00E86ED6">
        <w:rPr>
          <w:szCs w:val="22"/>
        </w:rPr>
        <w:t>) as soon as possible.</w:t>
      </w:r>
    </w:p>
    <w:p w:rsidR="00733D7D" w:rsidRDefault="00F82C2F" w:rsidP="00F82C2F">
      <w:pPr>
        <w:pStyle w:val="Heading1"/>
      </w:pPr>
      <w:r>
        <w:t>Conference Secretariat</w:t>
      </w:r>
    </w:p>
    <w:p w:rsidR="008563A0" w:rsidRPr="00C362C4" w:rsidRDefault="000F57AD" w:rsidP="008563A0">
      <w:pPr>
        <w:pStyle w:val="BodyText"/>
        <w:rPr>
          <w:b/>
        </w:rPr>
      </w:pPr>
      <w:r>
        <w:rPr>
          <w:b/>
        </w:rPr>
        <w:t>General postal a</w:t>
      </w:r>
      <w:r w:rsidR="008563A0" w:rsidRPr="00C362C4">
        <w:rPr>
          <w:b/>
        </w:rPr>
        <w:t xml:space="preserve">ddress of the </w:t>
      </w:r>
      <w:r>
        <w:rPr>
          <w:b/>
        </w:rPr>
        <w:t>IAEA</w:t>
      </w:r>
      <w:r w:rsidR="008563A0" w:rsidRPr="00C362C4">
        <w:rPr>
          <w:b/>
        </w:rPr>
        <w:t xml:space="preserve"> Secretariat:</w:t>
      </w:r>
    </w:p>
    <w:p w:rsidR="008563A0" w:rsidRDefault="008563A0" w:rsidP="004D534D">
      <w:pPr>
        <w:pStyle w:val="BodyText"/>
        <w:spacing w:after="0"/>
        <w:rPr>
          <w:rFonts w:eastAsia="MS Mincho"/>
          <w:szCs w:val="22"/>
          <w:lang w:eastAsia="ja-JP"/>
        </w:rPr>
      </w:pPr>
      <w:r w:rsidRPr="006F271E">
        <w:rPr>
          <w:rFonts w:eastAsia="MS Mincho"/>
          <w:szCs w:val="22"/>
        </w:rPr>
        <w:t>International Atomic Energy Agency</w:t>
      </w:r>
      <w:r w:rsidRPr="00755F46">
        <w:br/>
      </w:r>
      <w:r w:rsidRPr="006F271E">
        <w:rPr>
          <w:rFonts w:eastAsia="MS Mincho"/>
          <w:szCs w:val="22"/>
        </w:rPr>
        <w:t>Vienna International Centre</w:t>
      </w:r>
      <w:r>
        <w:rPr>
          <w:rFonts w:eastAsia="MS Mincho"/>
          <w:szCs w:val="22"/>
        </w:rPr>
        <w:t xml:space="preserve">, </w:t>
      </w:r>
      <w:r w:rsidRPr="006F271E">
        <w:rPr>
          <w:rFonts w:eastAsia="MS Mincho"/>
          <w:szCs w:val="22"/>
        </w:rPr>
        <w:t>PO Box 100</w:t>
      </w:r>
      <w:r w:rsidRPr="00755F46">
        <w:br/>
      </w:r>
      <w:r w:rsidRPr="006F271E">
        <w:rPr>
          <w:rFonts w:eastAsia="MS Mincho"/>
          <w:szCs w:val="22"/>
        </w:rPr>
        <w:t xml:space="preserve">1400 </w:t>
      </w:r>
      <w:r w:rsidR="004D534D" w:rsidRPr="006F271E">
        <w:rPr>
          <w:rFonts w:eastAsia="MS Mincho"/>
          <w:szCs w:val="22"/>
        </w:rPr>
        <w:t>V</w:t>
      </w:r>
      <w:r w:rsidR="004D534D">
        <w:rPr>
          <w:rFonts w:eastAsia="MS Mincho"/>
          <w:szCs w:val="22"/>
        </w:rPr>
        <w:t>IENNA</w:t>
      </w:r>
      <w:r w:rsidR="004D534D">
        <w:rPr>
          <w:rFonts w:eastAsia="MS Mincho"/>
          <w:szCs w:val="22"/>
        </w:rPr>
        <w:br/>
      </w:r>
      <w:r w:rsidR="00890451" w:rsidRPr="006F271E">
        <w:rPr>
          <w:rFonts w:eastAsia="MS Mincho"/>
          <w:szCs w:val="22"/>
        </w:rPr>
        <w:t>A</w:t>
      </w:r>
      <w:r w:rsidR="00890451">
        <w:rPr>
          <w:rFonts w:eastAsia="MS Mincho"/>
          <w:szCs w:val="22"/>
        </w:rPr>
        <w:t>USTRIA</w:t>
      </w:r>
      <w:r w:rsidRPr="00755F46">
        <w:br/>
      </w:r>
      <w:r>
        <w:rPr>
          <w:rFonts w:eastAsia="MS Mincho"/>
          <w:szCs w:val="22"/>
          <w:lang w:eastAsia="ja-JP"/>
        </w:rPr>
        <w:t>Ref. IAEA-CN-204</w:t>
      </w:r>
    </w:p>
    <w:p w:rsidR="008563A0" w:rsidRDefault="008563A0" w:rsidP="008563A0">
      <w:pPr>
        <w:pStyle w:val="BodyText"/>
        <w:rPr>
          <w:rFonts w:eastAsia="Batang"/>
          <w:color w:val="0000FF"/>
          <w:szCs w:val="22"/>
          <w:u w:val="single"/>
          <w:lang w:eastAsia="ko-KR"/>
        </w:rPr>
      </w:pPr>
      <w:r w:rsidRPr="006F271E">
        <w:rPr>
          <w:rFonts w:eastAsia="MS Mincho"/>
          <w:szCs w:val="22"/>
          <w:lang w:eastAsia="ja-JP"/>
        </w:rPr>
        <w:t xml:space="preserve">Tel.: +43 1 2600 </w:t>
      </w:r>
      <w:r>
        <w:rPr>
          <w:rFonts w:eastAsia="MS Mincho"/>
          <w:szCs w:val="22"/>
          <w:lang w:eastAsia="ja-JP"/>
        </w:rPr>
        <w:t>0</w:t>
      </w:r>
      <w:r w:rsidRPr="00755F46">
        <w:br/>
      </w:r>
      <w:r w:rsidRPr="006F271E">
        <w:rPr>
          <w:rFonts w:eastAsia="MS Mincho"/>
          <w:szCs w:val="22"/>
          <w:lang w:eastAsia="ja-JP"/>
        </w:rPr>
        <w:t>Fax: +43 1 2600 7</w:t>
      </w:r>
      <w:r w:rsidRPr="00755F46">
        <w:br/>
      </w:r>
      <w:r w:rsidRPr="00C362C4">
        <w:rPr>
          <w:rFonts w:eastAsia="MS Mincho"/>
          <w:szCs w:val="22"/>
          <w:lang w:eastAsia="ja-JP"/>
        </w:rPr>
        <w:t xml:space="preserve">Email: </w:t>
      </w:r>
      <w:hyperlink r:id="rId20" w:history="1">
        <w:r w:rsidRPr="005F7FDC">
          <w:rPr>
            <w:rStyle w:val="Hyperlink"/>
            <w:rFonts w:eastAsia="Batang"/>
            <w:szCs w:val="22"/>
            <w:lang w:eastAsia="ko-KR"/>
          </w:rPr>
          <w:t>official.mail@iaea.org</w:t>
        </w:r>
      </w:hyperlink>
      <w:r>
        <w:rPr>
          <w:rFonts w:eastAsia="Batang"/>
          <w:color w:val="0000FF"/>
          <w:szCs w:val="22"/>
          <w:u w:val="single"/>
          <w:lang w:eastAsia="ko-KR"/>
        </w:rPr>
        <w:t xml:space="preserve"> or </w:t>
      </w:r>
    </w:p>
    <w:p w:rsidR="000F57AD" w:rsidRPr="008563A0" w:rsidRDefault="000F57AD" w:rsidP="008563A0">
      <w:pPr>
        <w:pStyle w:val="BodyText"/>
        <w:rPr>
          <w:rFonts w:eastAsia="MS Mincho"/>
          <w:szCs w:val="22"/>
        </w:rPr>
      </w:pPr>
    </w:p>
    <w:p w:rsidR="008563A0" w:rsidRPr="00C362C4" w:rsidRDefault="008563A0" w:rsidP="008563A0">
      <w:pPr>
        <w:pStyle w:val="BodyText"/>
        <w:rPr>
          <w:b/>
        </w:rPr>
      </w:pPr>
      <w:r w:rsidRPr="00C362C4">
        <w:rPr>
          <w:b/>
        </w:rPr>
        <w:t xml:space="preserve">Scientific Secretaries </w:t>
      </w:r>
      <w:r w:rsidR="000F57AD">
        <w:rPr>
          <w:b/>
        </w:rPr>
        <w:t>(IAEA)</w:t>
      </w:r>
      <w:r w:rsidRPr="00C362C4">
        <w:rPr>
          <w:b/>
        </w:rPr>
        <w:t>:</w:t>
      </w:r>
    </w:p>
    <w:p w:rsidR="008563A0" w:rsidRDefault="008563A0" w:rsidP="000B4C6B">
      <w:pPr>
        <w:pStyle w:val="BodyText"/>
        <w:rPr>
          <w:rFonts w:eastAsia="MS Mincho"/>
          <w:szCs w:val="22"/>
          <w:lang w:eastAsia="ja-JP"/>
        </w:rPr>
      </w:pPr>
      <w:r w:rsidRPr="006F271E">
        <w:rPr>
          <w:rFonts w:eastAsia="MS Mincho"/>
          <w:szCs w:val="22"/>
          <w:lang w:eastAsia="ja-JP"/>
        </w:rPr>
        <w:t xml:space="preserve">Mr </w:t>
      </w:r>
      <w:r w:rsidR="003C5B25">
        <w:rPr>
          <w:rFonts w:eastAsia="MS Mincho"/>
          <w:szCs w:val="22"/>
          <w:lang w:eastAsia="ja-JP"/>
        </w:rPr>
        <w:t xml:space="preserve">Ahmad Al </w:t>
      </w:r>
      <w:proofErr w:type="spellStart"/>
      <w:r w:rsidR="003C5B25">
        <w:rPr>
          <w:rFonts w:eastAsia="MS Mincho"/>
          <w:szCs w:val="22"/>
          <w:lang w:eastAsia="ja-JP"/>
        </w:rPr>
        <w:t>Khatibeh</w:t>
      </w:r>
      <w:proofErr w:type="spellEnd"/>
      <w:r w:rsidRPr="00755F46">
        <w:br/>
      </w:r>
      <w:r w:rsidRPr="006F271E">
        <w:rPr>
          <w:rFonts w:eastAsia="MS Mincho"/>
          <w:szCs w:val="22"/>
          <w:lang w:eastAsia="ja-JP"/>
        </w:rPr>
        <w:t xml:space="preserve">Division of </w:t>
      </w:r>
      <w:r w:rsidR="003C5B25">
        <w:rPr>
          <w:rFonts w:eastAsia="MS Mincho"/>
          <w:szCs w:val="22"/>
          <w:lang w:eastAsia="ja-JP"/>
        </w:rPr>
        <w:t>Radiation, Transport and Waste Safety</w:t>
      </w:r>
      <w:r w:rsidRPr="00755F46">
        <w:br/>
      </w:r>
      <w:r w:rsidRPr="006F271E">
        <w:rPr>
          <w:rFonts w:eastAsia="MS Mincho"/>
          <w:szCs w:val="22"/>
          <w:lang w:eastAsia="ja-JP"/>
        </w:rPr>
        <w:t>Tel.: +43 1 2600 2</w:t>
      </w:r>
      <w:r w:rsidR="003C5B25">
        <w:rPr>
          <w:rFonts w:eastAsia="MS Mincho"/>
          <w:szCs w:val="22"/>
          <w:lang w:eastAsia="ja-JP"/>
        </w:rPr>
        <w:t>6366</w:t>
      </w:r>
      <w:r w:rsidRPr="00755F46">
        <w:br/>
      </w:r>
      <w:r w:rsidRPr="006F271E">
        <w:rPr>
          <w:rFonts w:eastAsia="MS Mincho"/>
          <w:szCs w:val="22"/>
          <w:lang w:eastAsia="ja-JP"/>
        </w:rPr>
        <w:t>Fax: +43 1 2600 2007</w:t>
      </w:r>
      <w:r w:rsidRPr="00755F46">
        <w:br/>
      </w:r>
      <w:r w:rsidRPr="00C362C4">
        <w:rPr>
          <w:rFonts w:eastAsia="MS Mincho"/>
          <w:szCs w:val="22"/>
          <w:lang w:eastAsia="ja-JP"/>
        </w:rPr>
        <w:t>Email:</w:t>
      </w:r>
      <w:r>
        <w:rPr>
          <w:rFonts w:eastAsia="MS Mincho"/>
          <w:szCs w:val="22"/>
          <w:lang w:eastAsia="ja-JP"/>
        </w:rPr>
        <w:t xml:space="preserve"> </w:t>
      </w:r>
      <w:hyperlink r:id="rId21" w:history="1">
        <w:r w:rsidR="000F57AD" w:rsidRPr="00BE4777">
          <w:rPr>
            <w:rStyle w:val="Hyperlink"/>
            <w:rFonts w:eastAsia="MS Mincho"/>
            <w:szCs w:val="22"/>
            <w:lang w:eastAsia="ja-JP"/>
          </w:rPr>
          <w:t>CN204@iaea.org</w:t>
        </w:r>
      </w:hyperlink>
    </w:p>
    <w:p w:rsidR="003C5B25" w:rsidRDefault="008563A0" w:rsidP="003C5B25">
      <w:pPr>
        <w:pStyle w:val="BodyText"/>
      </w:pPr>
      <w:r w:rsidRPr="00C362C4">
        <w:t xml:space="preserve">Mr </w:t>
      </w:r>
      <w:r w:rsidR="003C5B25">
        <w:t>Carlos Torres Vidal</w:t>
      </w:r>
      <w:r w:rsidRPr="00755F46">
        <w:br/>
      </w:r>
      <w:r w:rsidR="003C5B25">
        <w:t>Office of Nuclear Security</w:t>
      </w:r>
      <w:r w:rsidRPr="00755F46">
        <w:br/>
      </w:r>
      <w:r w:rsidRPr="00C362C4">
        <w:t xml:space="preserve">Tel.: +43 1 2600 </w:t>
      </w:r>
      <w:r>
        <w:t>2</w:t>
      </w:r>
      <w:r w:rsidR="003C5B25">
        <w:t>6642</w:t>
      </w:r>
      <w:r w:rsidRPr="00755F46">
        <w:br/>
      </w:r>
      <w:r w:rsidRPr="00C362C4">
        <w:t>Fax: +43 1 26007</w:t>
      </w:r>
      <w:r w:rsidRPr="00755F46">
        <w:br/>
      </w:r>
      <w:r w:rsidRPr="00C362C4">
        <w:t xml:space="preserve">Email: </w:t>
      </w:r>
      <w:hyperlink r:id="rId22" w:history="1">
        <w:r w:rsidR="000F57AD" w:rsidRPr="00BE4777">
          <w:rPr>
            <w:rStyle w:val="Hyperlink"/>
          </w:rPr>
          <w:t>CN204@iaea.org</w:t>
        </w:r>
      </w:hyperlink>
      <w:r w:rsidR="003C663C">
        <w:t xml:space="preserve"> </w:t>
      </w:r>
    </w:p>
    <w:p w:rsidR="00981B7E" w:rsidRPr="003C663C" w:rsidRDefault="00981B7E" w:rsidP="003C5B25">
      <w:pPr>
        <w:pStyle w:val="BodyText"/>
        <w:rPr>
          <w:lang w:val="en-US"/>
        </w:rPr>
      </w:pPr>
    </w:p>
    <w:p w:rsidR="008563A0" w:rsidRPr="00755F46" w:rsidRDefault="008563A0" w:rsidP="008563A0">
      <w:pPr>
        <w:pStyle w:val="BodyText"/>
      </w:pPr>
      <w:r w:rsidRPr="00C362C4">
        <w:rPr>
          <w:b/>
        </w:rPr>
        <w:lastRenderedPageBreak/>
        <w:t>Administration and Organization</w:t>
      </w:r>
      <w:r w:rsidR="000F57AD">
        <w:rPr>
          <w:b/>
        </w:rPr>
        <w:t xml:space="preserve"> (IAEA)</w:t>
      </w:r>
      <w:r w:rsidRPr="00C362C4">
        <w:rPr>
          <w:b/>
        </w:rPr>
        <w:t>:</w:t>
      </w:r>
    </w:p>
    <w:p w:rsidR="008563A0" w:rsidRDefault="008563A0" w:rsidP="008563A0">
      <w:pPr>
        <w:pStyle w:val="BodyText"/>
      </w:pPr>
      <w:r w:rsidRPr="00755F46">
        <w:t xml:space="preserve">Ms Martina </w:t>
      </w:r>
      <w:bookmarkStart w:id="1" w:name="OLE_LINK1"/>
      <w:bookmarkStart w:id="2" w:name="OLE_LINK2"/>
      <w:proofErr w:type="spellStart"/>
      <w:r w:rsidR="003660AF">
        <w:t>Khaelss</w:t>
      </w:r>
      <w:proofErr w:type="spellEnd"/>
      <w:r w:rsidRPr="00755F46">
        <w:br/>
      </w:r>
      <w:bookmarkEnd w:id="1"/>
      <w:bookmarkEnd w:id="2"/>
      <w:r w:rsidRPr="00755F46">
        <w:t>Conference Services Section</w:t>
      </w:r>
      <w:r w:rsidRPr="00755F46">
        <w:br/>
        <w:t>Division of Conference a</w:t>
      </w:r>
      <w:r w:rsidR="003660AF">
        <w:t>nd Document Services</w:t>
      </w:r>
      <w:r w:rsidR="003660AF">
        <w:br/>
        <w:t>IAEA-CN-204</w:t>
      </w:r>
      <w:r w:rsidRPr="00755F46">
        <w:br/>
        <w:t>Tel.: +43 1 2600 2131</w:t>
      </w:r>
      <w:r w:rsidR="003D2F4F">
        <w:t>5</w:t>
      </w:r>
      <w:r w:rsidRPr="00755F46">
        <w:br/>
      </w:r>
      <w:r w:rsidRPr="00C362C4">
        <w:rPr>
          <w:rFonts w:eastAsia="MS Mincho"/>
        </w:rPr>
        <w:t>Fax: +43 1 26007</w:t>
      </w:r>
      <w:r w:rsidRPr="00755F46">
        <w:br/>
      </w:r>
      <w:r w:rsidRPr="00D219E7">
        <w:t xml:space="preserve">Email: </w:t>
      </w:r>
      <w:hyperlink r:id="rId23" w:history="1">
        <w:r w:rsidR="000F57AD" w:rsidRPr="00BE4777">
          <w:rPr>
            <w:rStyle w:val="Hyperlink"/>
          </w:rPr>
          <w:t>M.Khaelss@iaea.org</w:t>
        </w:r>
      </w:hyperlink>
    </w:p>
    <w:p w:rsidR="008563A0" w:rsidRDefault="008563A0" w:rsidP="008563A0">
      <w:pPr>
        <w:pStyle w:val="BodyText"/>
      </w:pPr>
      <w:r>
        <w:t>Subsequent correspondence on scientific matters should be sent to the Scientific Secretaries and correspondence on administrative matters to the IAEA Conference Services Section.</w:t>
      </w:r>
    </w:p>
    <w:p w:rsidR="00733D7D" w:rsidRDefault="00F82C2F" w:rsidP="001E05D8">
      <w:pPr>
        <w:pStyle w:val="Heading1"/>
      </w:pPr>
      <w:r>
        <w:t xml:space="preserve">Conference </w:t>
      </w:r>
      <w:r w:rsidR="001F1303">
        <w:t>Web page</w:t>
      </w:r>
    </w:p>
    <w:p w:rsidR="00733D7D" w:rsidRDefault="00733D7D" w:rsidP="001E05D8">
      <w:pPr>
        <w:pStyle w:val="BodyText"/>
        <w:widowControl w:val="0"/>
      </w:pPr>
      <w:r>
        <w:t xml:space="preserve">Please visit the IAEA conference </w:t>
      </w:r>
      <w:r w:rsidR="001F1303">
        <w:t>web page</w:t>
      </w:r>
      <w:r>
        <w:t xml:space="preserve"> regularly for new information regarding this conference:</w:t>
      </w:r>
    </w:p>
    <w:p w:rsidR="00C40AAE" w:rsidRDefault="0018085D" w:rsidP="00A64393">
      <w:pPr>
        <w:pStyle w:val="BodyText"/>
      </w:pPr>
      <w:hyperlink r:id="rId24" w:history="1">
        <w:r w:rsidR="00C40AAE" w:rsidRPr="00F17E5F">
          <w:rPr>
            <w:rStyle w:val="Hyperlink"/>
          </w:rPr>
          <w:t>http://www-pub.iaea.org/iaeameetings/43047/International-Conference-on-Safety-and-Security-of-Radioactive-Sources</w:t>
        </w:r>
      </w:hyperlink>
    </w:p>
    <w:sectPr w:rsidR="00C40AA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AB" w:rsidRDefault="00E041AB">
      <w:r>
        <w:separator/>
      </w:r>
    </w:p>
  </w:endnote>
  <w:endnote w:type="continuationSeparator" w:id="0">
    <w:p w:rsidR="00E041AB" w:rsidRDefault="00E0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AB" w:rsidRDefault="009D442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041AB" w:rsidRDefault="009D442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AB" w:rsidRDefault="009D442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041AB" w:rsidRDefault="009D442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041AB">
      <w:trPr>
        <w:cantSplit/>
      </w:trPr>
      <w:tc>
        <w:tcPr>
          <w:tcW w:w="4644" w:type="dxa"/>
        </w:tcPr>
        <w:p w:rsidR="00E041AB" w:rsidRDefault="009D442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:rsidR="00E041AB" w:rsidRDefault="009D442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tc>
        <w:tcPr>
          <w:tcW w:w="5670" w:type="dxa"/>
          <w:tcMar>
            <w:right w:w="249" w:type="dxa"/>
          </w:tcMar>
        </w:tcPr>
        <w:p w:rsidR="00E041AB" w:rsidRDefault="00E041AB">
          <w:pPr>
            <w:pStyle w:val="zyxConfidBlack"/>
            <w:framePr w:wrap="auto" w:vAnchor="margin" w:hAnchor="text" w:xAlign="left" w:yAlign="inline"/>
            <w:suppressOverlap w:val="0"/>
          </w:pPr>
          <w:bookmarkStart w:id="4" w:name="DOC_bkmClassification2"/>
        </w:p>
        <w:bookmarkEnd w:id="4"/>
        <w:p w:rsidR="00E041AB" w:rsidRDefault="00E041AB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</w:p>
      </w:tc>
    </w:tr>
  </w:tbl>
  <w:p w:rsidR="00E041AB" w:rsidRDefault="00E041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AB" w:rsidRDefault="00E041AB">
      <w:r>
        <w:t>___________________________________________________________________________</w:t>
      </w:r>
    </w:p>
  </w:footnote>
  <w:footnote w:type="continuationSeparator" w:id="0">
    <w:p w:rsidR="00E041AB" w:rsidRDefault="00E041AB">
      <w:r>
        <w:t>___________________________________________________________________________</w:t>
      </w:r>
    </w:p>
  </w:footnote>
  <w:footnote w:type="continuationNotice" w:id="1">
    <w:p w:rsidR="00E041AB" w:rsidRDefault="00E041AB"/>
  </w:footnote>
  <w:footnote w:id="2">
    <w:p w:rsidR="00E041AB" w:rsidRDefault="00E041AB" w:rsidP="0019280F">
      <w:pPr>
        <w:pStyle w:val="FootnoteText"/>
      </w:pPr>
      <w:r>
        <w:rPr>
          <w:rStyle w:val="FootnoteReference"/>
        </w:rPr>
        <w:footnoteRef/>
      </w:r>
      <w:r>
        <w:t xml:space="preserve"> The term is used here as defined in the Code of Conduct on the Safety and Security of Radioactive Sources</w:t>
      </w:r>
      <w:proofErr w:type="gramStart"/>
      <w:r>
        <w:t>:</w:t>
      </w:r>
      <w:proofErr w:type="gramEnd"/>
      <w:r>
        <w:br/>
      </w:r>
      <w:hyperlink r:id="rId1" w:history="1">
        <w:r w:rsidRPr="00C4543D">
          <w:rPr>
            <w:rStyle w:val="Hyperlink"/>
          </w:rPr>
          <w:t>http://www-pub.iaea.org/MTCD/publications/PDF/Code-2004_web.pdf</w:t>
        </w:r>
      </w:hyperlink>
      <w:r>
        <w:t>.</w:t>
      </w:r>
    </w:p>
  </w:footnote>
  <w:footnote w:id="3">
    <w:p w:rsidR="00E041AB" w:rsidRDefault="00E041AB" w:rsidP="00357B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From the Seoul Communiqué, adopted at the 2012 Nuclear Security Summit.</w:t>
      </w:r>
      <w:proofErr w:type="gramEnd"/>
    </w:p>
  </w:footnote>
  <w:footnote w:id="4">
    <w:p w:rsidR="00E041AB" w:rsidRDefault="00E041AB" w:rsidP="002066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580D">
        <w:t>For more details</w:t>
      </w:r>
      <w:r>
        <w:t xml:space="preserve"> of the process</w:t>
      </w:r>
      <w:r w:rsidRPr="0087580D">
        <w:t>, visit</w:t>
      </w:r>
      <w:proofErr w:type="gramStart"/>
      <w:r>
        <w:t>:</w:t>
      </w:r>
      <w:proofErr w:type="gramEnd"/>
      <w:r>
        <w:br/>
      </w:r>
      <w:hyperlink r:id="rId2" w:history="1">
        <w:r w:rsidRPr="006A2992">
          <w:rPr>
            <w:rStyle w:val="Hyperlink"/>
          </w:rPr>
          <w:t>http://www-ns.iaea.org/downloads/rw/code-conduct/info-exchange/formalized-process-english.pdf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AB" w:rsidRDefault="00E041AB">
    <w:pPr>
      <w:pStyle w:val="Header"/>
      <w:spacing w:after="0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8085D">
      <w:rPr>
        <w:noProof/>
      </w:rPr>
      <w:t>10</w:t>
    </w:r>
    <w:r>
      <w:fldChar w:fldCharType="end"/>
    </w:r>
    <w:r>
      <w:br/>
    </w:r>
  </w:p>
  <w:p w:rsidR="00E041AB" w:rsidRDefault="009D442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041AB" w:rsidRDefault="009D442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AB" w:rsidRDefault="00E041AB">
    <w:pPr>
      <w:pStyle w:val="Header"/>
      <w:spacing w:after="0"/>
      <w:jc w:val="right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8085D">
      <w:rPr>
        <w:noProof/>
      </w:rPr>
      <w:t>9</w:t>
    </w:r>
    <w:r>
      <w:fldChar w:fldCharType="end"/>
    </w:r>
    <w:r>
      <w:br/>
    </w:r>
  </w:p>
  <w:p w:rsidR="00E041AB" w:rsidRDefault="009D442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041AB" w:rsidRDefault="009D442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  <w:p w:rsidR="00E041AB" w:rsidRDefault="00E041AB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041AB">
      <w:trPr>
        <w:cantSplit/>
        <w:trHeight w:val="716"/>
      </w:trPr>
      <w:tc>
        <w:tcPr>
          <w:tcW w:w="979" w:type="dxa"/>
          <w:vMerge w:val="restart"/>
        </w:tcPr>
        <w:p w:rsidR="00E041AB" w:rsidRDefault="00E041AB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:rsidR="00E041AB" w:rsidRDefault="00E041AB">
          <w:pPr>
            <w:spacing w:after="20"/>
          </w:pPr>
        </w:p>
      </w:tc>
      <w:tc>
        <w:tcPr>
          <w:tcW w:w="5702" w:type="dxa"/>
          <w:vMerge w:val="restart"/>
          <w:tcMar>
            <w:right w:w="193" w:type="dxa"/>
          </w:tcMar>
        </w:tcPr>
        <w:p w:rsidR="00E041AB" w:rsidRDefault="00E041AB">
          <w:pPr>
            <w:pStyle w:val="zyxConfidBlack"/>
            <w:framePr w:wrap="auto" w:vAnchor="margin" w:hAnchor="text" w:xAlign="left" w:yAlign="inline"/>
            <w:suppressOverlap w:val="0"/>
          </w:pPr>
          <w:bookmarkStart w:id="3" w:name="DOC_bkmClassification1"/>
        </w:p>
        <w:bookmarkEnd w:id="3"/>
        <w:p w:rsidR="00E041AB" w:rsidRDefault="00E041AB">
          <w:pPr>
            <w:pStyle w:val="zyxConfid2Red"/>
          </w:pPr>
        </w:p>
      </w:tc>
    </w:tr>
    <w:tr w:rsidR="00E041AB">
      <w:trPr>
        <w:cantSplit/>
        <w:trHeight w:val="167"/>
      </w:trPr>
      <w:tc>
        <w:tcPr>
          <w:tcW w:w="979" w:type="dxa"/>
          <w:vMerge/>
        </w:tcPr>
        <w:p w:rsidR="00E041AB" w:rsidRDefault="00E041AB">
          <w:pPr>
            <w:spacing w:before="57"/>
          </w:pPr>
        </w:p>
      </w:tc>
      <w:tc>
        <w:tcPr>
          <w:tcW w:w="3638" w:type="dxa"/>
          <w:vAlign w:val="bottom"/>
        </w:tcPr>
        <w:p w:rsidR="00E041AB" w:rsidRDefault="00E041AB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:rsidR="00E041AB" w:rsidRDefault="00E041AB">
          <w:pPr>
            <w:pStyle w:val="Heading9"/>
            <w:spacing w:before="0" w:after="10"/>
          </w:pPr>
        </w:p>
      </w:tc>
    </w:tr>
  </w:tbl>
  <w:p w:rsidR="00E041AB" w:rsidRDefault="00E041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55B0B1F"/>
    <w:multiLevelType w:val="hybridMultilevel"/>
    <w:tmpl w:val="0D302DEA"/>
    <w:lvl w:ilvl="0" w:tplc="41D0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83872"/>
    <w:multiLevelType w:val="hybridMultilevel"/>
    <w:tmpl w:val="04F0EB04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>
    <w:nsid w:val="4CF81AE1"/>
    <w:multiLevelType w:val="hybridMultilevel"/>
    <w:tmpl w:val="D844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6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90355E"/>
    <w:multiLevelType w:val="hybridMultilevel"/>
    <w:tmpl w:val="C346F196"/>
    <w:lvl w:ilvl="0" w:tplc="59DEF0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D3C0F"/>
    <w:multiLevelType w:val="hybridMultilevel"/>
    <w:tmpl w:val="A4F00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0">
    <w:nsid w:val="76171931"/>
    <w:multiLevelType w:val="hybridMultilevel"/>
    <w:tmpl w:val="BDE6A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9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4"/>
  </w:num>
  <w:num w:numId="18">
    <w:abstractNumId w:val="9"/>
  </w:num>
  <w:num w:numId="19">
    <w:abstractNumId w:val="8"/>
  </w:num>
  <w:num w:numId="20">
    <w:abstractNumId w:val="1"/>
  </w:num>
  <w:num w:numId="21">
    <w:abstractNumId w:val="2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fr-MC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733D7D"/>
    <w:rsid w:val="00005275"/>
    <w:rsid w:val="000206CC"/>
    <w:rsid w:val="00027E8C"/>
    <w:rsid w:val="0003246E"/>
    <w:rsid w:val="00035673"/>
    <w:rsid w:val="00047488"/>
    <w:rsid w:val="00051966"/>
    <w:rsid w:val="00053B5C"/>
    <w:rsid w:val="00053D48"/>
    <w:rsid w:val="00057258"/>
    <w:rsid w:val="00061B04"/>
    <w:rsid w:val="000769AD"/>
    <w:rsid w:val="0008195F"/>
    <w:rsid w:val="00082306"/>
    <w:rsid w:val="0008256A"/>
    <w:rsid w:val="000860A4"/>
    <w:rsid w:val="00095EE8"/>
    <w:rsid w:val="000A23FB"/>
    <w:rsid w:val="000A2BF9"/>
    <w:rsid w:val="000A5FE0"/>
    <w:rsid w:val="000B42D4"/>
    <w:rsid w:val="000B4304"/>
    <w:rsid w:val="000B4C6B"/>
    <w:rsid w:val="000B59AF"/>
    <w:rsid w:val="000B7506"/>
    <w:rsid w:val="000C035E"/>
    <w:rsid w:val="000C6EB7"/>
    <w:rsid w:val="000D2BDF"/>
    <w:rsid w:val="000E04C8"/>
    <w:rsid w:val="000F3F6B"/>
    <w:rsid w:val="000F57AD"/>
    <w:rsid w:val="00103262"/>
    <w:rsid w:val="001054E2"/>
    <w:rsid w:val="00105DF3"/>
    <w:rsid w:val="001064AF"/>
    <w:rsid w:val="001151C3"/>
    <w:rsid w:val="001216CF"/>
    <w:rsid w:val="00125CBF"/>
    <w:rsid w:val="001307BA"/>
    <w:rsid w:val="001549C1"/>
    <w:rsid w:val="00155858"/>
    <w:rsid w:val="001806BD"/>
    <w:rsid w:val="0018085D"/>
    <w:rsid w:val="0019280F"/>
    <w:rsid w:val="00193421"/>
    <w:rsid w:val="001A33C0"/>
    <w:rsid w:val="001A5C04"/>
    <w:rsid w:val="001B1473"/>
    <w:rsid w:val="001B6E5A"/>
    <w:rsid w:val="001C136D"/>
    <w:rsid w:val="001C3D9A"/>
    <w:rsid w:val="001C588B"/>
    <w:rsid w:val="001D6DEA"/>
    <w:rsid w:val="001E05D8"/>
    <w:rsid w:val="001E62EC"/>
    <w:rsid w:val="001E6E10"/>
    <w:rsid w:val="001F1303"/>
    <w:rsid w:val="001F6BFE"/>
    <w:rsid w:val="00203954"/>
    <w:rsid w:val="0020661D"/>
    <w:rsid w:val="002111AD"/>
    <w:rsid w:val="00233022"/>
    <w:rsid w:val="00245D80"/>
    <w:rsid w:val="002470CF"/>
    <w:rsid w:val="00253983"/>
    <w:rsid w:val="0025453F"/>
    <w:rsid w:val="002577C4"/>
    <w:rsid w:val="00261214"/>
    <w:rsid w:val="00261CCC"/>
    <w:rsid w:val="00263DD2"/>
    <w:rsid w:val="00277571"/>
    <w:rsid w:val="002820A3"/>
    <w:rsid w:val="00282B87"/>
    <w:rsid w:val="002911C8"/>
    <w:rsid w:val="00292F7A"/>
    <w:rsid w:val="00293C84"/>
    <w:rsid w:val="00294DAD"/>
    <w:rsid w:val="002A12C2"/>
    <w:rsid w:val="002D0C52"/>
    <w:rsid w:val="002D0FE5"/>
    <w:rsid w:val="002D4D07"/>
    <w:rsid w:val="002E1B9F"/>
    <w:rsid w:val="002E45C7"/>
    <w:rsid w:val="002F1957"/>
    <w:rsid w:val="002F1B57"/>
    <w:rsid w:val="002F27B6"/>
    <w:rsid w:val="002F4187"/>
    <w:rsid w:val="00316091"/>
    <w:rsid w:val="00332A75"/>
    <w:rsid w:val="003346A5"/>
    <w:rsid w:val="00335480"/>
    <w:rsid w:val="00336337"/>
    <w:rsid w:val="00347A81"/>
    <w:rsid w:val="0035332E"/>
    <w:rsid w:val="0035799C"/>
    <w:rsid w:val="00357BBB"/>
    <w:rsid w:val="003660AF"/>
    <w:rsid w:val="00367FE4"/>
    <w:rsid w:val="00374267"/>
    <w:rsid w:val="0037796D"/>
    <w:rsid w:val="003876C2"/>
    <w:rsid w:val="003917FF"/>
    <w:rsid w:val="0039597E"/>
    <w:rsid w:val="0039786B"/>
    <w:rsid w:val="003A3674"/>
    <w:rsid w:val="003B7368"/>
    <w:rsid w:val="003C1C0F"/>
    <w:rsid w:val="003C5B25"/>
    <w:rsid w:val="003C663C"/>
    <w:rsid w:val="003D2F4F"/>
    <w:rsid w:val="003D5F39"/>
    <w:rsid w:val="003E5F48"/>
    <w:rsid w:val="003F15CB"/>
    <w:rsid w:val="003F5373"/>
    <w:rsid w:val="003F552A"/>
    <w:rsid w:val="003F6EE6"/>
    <w:rsid w:val="003F74BC"/>
    <w:rsid w:val="00400166"/>
    <w:rsid w:val="00405BB9"/>
    <w:rsid w:val="00413370"/>
    <w:rsid w:val="004136B4"/>
    <w:rsid w:val="0041398C"/>
    <w:rsid w:val="00423201"/>
    <w:rsid w:val="00423487"/>
    <w:rsid w:val="00423668"/>
    <w:rsid w:val="004309CC"/>
    <w:rsid w:val="004328EA"/>
    <w:rsid w:val="004420CE"/>
    <w:rsid w:val="004422AF"/>
    <w:rsid w:val="00443443"/>
    <w:rsid w:val="004810E4"/>
    <w:rsid w:val="0048161E"/>
    <w:rsid w:val="0048264A"/>
    <w:rsid w:val="004A2FB6"/>
    <w:rsid w:val="004B10D6"/>
    <w:rsid w:val="004C4B0D"/>
    <w:rsid w:val="004D00D7"/>
    <w:rsid w:val="004D0A1F"/>
    <w:rsid w:val="004D380E"/>
    <w:rsid w:val="004D534D"/>
    <w:rsid w:val="004D5A95"/>
    <w:rsid w:val="004E54FA"/>
    <w:rsid w:val="004F1F53"/>
    <w:rsid w:val="004F31E7"/>
    <w:rsid w:val="004F40EB"/>
    <w:rsid w:val="004F662F"/>
    <w:rsid w:val="005016F7"/>
    <w:rsid w:val="00501C22"/>
    <w:rsid w:val="0050557B"/>
    <w:rsid w:val="005134E1"/>
    <w:rsid w:val="00513FBC"/>
    <w:rsid w:val="00520AD5"/>
    <w:rsid w:val="0052332D"/>
    <w:rsid w:val="00531B74"/>
    <w:rsid w:val="00536188"/>
    <w:rsid w:val="00536CF7"/>
    <w:rsid w:val="00541266"/>
    <w:rsid w:val="005421E1"/>
    <w:rsid w:val="00545BAD"/>
    <w:rsid w:val="00545F5F"/>
    <w:rsid w:val="005479AA"/>
    <w:rsid w:val="005612CD"/>
    <w:rsid w:val="0056643B"/>
    <w:rsid w:val="00577C93"/>
    <w:rsid w:val="005A1637"/>
    <w:rsid w:val="005B00BE"/>
    <w:rsid w:val="005B5823"/>
    <w:rsid w:val="005C0A3F"/>
    <w:rsid w:val="005C1DB3"/>
    <w:rsid w:val="005C2F97"/>
    <w:rsid w:val="005D30DC"/>
    <w:rsid w:val="005D3B2A"/>
    <w:rsid w:val="005E0C09"/>
    <w:rsid w:val="005E4F9B"/>
    <w:rsid w:val="005F7A87"/>
    <w:rsid w:val="0060528D"/>
    <w:rsid w:val="00606404"/>
    <w:rsid w:val="00611908"/>
    <w:rsid w:val="00611C65"/>
    <w:rsid w:val="006156B8"/>
    <w:rsid w:val="006259CB"/>
    <w:rsid w:val="00625E60"/>
    <w:rsid w:val="00633B7A"/>
    <w:rsid w:val="00637558"/>
    <w:rsid w:val="00644256"/>
    <w:rsid w:val="00660E27"/>
    <w:rsid w:val="00661985"/>
    <w:rsid w:val="006646E9"/>
    <w:rsid w:val="00666D06"/>
    <w:rsid w:val="00672E86"/>
    <w:rsid w:val="00680F98"/>
    <w:rsid w:val="006833F3"/>
    <w:rsid w:val="006857E2"/>
    <w:rsid w:val="00685FB0"/>
    <w:rsid w:val="00687C55"/>
    <w:rsid w:val="00693AD7"/>
    <w:rsid w:val="00696922"/>
    <w:rsid w:val="00696F8A"/>
    <w:rsid w:val="006B683F"/>
    <w:rsid w:val="006C308B"/>
    <w:rsid w:val="006C6C80"/>
    <w:rsid w:val="006C6D9E"/>
    <w:rsid w:val="006D237E"/>
    <w:rsid w:val="006D7ED9"/>
    <w:rsid w:val="006E17BB"/>
    <w:rsid w:val="006E2536"/>
    <w:rsid w:val="006E42FC"/>
    <w:rsid w:val="006E67D3"/>
    <w:rsid w:val="006E682A"/>
    <w:rsid w:val="006F1D5E"/>
    <w:rsid w:val="006F64CB"/>
    <w:rsid w:val="00700608"/>
    <w:rsid w:val="007007E7"/>
    <w:rsid w:val="00701779"/>
    <w:rsid w:val="00702B55"/>
    <w:rsid w:val="00705BA2"/>
    <w:rsid w:val="00706DBE"/>
    <w:rsid w:val="007117A7"/>
    <w:rsid w:val="007160D1"/>
    <w:rsid w:val="00722B95"/>
    <w:rsid w:val="0072511F"/>
    <w:rsid w:val="007268EF"/>
    <w:rsid w:val="00733D7D"/>
    <w:rsid w:val="00745964"/>
    <w:rsid w:val="007534BA"/>
    <w:rsid w:val="00754B26"/>
    <w:rsid w:val="00761966"/>
    <w:rsid w:val="0076283E"/>
    <w:rsid w:val="00763EA4"/>
    <w:rsid w:val="0077266D"/>
    <w:rsid w:val="00780874"/>
    <w:rsid w:val="00780AED"/>
    <w:rsid w:val="0078425C"/>
    <w:rsid w:val="007A43FB"/>
    <w:rsid w:val="007A4A39"/>
    <w:rsid w:val="007A4FBD"/>
    <w:rsid w:val="007B2749"/>
    <w:rsid w:val="007B6F48"/>
    <w:rsid w:val="007B7B3B"/>
    <w:rsid w:val="007C03DE"/>
    <w:rsid w:val="007C264E"/>
    <w:rsid w:val="007C7475"/>
    <w:rsid w:val="007D63E9"/>
    <w:rsid w:val="007E3C11"/>
    <w:rsid w:val="007F0B23"/>
    <w:rsid w:val="007F6EF6"/>
    <w:rsid w:val="00800EDA"/>
    <w:rsid w:val="00806644"/>
    <w:rsid w:val="00806FE9"/>
    <w:rsid w:val="008079BC"/>
    <w:rsid w:val="008122CC"/>
    <w:rsid w:val="008126AB"/>
    <w:rsid w:val="00821CF9"/>
    <w:rsid w:val="00823309"/>
    <w:rsid w:val="008259A8"/>
    <w:rsid w:val="00833ED6"/>
    <w:rsid w:val="00840F97"/>
    <w:rsid w:val="008423B9"/>
    <w:rsid w:val="00842E1F"/>
    <w:rsid w:val="0084622E"/>
    <w:rsid w:val="008553DC"/>
    <w:rsid w:val="008563A0"/>
    <w:rsid w:val="00863599"/>
    <w:rsid w:val="00866A62"/>
    <w:rsid w:val="008742E7"/>
    <w:rsid w:val="0087580D"/>
    <w:rsid w:val="008768AB"/>
    <w:rsid w:val="00877F18"/>
    <w:rsid w:val="00880249"/>
    <w:rsid w:val="00890451"/>
    <w:rsid w:val="00895BF2"/>
    <w:rsid w:val="00896558"/>
    <w:rsid w:val="008A2C8B"/>
    <w:rsid w:val="008A6DA1"/>
    <w:rsid w:val="008B4FC5"/>
    <w:rsid w:val="008B70D1"/>
    <w:rsid w:val="008B7481"/>
    <w:rsid w:val="008B7EE7"/>
    <w:rsid w:val="008C02A1"/>
    <w:rsid w:val="008D114E"/>
    <w:rsid w:val="008E17AF"/>
    <w:rsid w:val="008F1E2E"/>
    <w:rsid w:val="008F263B"/>
    <w:rsid w:val="00905B07"/>
    <w:rsid w:val="00905F07"/>
    <w:rsid w:val="00906F3E"/>
    <w:rsid w:val="009151AD"/>
    <w:rsid w:val="009154D7"/>
    <w:rsid w:val="009214FC"/>
    <w:rsid w:val="009257F1"/>
    <w:rsid w:val="009302ED"/>
    <w:rsid w:val="009428B4"/>
    <w:rsid w:val="0094663D"/>
    <w:rsid w:val="00947894"/>
    <w:rsid w:val="00964136"/>
    <w:rsid w:val="009660EA"/>
    <w:rsid w:val="00970C25"/>
    <w:rsid w:val="00981B7E"/>
    <w:rsid w:val="009866B1"/>
    <w:rsid w:val="00987B40"/>
    <w:rsid w:val="0099189C"/>
    <w:rsid w:val="009919D6"/>
    <w:rsid w:val="00997069"/>
    <w:rsid w:val="009970B8"/>
    <w:rsid w:val="00997620"/>
    <w:rsid w:val="009A3826"/>
    <w:rsid w:val="009B0BC5"/>
    <w:rsid w:val="009B4A6B"/>
    <w:rsid w:val="009B4FE3"/>
    <w:rsid w:val="009B5071"/>
    <w:rsid w:val="009C012E"/>
    <w:rsid w:val="009C053D"/>
    <w:rsid w:val="009C1C0B"/>
    <w:rsid w:val="009C4191"/>
    <w:rsid w:val="009C5F4F"/>
    <w:rsid w:val="009D097C"/>
    <w:rsid w:val="009D2E07"/>
    <w:rsid w:val="009D4420"/>
    <w:rsid w:val="009E39FB"/>
    <w:rsid w:val="009E6E74"/>
    <w:rsid w:val="009F44B5"/>
    <w:rsid w:val="009F742A"/>
    <w:rsid w:val="00A006B9"/>
    <w:rsid w:val="00A066E8"/>
    <w:rsid w:val="00A067F7"/>
    <w:rsid w:val="00A15D28"/>
    <w:rsid w:val="00A16DCA"/>
    <w:rsid w:val="00A27722"/>
    <w:rsid w:val="00A3028D"/>
    <w:rsid w:val="00A303CE"/>
    <w:rsid w:val="00A33BA4"/>
    <w:rsid w:val="00A40552"/>
    <w:rsid w:val="00A41198"/>
    <w:rsid w:val="00A426AB"/>
    <w:rsid w:val="00A54B64"/>
    <w:rsid w:val="00A64393"/>
    <w:rsid w:val="00A66F92"/>
    <w:rsid w:val="00A736F6"/>
    <w:rsid w:val="00A76996"/>
    <w:rsid w:val="00A77889"/>
    <w:rsid w:val="00A8156E"/>
    <w:rsid w:val="00A9163B"/>
    <w:rsid w:val="00A93F27"/>
    <w:rsid w:val="00AA356B"/>
    <w:rsid w:val="00AA36A1"/>
    <w:rsid w:val="00AB5110"/>
    <w:rsid w:val="00AB59DF"/>
    <w:rsid w:val="00AC00DC"/>
    <w:rsid w:val="00AC3FEB"/>
    <w:rsid w:val="00AD20E1"/>
    <w:rsid w:val="00AD393F"/>
    <w:rsid w:val="00AE1CCA"/>
    <w:rsid w:val="00AE2E9B"/>
    <w:rsid w:val="00AE3986"/>
    <w:rsid w:val="00AF3103"/>
    <w:rsid w:val="00AF50D5"/>
    <w:rsid w:val="00AF6488"/>
    <w:rsid w:val="00B00FA0"/>
    <w:rsid w:val="00B02A4E"/>
    <w:rsid w:val="00B134FE"/>
    <w:rsid w:val="00B27F4B"/>
    <w:rsid w:val="00B3380B"/>
    <w:rsid w:val="00B34421"/>
    <w:rsid w:val="00B34848"/>
    <w:rsid w:val="00B37631"/>
    <w:rsid w:val="00B42669"/>
    <w:rsid w:val="00B4451B"/>
    <w:rsid w:val="00B460CA"/>
    <w:rsid w:val="00B56DFB"/>
    <w:rsid w:val="00B641B3"/>
    <w:rsid w:val="00B7216D"/>
    <w:rsid w:val="00BB7A1C"/>
    <w:rsid w:val="00BB7A68"/>
    <w:rsid w:val="00BC32E5"/>
    <w:rsid w:val="00BD1B1B"/>
    <w:rsid w:val="00BD2AAD"/>
    <w:rsid w:val="00BD36F9"/>
    <w:rsid w:val="00BE4BA8"/>
    <w:rsid w:val="00BF3C65"/>
    <w:rsid w:val="00BF6D76"/>
    <w:rsid w:val="00C06DD4"/>
    <w:rsid w:val="00C106CB"/>
    <w:rsid w:val="00C268EC"/>
    <w:rsid w:val="00C31154"/>
    <w:rsid w:val="00C34A22"/>
    <w:rsid w:val="00C35070"/>
    <w:rsid w:val="00C36BBE"/>
    <w:rsid w:val="00C40AAE"/>
    <w:rsid w:val="00C45766"/>
    <w:rsid w:val="00C506D5"/>
    <w:rsid w:val="00C54773"/>
    <w:rsid w:val="00C5623A"/>
    <w:rsid w:val="00C61C80"/>
    <w:rsid w:val="00C74E2C"/>
    <w:rsid w:val="00C77294"/>
    <w:rsid w:val="00C8426B"/>
    <w:rsid w:val="00C873D3"/>
    <w:rsid w:val="00C91D08"/>
    <w:rsid w:val="00C95F5B"/>
    <w:rsid w:val="00CA0717"/>
    <w:rsid w:val="00CA54E6"/>
    <w:rsid w:val="00CA7E36"/>
    <w:rsid w:val="00CB1B57"/>
    <w:rsid w:val="00CB4CC8"/>
    <w:rsid w:val="00CB6E2B"/>
    <w:rsid w:val="00CC0F5B"/>
    <w:rsid w:val="00CC3B6F"/>
    <w:rsid w:val="00CC5B05"/>
    <w:rsid w:val="00CD217F"/>
    <w:rsid w:val="00CD5CD3"/>
    <w:rsid w:val="00CD5D31"/>
    <w:rsid w:val="00CE03E2"/>
    <w:rsid w:val="00CE601E"/>
    <w:rsid w:val="00CF0570"/>
    <w:rsid w:val="00CF517D"/>
    <w:rsid w:val="00CF579D"/>
    <w:rsid w:val="00D10C5D"/>
    <w:rsid w:val="00D10DE9"/>
    <w:rsid w:val="00D13042"/>
    <w:rsid w:val="00D217DA"/>
    <w:rsid w:val="00D219E7"/>
    <w:rsid w:val="00D22394"/>
    <w:rsid w:val="00D22A31"/>
    <w:rsid w:val="00D24821"/>
    <w:rsid w:val="00D35231"/>
    <w:rsid w:val="00D40374"/>
    <w:rsid w:val="00D418E9"/>
    <w:rsid w:val="00D434CF"/>
    <w:rsid w:val="00D44112"/>
    <w:rsid w:val="00D5336E"/>
    <w:rsid w:val="00D563BD"/>
    <w:rsid w:val="00D57870"/>
    <w:rsid w:val="00D71520"/>
    <w:rsid w:val="00D74ACB"/>
    <w:rsid w:val="00D75B87"/>
    <w:rsid w:val="00D85865"/>
    <w:rsid w:val="00D85F71"/>
    <w:rsid w:val="00D97DBD"/>
    <w:rsid w:val="00DA1E98"/>
    <w:rsid w:val="00DA6168"/>
    <w:rsid w:val="00DB0BEF"/>
    <w:rsid w:val="00DB45B3"/>
    <w:rsid w:val="00DB4FC4"/>
    <w:rsid w:val="00DC40A6"/>
    <w:rsid w:val="00DE32D2"/>
    <w:rsid w:val="00DE3CFF"/>
    <w:rsid w:val="00DE5B85"/>
    <w:rsid w:val="00DE6B99"/>
    <w:rsid w:val="00E00345"/>
    <w:rsid w:val="00E01643"/>
    <w:rsid w:val="00E02D1C"/>
    <w:rsid w:val="00E041AB"/>
    <w:rsid w:val="00E065ED"/>
    <w:rsid w:val="00E114E5"/>
    <w:rsid w:val="00E17783"/>
    <w:rsid w:val="00E234BB"/>
    <w:rsid w:val="00E250DF"/>
    <w:rsid w:val="00E30E30"/>
    <w:rsid w:val="00E333CD"/>
    <w:rsid w:val="00E453F1"/>
    <w:rsid w:val="00E46E3D"/>
    <w:rsid w:val="00E51FCD"/>
    <w:rsid w:val="00E524D7"/>
    <w:rsid w:val="00E55D2A"/>
    <w:rsid w:val="00E55E98"/>
    <w:rsid w:val="00E56795"/>
    <w:rsid w:val="00E6187B"/>
    <w:rsid w:val="00E6252F"/>
    <w:rsid w:val="00E6286B"/>
    <w:rsid w:val="00E73CDE"/>
    <w:rsid w:val="00E75F65"/>
    <w:rsid w:val="00E847BE"/>
    <w:rsid w:val="00E91CC3"/>
    <w:rsid w:val="00E95E1B"/>
    <w:rsid w:val="00EA6ADB"/>
    <w:rsid w:val="00EB369A"/>
    <w:rsid w:val="00EC25D8"/>
    <w:rsid w:val="00EC45A0"/>
    <w:rsid w:val="00ED0C52"/>
    <w:rsid w:val="00ED1508"/>
    <w:rsid w:val="00EE1293"/>
    <w:rsid w:val="00EE4CC3"/>
    <w:rsid w:val="00EF163C"/>
    <w:rsid w:val="00EF2D39"/>
    <w:rsid w:val="00EF347C"/>
    <w:rsid w:val="00F05D84"/>
    <w:rsid w:val="00F17147"/>
    <w:rsid w:val="00F21BDC"/>
    <w:rsid w:val="00F34A29"/>
    <w:rsid w:val="00F361D8"/>
    <w:rsid w:val="00F36D10"/>
    <w:rsid w:val="00F37B79"/>
    <w:rsid w:val="00F40667"/>
    <w:rsid w:val="00F5225D"/>
    <w:rsid w:val="00F5424D"/>
    <w:rsid w:val="00F6287F"/>
    <w:rsid w:val="00F63A21"/>
    <w:rsid w:val="00F66DDE"/>
    <w:rsid w:val="00F822A3"/>
    <w:rsid w:val="00F82C2F"/>
    <w:rsid w:val="00F90417"/>
    <w:rsid w:val="00FA1D24"/>
    <w:rsid w:val="00FA50BC"/>
    <w:rsid w:val="00FA7DD6"/>
    <w:rsid w:val="00FB4351"/>
    <w:rsid w:val="00FB7C24"/>
    <w:rsid w:val="00FC031F"/>
    <w:rsid w:val="00FC3358"/>
    <w:rsid w:val="00FC436C"/>
    <w:rsid w:val="00FC4CE7"/>
    <w:rsid w:val="00FD20E6"/>
    <w:rsid w:val="00FD2AE5"/>
    <w:rsid w:val="00FD5C3D"/>
    <w:rsid w:val="00FE027D"/>
    <w:rsid w:val="00FE7203"/>
    <w:rsid w:val="00FF4395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link w:val="Heading1Char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link w:val="BodyTextSummaryChar"/>
    <w:pPr>
      <w:numPr>
        <w:numId w:val="2"/>
      </w:numPr>
      <w:spacing w:after="170" w:line="280" w:lineRule="atLeast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BodyTextSummaryChar">
    <w:name w:val="Body Text Summary Char"/>
    <w:link w:val="BodyTextSummary"/>
    <w:rsid w:val="00733D7D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F82C2F"/>
    <w:rPr>
      <w:b/>
      <w:sz w:val="32"/>
      <w:lang w:eastAsia="en-US"/>
    </w:rPr>
  </w:style>
  <w:style w:type="character" w:styleId="Hyperlink">
    <w:name w:val="Hyperlink"/>
    <w:rsid w:val="00F82C2F"/>
    <w:rPr>
      <w:color w:val="0000FF"/>
      <w:u w:val="single"/>
    </w:rPr>
  </w:style>
  <w:style w:type="character" w:styleId="FollowedHyperlink">
    <w:name w:val="FollowedHyperlink"/>
    <w:rsid w:val="00842E1F"/>
    <w:rPr>
      <w:color w:val="800080"/>
      <w:u w:val="single"/>
    </w:rPr>
  </w:style>
  <w:style w:type="character" w:styleId="Strong">
    <w:name w:val="Strong"/>
    <w:uiPriority w:val="22"/>
    <w:qFormat/>
    <w:rsid w:val="00053D48"/>
    <w:rPr>
      <w:b/>
      <w:bCs/>
    </w:rPr>
  </w:style>
  <w:style w:type="paragraph" w:styleId="BalloonText">
    <w:name w:val="Balloon Text"/>
    <w:basedOn w:val="Normal"/>
    <w:link w:val="BalloonTextChar"/>
    <w:rsid w:val="002E4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45C7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36BBE"/>
    <w:rPr>
      <w:sz w:val="22"/>
      <w:lang w:eastAsia="en-US"/>
    </w:rPr>
  </w:style>
  <w:style w:type="character" w:styleId="CommentReference">
    <w:name w:val="annotation reference"/>
    <w:rsid w:val="00C36B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BBE"/>
    <w:rPr>
      <w:sz w:val="20"/>
    </w:rPr>
  </w:style>
  <w:style w:type="character" w:customStyle="1" w:styleId="CommentTextChar">
    <w:name w:val="Comment Text Char"/>
    <w:link w:val="CommentText"/>
    <w:rsid w:val="00C36B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6BBE"/>
    <w:rPr>
      <w:b/>
      <w:bCs/>
    </w:rPr>
  </w:style>
  <w:style w:type="character" w:customStyle="1" w:styleId="CommentSubjectChar">
    <w:name w:val="Comment Subject Char"/>
    <w:link w:val="CommentSubject"/>
    <w:rsid w:val="00C36BBE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259CB"/>
    <w:pPr>
      <w:adjustRightInd/>
      <w:ind w:left="720" w:firstLine="567"/>
      <w:contextualSpacing/>
      <w:textAlignment w:val="auto"/>
    </w:pPr>
    <w:rPr>
      <w:rFonts w:eastAsiaTheme="minorHAnsi"/>
      <w:szCs w:val="22"/>
    </w:rPr>
  </w:style>
  <w:style w:type="paragraph" w:customStyle="1" w:styleId="zyxdate">
    <w:name w:val="zyxdate"/>
    <w:basedOn w:val="Normal"/>
    <w:rsid w:val="006259CB"/>
    <w:pPr>
      <w:overflowPunct/>
      <w:autoSpaceDE/>
      <w:autoSpaceDN/>
      <w:adjustRightInd/>
      <w:spacing w:before="600" w:after="170" w:line="240" w:lineRule="exact"/>
      <w:ind w:left="4536"/>
      <w:textAlignment w:val="auto"/>
    </w:pPr>
    <w:rPr>
      <w:rFonts w:eastAsiaTheme="minorHAns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link w:val="Heading1Char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link w:val="BodyTextSummaryChar"/>
    <w:pPr>
      <w:numPr>
        <w:numId w:val="2"/>
      </w:numPr>
      <w:spacing w:after="170" w:line="280" w:lineRule="atLeast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BodyTextSummaryChar">
    <w:name w:val="Body Text Summary Char"/>
    <w:link w:val="BodyTextSummary"/>
    <w:rsid w:val="00733D7D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F82C2F"/>
    <w:rPr>
      <w:b/>
      <w:sz w:val="32"/>
      <w:lang w:eastAsia="en-US"/>
    </w:rPr>
  </w:style>
  <w:style w:type="character" w:styleId="Hyperlink">
    <w:name w:val="Hyperlink"/>
    <w:rsid w:val="00F82C2F"/>
    <w:rPr>
      <w:color w:val="0000FF"/>
      <w:u w:val="single"/>
    </w:rPr>
  </w:style>
  <w:style w:type="character" w:styleId="FollowedHyperlink">
    <w:name w:val="FollowedHyperlink"/>
    <w:rsid w:val="00842E1F"/>
    <w:rPr>
      <w:color w:val="800080"/>
      <w:u w:val="single"/>
    </w:rPr>
  </w:style>
  <w:style w:type="character" w:styleId="Strong">
    <w:name w:val="Strong"/>
    <w:uiPriority w:val="22"/>
    <w:qFormat/>
    <w:rsid w:val="00053D48"/>
    <w:rPr>
      <w:b/>
      <w:bCs/>
    </w:rPr>
  </w:style>
  <w:style w:type="paragraph" w:styleId="BalloonText">
    <w:name w:val="Balloon Text"/>
    <w:basedOn w:val="Normal"/>
    <w:link w:val="BalloonTextChar"/>
    <w:rsid w:val="002E4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45C7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36BBE"/>
    <w:rPr>
      <w:sz w:val="22"/>
      <w:lang w:eastAsia="en-US"/>
    </w:rPr>
  </w:style>
  <w:style w:type="character" w:styleId="CommentReference">
    <w:name w:val="annotation reference"/>
    <w:rsid w:val="00C36B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BBE"/>
    <w:rPr>
      <w:sz w:val="20"/>
    </w:rPr>
  </w:style>
  <w:style w:type="character" w:customStyle="1" w:styleId="CommentTextChar">
    <w:name w:val="Comment Text Char"/>
    <w:link w:val="CommentText"/>
    <w:rsid w:val="00C36B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6BBE"/>
    <w:rPr>
      <w:b/>
      <w:bCs/>
    </w:rPr>
  </w:style>
  <w:style w:type="character" w:customStyle="1" w:styleId="CommentSubjectChar">
    <w:name w:val="Comment Subject Char"/>
    <w:link w:val="CommentSubject"/>
    <w:rsid w:val="00C36BBE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259CB"/>
    <w:pPr>
      <w:adjustRightInd/>
      <w:ind w:left="720" w:firstLine="567"/>
      <w:contextualSpacing/>
      <w:textAlignment w:val="auto"/>
    </w:pPr>
    <w:rPr>
      <w:rFonts w:eastAsiaTheme="minorHAnsi"/>
      <w:szCs w:val="22"/>
    </w:rPr>
  </w:style>
  <w:style w:type="paragraph" w:customStyle="1" w:styleId="zyxdate">
    <w:name w:val="zyxdate"/>
    <w:basedOn w:val="Normal"/>
    <w:rsid w:val="006259CB"/>
    <w:pPr>
      <w:overflowPunct/>
      <w:autoSpaceDE/>
      <w:autoSpaceDN/>
      <w:adjustRightInd/>
      <w:spacing w:before="600" w:after="170" w:line="240" w:lineRule="exact"/>
      <w:ind w:left="4536"/>
      <w:textAlignment w:val="auto"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atema.alansari@fanr.gov.ae" TargetMode="External"/><Relationship Id="rId18" Type="http://schemas.openxmlformats.org/officeDocument/2006/relationships/hyperlink" Target="mailto:CN204@iaea.or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CN204@iaea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fficial.mail@iaea.org" TargetMode="External"/><Relationship Id="rId17" Type="http://schemas.openxmlformats.org/officeDocument/2006/relationships/hyperlink" Target="mailto:CN204@iaea.or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fficial.mail@iaea.org" TargetMode="External"/><Relationship Id="rId20" Type="http://schemas.openxmlformats.org/officeDocument/2006/relationships/hyperlink" Target="mailto:official.mail@iaea.org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204@iaea.org" TargetMode="External"/><Relationship Id="rId24" Type="http://schemas.openxmlformats.org/officeDocument/2006/relationships/hyperlink" Target="http://www-pub.iaea.org/iaeameetings/43047/International-Conference-on-Safety-and-Security-of-Radioactive-Sources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N204@iaea.org" TargetMode="External"/><Relationship Id="rId23" Type="http://schemas.openxmlformats.org/officeDocument/2006/relationships/hyperlink" Target="mailto:M.Khaelss@iaea.org" TargetMode="External"/><Relationship Id="rId28" Type="http://schemas.openxmlformats.org/officeDocument/2006/relationships/footer" Target="footer2.xml"/><Relationship Id="rId10" Type="http://schemas.openxmlformats.org/officeDocument/2006/relationships/hyperlink" Target="mailto:official.mail@iaea.org" TargetMode="External"/><Relationship Id="rId19" Type="http://schemas.openxmlformats.org/officeDocument/2006/relationships/hyperlink" Target="mailto:official.mail@iaea.or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fficial.mail@iaea.org" TargetMode="External"/><Relationship Id="rId22" Type="http://schemas.openxmlformats.org/officeDocument/2006/relationships/hyperlink" Target="mailto:CN204@iaea.org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-ns.iaea.org/downloads/rw/code-conduct/info-exchange/formalized-process-english.pdf" TargetMode="External"/><Relationship Id="rId1" Type="http://schemas.openxmlformats.org/officeDocument/2006/relationships/hyperlink" Target="http://www-pub.iaea.org/MTCD/publications/PDF/Code-2004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A2DB-2248-4CA2-A7F5-D1114A81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0</TotalTime>
  <Pages>10</Pages>
  <Words>2897</Words>
  <Characters>16514</Characters>
  <Application>Microsoft Office Word</Application>
  <DocSecurity>4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19373</CharactersWithSpaces>
  <SharedDoc>false</SharedDoc>
  <HLinks>
    <vt:vector size="42" baseType="variant">
      <vt:variant>
        <vt:i4>5373962</vt:i4>
      </vt:variant>
      <vt:variant>
        <vt:i4>18</vt:i4>
      </vt:variant>
      <vt:variant>
        <vt:i4>0</vt:i4>
      </vt:variant>
      <vt:variant>
        <vt:i4>5</vt:i4>
      </vt:variant>
      <vt:variant>
        <vt:lpwstr>http://www-pub.iaea.org/MTCD/Meetings/Announcements.asp?ConfID=41578</vt:lpwstr>
      </vt:variant>
      <vt:variant>
        <vt:lpwstr/>
      </vt:variant>
      <vt:variant>
        <vt:i4>2883648</vt:i4>
      </vt:variant>
      <vt:variant>
        <vt:i4>15</vt:i4>
      </vt:variant>
      <vt:variant>
        <vt:i4>0</vt:i4>
      </vt:variant>
      <vt:variant>
        <vt:i4>5</vt:i4>
      </vt:variant>
      <vt:variant>
        <vt:lpwstr>mailto:radprom2012.conf@iaea.org</vt:lpwstr>
      </vt:variant>
      <vt:variant>
        <vt:lpwstr/>
      </vt:variant>
      <vt:variant>
        <vt:i4>5439550</vt:i4>
      </vt:variant>
      <vt:variant>
        <vt:i4>12</vt:i4>
      </vt:variant>
      <vt:variant>
        <vt:i4>0</vt:i4>
      </vt:variant>
      <vt:variant>
        <vt:i4>5</vt:i4>
      </vt:variant>
      <vt:variant>
        <vt:lpwstr>mailto:radprom2012.papers@iaea.org</vt:lpwstr>
      </vt:variant>
      <vt:variant>
        <vt:lpwstr/>
      </vt:variant>
      <vt:variant>
        <vt:i4>852044</vt:i4>
      </vt:variant>
      <vt:variant>
        <vt:i4>9</vt:i4>
      </vt:variant>
      <vt:variant>
        <vt:i4>0</vt:i4>
      </vt:variant>
      <vt:variant>
        <vt:i4>5</vt:i4>
      </vt:variant>
      <vt:variant>
        <vt:lpwstr>https://personnel.iaea.org/info/ddsu/tree.asp?top=7530&amp;old=9999&amp;show=753</vt:lpwstr>
      </vt:variant>
      <vt:variant>
        <vt:lpwstr>u753</vt:lpwstr>
      </vt:variant>
      <vt:variant>
        <vt:i4>5439550</vt:i4>
      </vt:variant>
      <vt:variant>
        <vt:i4>6</vt:i4>
      </vt:variant>
      <vt:variant>
        <vt:i4>0</vt:i4>
      </vt:variant>
      <vt:variant>
        <vt:i4>5</vt:i4>
      </vt:variant>
      <vt:variant>
        <vt:lpwstr>mailto:radprom2012.papers@iaea.org</vt:lpwstr>
      </vt:variant>
      <vt:variant>
        <vt:lpwstr/>
      </vt:variant>
      <vt:variant>
        <vt:i4>1769510</vt:i4>
      </vt:variant>
      <vt:variant>
        <vt:i4>3</vt:i4>
      </vt:variant>
      <vt:variant>
        <vt:i4>0</vt:i4>
      </vt:variant>
      <vt:variant>
        <vt:i4>5</vt:i4>
      </vt:variant>
      <vt:variant>
        <vt:lpwstr>mailto:RSII2@bmu.bund.de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mailto:radprom2012.papers@iaea.org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conference</dc:creator>
  <cp:lastModifiedBy>SHAJU KATTIPPURAKKAL, Joseph</cp:lastModifiedBy>
  <cp:revision>2</cp:revision>
  <cp:lastPrinted>2013-09-04T13:20:00Z</cp:lastPrinted>
  <dcterms:created xsi:type="dcterms:W3CDTF">2013-09-04T13:23:00Z</dcterms:created>
  <dcterms:modified xsi:type="dcterms:W3CDTF">2013-09-04T13:23:00Z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